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马尔康市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电子商务进农村综合示范项目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验收办法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第一章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总则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为加强我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电子商务进农村综合示范项目验收管理，明确验收责任，规范验收行为，根据财政部办公厅、商务部办公厅、国务院扶贫开发领导小组办公室行政人事司《关于开展201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年电子商务进农村综合示范工作的通知》(财办建﹝2017〕30号)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《四川省财政厅 四川省商务厅 四川省扶贫和移民工作局关于组织申报2017年国家级电子商务进农村综合示范县的通知》（川财建〔2017〕56号）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《四川省财政厅 四川省商务厅关于开展电子商务精准扶贫工作的通知》（川财〔2015〕231号）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及《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马尔康市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2017年国家级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电子商务进农村综合示范项目实施方案》(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马尔委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〔201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号)等文件要求，结合我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实际，特制定本制度。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本制度适用于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马尔康市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电子商务进农村综合示范项目承办企业建设项目的验收管理。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本制度所称项目承办企业，是指经过采购招标中标的电子商务进农村综合示范项目实施企业，承办项目是指经过招标享受专项资金补助的、为促进我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电商发展的项目内容。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本制度所称电子商务建设项目验收，是指国家财政支持建设的项目建成后，按照规定的程序和要求，进行全面检查并确认是否达到国家批准建设要求的活动。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马尔康市经济商务和信息化局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、财政局及审计局是本制度所称项目验收的责任单位，由其组建项目验收小组，按照项目管理权限，主持各类承办项目的验收工作。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第二章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验收程序与方式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验收程序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(一)项目承办企业开展自评，并撰写自评报告，根据有关文件和评价指标等要求向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商务局提交项目验收申请及相关材料。承办企业要对自评涉及基础资料的真实性、合法性、完整性负责。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(二)由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马尔康市经济商务和信息化局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牵头，组织财政局、审计局等有关部门，抽调专门人员成立验收小组。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(三)验收小组验收完成后，提出验收意见，由县商务局提交县电子商务工作领导小组审核后，形成验收文件。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验收方式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项目实行绩效验收。一是听取汇报;二是现场查看;三是核对资料原件;四是实时查调相关数据。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第三章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验收要求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项目建成验收必须具备下列条件：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(一)已按要求建设完成，正常投入运营并达到一定期限要求;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(二)已取得相关资质(如营业执照、卫生许可证、商品流通许可证等)。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验收小组主要职责：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(一)听取项目承办企业项目建设总体情况汇报，审查项目申报材料;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(二)检查项目建设和运行情况，对项目的设计、建设、运营情况进行全面核查，并作出评价;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(三)对通过验收的项目，作出通过验收意见并报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政府审核，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商务局下发验收通过文件;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(四)对未通过验收的项目，提出整改意见及整改期限，并将验收材料退回申报企业。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第四章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验收分值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按量化评价分值评定为四个等级：85分以上(含85分)为优秀，70-85分(含70分)为良好，60-70分(含60分)为一般，60分以下或有下列情况之一的为较差：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(一)在审计、稽查和其他相关检查中发现项目质量、资金管理等方面存在重大问题。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(二)承办企业所承担的示范项目发生安全生产事故或质量事故，或者造成重大经济损失和社会不良影响。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(三)项目建设进度非因不可抗力因素严重滞后。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(四)弄虚作假。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第五章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fill="FFFFFF"/>
        </w:rPr>
        <w:t>附则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充分发挥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纪检监察部门督察职能，加强监督检查，对违纪违规事项进行严肃查处。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国家或省级主管部门对项目建设内容和标准有更改或调整的，本制度可依实际情况酌情调整。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第十三条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本制度自颁布之日起执行，由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市经济商务和信息化局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、财政局、审计局负责解释。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C0536"/>
    <w:rsid w:val="01755A13"/>
    <w:rsid w:val="0AFA04EB"/>
    <w:rsid w:val="145C559E"/>
    <w:rsid w:val="163865B8"/>
    <w:rsid w:val="31313A36"/>
    <w:rsid w:val="338A6AAD"/>
    <w:rsid w:val="3C774736"/>
    <w:rsid w:val="41447322"/>
    <w:rsid w:val="427C0536"/>
    <w:rsid w:val="4A083DCA"/>
    <w:rsid w:val="4B3F0132"/>
    <w:rsid w:val="4E9B6BDC"/>
    <w:rsid w:val="569C11E1"/>
    <w:rsid w:val="594C753C"/>
    <w:rsid w:val="5CEB04A1"/>
    <w:rsid w:val="61115EB1"/>
    <w:rsid w:val="65C149FB"/>
    <w:rsid w:val="679E7C18"/>
    <w:rsid w:val="69C75868"/>
    <w:rsid w:val="716462CF"/>
    <w:rsid w:val="717A5261"/>
    <w:rsid w:val="734C2366"/>
    <w:rsid w:val="7398252C"/>
    <w:rsid w:val="75CC4F74"/>
    <w:rsid w:val="7AA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2019-04-16T03:19:00Z</dcterms:created>
  <dc:creator>Administrator</dc:creator>
  <cp:lastModifiedBy>黑夜彩虹</cp:lastModifiedBy>
  <dcterms:modified xsi:type="dcterms:W3CDTF">2019-05-16T02:48:15Z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