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media/image5.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16C3BC">
      <w:pPr>
        <w:rPr>
          <w:rFonts w:ascii="仿宋_GB2312" w:hAnsi="仿宋_GB2312" w:eastAsia="仿宋_GB2312" w:cs="仿宋_GB2312"/>
          <w:color w:val="auto"/>
          <w:sz w:val="36"/>
          <w:szCs w:val="36"/>
          <w:highlight w:val="none"/>
        </w:rPr>
      </w:pPr>
      <w:bookmarkStart w:id="10" w:name="_GoBack"/>
    </w:p>
    <w:p w14:paraId="5E0CCC88">
      <w:pPr>
        <w:rPr>
          <w:rFonts w:ascii="仿宋_GB2312" w:hAnsi="仿宋_GB2312" w:eastAsia="仿宋_GB2312" w:cs="仿宋_GB2312"/>
          <w:color w:val="auto"/>
          <w:sz w:val="36"/>
          <w:szCs w:val="36"/>
          <w:highlight w:val="none"/>
        </w:rPr>
      </w:pPr>
    </w:p>
    <w:p w14:paraId="5A3067B3">
      <w:pPr>
        <w:jc w:val="center"/>
        <w:rPr>
          <w:rFonts w:ascii="方正小标宋_GBK" w:hAnsi="Times New Roman" w:eastAsia="方正小标宋_GBK" w:cs="Times New Roman"/>
          <w:bCs/>
          <w:color w:val="auto"/>
          <w:sz w:val="72"/>
          <w:szCs w:val="72"/>
          <w:highlight w:val="none"/>
        </w:rPr>
      </w:pPr>
      <w:r>
        <w:rPr>
          <w:rFonts w:hint="eastAsia" w:ascii="方正小标宋_GBK" w:hAnsi="Times New Roman" w:eastAsia="方正小标宋_GBK" w:cs="Times New Roman"/>
          <w:bCs/>
          <w:color w:val="auto"/>
          <w:sz w:val="72"/>
          <w:szCs w:val="72"/>
          <w:highlight w:val="none"/>
        </w:rPr>
        <w:t>建设项目环境影响报告表</w:t>
      </w:r>
    </w:p>
    <w:p w14:paraId="6268E249">
      <w:pPr>
        <w:adjustRightInd w:val="0"/>
        <w:snapToGrid w:val="0"/>
        <w:spacing w:before="249" w:beforeLines="80"/>
        <w:jc w:val="center"/>
        <w:rPr>
          <w:rFonts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r>
        <w:rPr>
          <w:rFonts w:hint="eastAsia" w:ascii="楷体_GB2312" w:eastAsia="楷体_GB2312"/>
          <w:bCs/>
          <w:color w:val="auto"/>
          <w:sz w:val="48"/>
          <w:szCs w:val="48"/>
          <w:highlight w:val="none"/>
          <w:lang w:val="en-US" w:eastAsia="zh-CN"/>
        </w:rPr>
        <w:t>-送审</w:t>
      </w:r>
      <w:r>
        <w:rPr>
          <w:rFonts w:hint="eastAsia" w:ascii="楷体_GB2312" w:eastAsia="楷体_GB2312"/>
          <w:bCs/>
          <w:color w:val="auto"/>
          <w:sz w:val="48"/>
          <w:szCs w:val="48"/>
          <w:highlight w:val="none"/>
        </w:rPr>
        <w:t>本）</w:t>
      </w:r>
    </w:p>
    <w:p w14:paraId="31A7673C">
      <w:pPr>
        <w:ind w:firstLine="1040"/>
        <w:rPr>
          <w:rFonts w:eastAsia="仿宋"/>
          <w:color w:val="auto"/>
          <w:sz w:val="44"/>
          <w:szCs w:val="44"/>
          <w:highlight w:val="none"/>
        </w:rPr>
      </w:pPr>
    </w:p>
    <w:p w14:paraId="60C6A0AE">
      <w:pPr>
        <w:ind w:firstLine="1040"/>
        <w:rPr>
          <w:rFonts w:eastAsia="仿宋"/>
          <w:color w:val="auto"/>
          <w:sz w:val="44"/>
          <w:szCs w:val="44"/>
          <w:highlight w:val="none"/>
        </w:rPr>
      </w:pPr>
    </w:p>
    <w:p w14:paraId="717ED133">
      <w:pPr>
        <w:ind w:firstLine="1040"/>
        <w:rPr>
          <w:rFonts w:eastAsia="仿宋"/>
          <w:color w:val="auto"/>
          <w:sz w:val="44"/>
          <w:szCs w:val="44"/>
          <w:highlight w:val="none"/>
        </w:rPr>
      </w:pPr>
    </w:p>
    <w:p w14:paraId="13ECA229">
      <w:pPr>
        <w:spacing w:line="480" w:lineRule="auto"/>
        <w:ind w:firstLine="1040"/>
        <w:rPr>
          <w:rFonts w:eastAsia="仿宋"/>
          <w:color w:val="auto"/>
          <w:sz w:val="44"/>
          <w:szCs w:val="44"/>
          <w:highlight w:val="none"/>
        </w:rPr>
      </w:pPr>
    </w:p>
    <w:p w14:paraId="3F4B1CD6">
      <w:pPr>
        <w:keepNext w:val="0"/>
        <w:keepLines w:val="0"/>
        <w:pageBreakBefore w:val="0"/>
        <w:widowControl w:val="0"/>
        <w:kinsoku/>
        <w:wordWrap/>
        <w:overflowPunct/>
        <w:topLinePunct w:val="0"/>
        <w:autoSpaceDE/>
        <w:autoSpaceDN/>
        <w:bidi w:val="0"/>
        <w:adjustRightInd w:val="0"/>
        <w:snapToGrid w:val="0"/>
        <w:spacing w:line="480" w:lineRule="auto"/>
        <w:ind w:firstLine="340"/>
        <w:textAlignment w:val="auto"/>
        <w:rPr>
          <w:rFonts w:ascii="Times New Roman" w:hAnsi="Times New Roman" w:eastAsia="宋体" w:cs="Times New Roman"/>
          <w:color w:val="auto"/>
          <w:sz w:val="36"/>
          <w:szCs w:val="36"/>
          <w:highlight w:val="none"/>
          <w:u w:val="single"/>
        </w:rPr>
      </w:pPr>
      <w:r>
        <w:rPr>
          <w:rFonts w:ascii="Times New Roman" w:hAnsi="Times New Roman" w:eastAsia="宋体" w:cs="Times New Roman"/>
          <w:color w:val="auto"/>
          <w:sz w:val="36"/>
          <w:szCs w:val="36"/>
          <w:highlight w:val="none"/>
        </w:rPr>
        <w:t>项目名称：</w:t>
      </w:r>
      <w:r>
        <w:rPr>
          <w:rFonts w:hint="eastAsia" w:ascii="Times New Roman" w:hAnsi="Times New Roman" w:eastAsia="宋体" w:cs="Times New Roman"/>
          <w:color w:val="auto"/>
          <w:sz w:val="36"/>
          <w:szCs w:val="36"/>
          <w:highlight w:val="none"/>
          <w:u w:val="single"/>
          <w:lang w:eastAsia="zh-CN"/>
        </w:rPr>
        <w:t>阿坝州马尔康市第二中学校实验楼建设项目</w:t>
      </w:r>
    </w:p>
    <w:p w14:paraId="6A01177C">
      <w:pPr>
        <w:keepNext w:val="0"/>
        <w:keepLines w:val="0"/>
        <w:pageBreakBefore w:val="0"/>
        <w:widowControl w:val="0"/>
        <w:kinsoku/>
        <w:wordWrap/>
        <w:overflowPunct/>
        <w:topLinePunct w:val="0"/>
        <w:autoSpaceDE/>
        <w:autoSpaceDN/>
        <w:bidi w:val="0"/>
        <w:adjustRightInd w:val="0"/>
        <w:snapToGrid w:val="0"/>
        <w:spacing w:line="480" w:lineRule="auto"/>
        <w:ind w:firstLine="340"/>
        <w:textAlignment w:val="auto"/>
        <w:rPr>
          <w:rFonts w:hint="default" w:ascii="Times New Roman" w:hAnsi="Times New Roman" w:eastAsia="宋体" w:cs="Times New Roman"/>
          <w:color w:val="auto"/>
          <w:sz w:val="36"/>
          <w:szCs w:val="36"/>
          <w:highlight w:val="none"/>
          <w:u w:val="single"/>
          <w:lang w:val="en-US" w:eastAsia="zh-CN"/>
        </w:rPr>
      </w:pPr>
      <w:r>
        <w:rPr>
          <w:rFonts w:ascii="Times New Roman" w:hAnsi="Times New Roman" w:eastAsia="宋体" w:cs="Times New Roman"/>
          <w:color w:val="auto"/>
          <w:sz w:val="36"/>
          <w:szCs w:val="36"/>
          <w:highlight w:val="none"/>
        </w:rPr>
        <w:t>建设单位（盖章）：</w:t>
      </w:r>
      <w:r>
        <w:rPr>
          <w:rFonts w:hint="eastAsia" w:ascii="Times New Roman" w:hAnsi="Times New Roman" w:eastAsia="宋体" w:cs="Times New Roman"/>
          <w:color w:val="auto"/>
          <w:sz w:val="36"/>
          <w:szCs w:val="36"/>
          <w:highlight w:val="none"/>
          <w:u w:val="single"/>
          <w:lang w:val="en-US" w:eastAsia="zh-CN"/>
        </w:rPr>
        <w:t xml:space="preserve">    </w:t>
      </w:r>
      <w:r>
        <w:rPr>
          <w:rFonts w:hint="eastAsia" w:ascii="Times New Roman" w:hAnsi="Times New Roman" w:eastAsia="宋体" w:cs="Times New Roman"/>
          <w:color w:val="auto"/>
          <w:sz w:val="36"/>
          <w:szCs w:val="36"/>
          <w:highlight w:val="none"/>
          <w:u w:val="single"/>
          <w:lang w:eastAsia="zh-CN"/>
        </w:rPr>
        <w:t>马尔康市教育局</w:t>
      </w:r>
      <w:r>
        <w:rPr>
          <w:rFonts w:hint="eastAsia" w:ascii="Times New Roman" w:hAnsi="Times New Roman" w:eastAsia="宋体" w:cs="Times New Roman"/>
          <w:color w:val="auto"/>
          <w:sz w:val="36"/>
          <w:szCs w:val="36"/>
          <w:highlight w:val="none"/>
          <w:u w:val="single"/>
          <w:lang w:val="en-US" w:eastAsia="zh-CN"/>
        </w:rPr>
        <w:t xml:space="preserve">           </w:t>
      </w:r>
    </w:p>
    <w:p w14:paraId="63EEB135">
      <w:pPr>
        <w:keepNext w:val="0"/>
        <w:keepLines w:val="0"/>
        <w:pageBreakBefore w:val="0"/>
        <w:widowControl w:val="0"/>
        <w:kinsoku/>
        <w:wordWrap/>
        <w:overflowPunct/>
        <w:topLinePunct w:val="0"/>
        <w:autoSpaceDE/>
        <w:autoSpaceDN/>
        <w:bidi w:val="0"/>
        <w:adjustRightInd w:val="0"/>
        <w:snapToGrid w:val="0"/>
        <w:spacing w:line="480" w:lineRule="auto"/>
        <w:ind w:firstLine="340"/>
        <w:textAlignment w:val="auto"/>
        <w:rPr>
          <w:rFonts w:ascii="仿宋_GB2312" w:eastAsia="仿宋_GB2312"/>
          <w:color w:val="auto"/>
          <w:sz w:val="36"/>
          <w:szCs w:val="36"/>
          <w:highlight w:val="none"/>
          <w:u w:val="single"/>
        </w:rPr>
      </w:pPr>
      <w:r>
        <w:rPr>
          <w:rFonts w:ascii="Times New Roman" w:hAnsi="Times New Roman" w:eastAsia="宋体" w:cs="Times New Roman"/>
          <w:color w:val="auto"/>
          <w:sz w:val="36"/>
          <w:szCs w:val="36"/>
          <w:highlight w:val="none"/>
        </w:rPr>
        <w:t>编制日期：</w:t>
      </w:r>
      <w:r>
        <w:rPr>
          <w:rFonts w:ascii="Times New Roman" w:hAnsi="Times New Roman" w:eastAsia="宋体" w:cs="Times New Roman"/>
          <w:color w:val="auto"/>
          <w:sz w:val="36"/>
          <w:szCs w:val="36"/>
          <w:highlight w:val="none"/>
          <w:u w:val="single"/>
        </w:rPr>
        <w:t xml:space="preserve">      </w:t>
      </w:r>
      <w:r>
        <w:rPr>
          <w:rFonts w:hint="eastAsia" w:ascii="Times New Roman" w:hAnsi="Times New Roman" w:eastAsia="宋体" w:cs="Times New Roman"/>
          <w:color w:val="auto"/>
          <w:sz w:val="36"/>
          <w:szCs w:val="36"/>
          <w:highlight w:val="none"/>
          <w:u w:val="single"/>
          <w:lang w:val="en-US" w:eastAsia="zh-CN"/>
        </w:rPr>
        <w:t xml:space="preserve">   </w:t>
      </w:r>
      <w:r>
        <w:rPr>
          <w:rFonts w:ascii="Times New Roman" w:hAnsi="Times New Roman" w:eastAsia="宋体" w:cs="Times New Roman"/>
          <w:color w:val="auto"/>
          <w:sz w:val="36"/>
          <w:szCs w:val="36"/>
          <w:highlight w:val="none"/>
          <w:u w:val="single"/>
        </w:rPr>
        <w:t xml:space="preserve">    202</w:t>
      </w:r>
      <w:r>
        <w:rPr>
          <w:rFonts w:hint="eastAsia" w:ascii="Times New Roman" w:hAnsi="Times New Roman" w:eastAsia="宋体" w:cs="Times New Roman"/>
          <w:color w:val="auto"/>
          <w:sz w:val="36"/>
          <w:szCs w:val="36"/>
          <w:highlight w:val="none"/>
          <w:u w:val="single"/>
          <w:lang w:val="en-US" w:eastAsia="zh-CN"/>
        </w:rPr>
        <w:t>5</w:t>
      </w:r>
      <w:r>
        <w:rPr>
          <w:rFonts w:ascii="Times New Roman" w:hAnsi="Times New Roman" w:eastAsia="宋体" w:cs="Times New Roman"/>
          <w:color w:val="auto"/>
          <w:sz w:val="36"/>
          <w:szCs w:val="36"/>
          <w:highlight w:val="none"/>
          <w:u w:val="single"/>
        </w:rPr>
        <w:t>年</w:t>
      </w:r>
      <w:r>
        <w:rPr>
          <w:rFonts w:hint="eastAsia" w:ascii="Times New Roman" w:hAnsi="Times New Roman" w:eastAsia="宋体" w:cs="Times New Roman"/>
          <w:color w:val="auto"/>
          <w:sz w:val="36"/>
          <w:szCs w:val="36"/>
          <w:highlight w:val="none"/>
          <w:u w:val="single"/>
          <w:lang w:val="en-US" w:eastAsia="zh-CN"/>
        </w:rPr>
        <w:t>11</w:t>
      </w:r>
      <w:r>
        <w:rPr>
          <w:rFonts w:ascii="Times New Roman" w:hAnsi="Times New Roman" w:eastAsia="宋体" w:cs="Times New Roman"/>
          <w:color w:val="auto"/>
          <w:sz w:val="36"/>
          <w:szCs w:val="36"/>
          <w:highlight w:val="none"/>
          <w:u w:val="single"/>
        </w:rPr>
        <w:t xml:space="preserve">月       </w:t>
      </w:r>
      <w:r>
        <w:rPr>
          <w:rFonts w:hint="eastAsia" w:ascii="Times New Roman" w:hAnsi="Times New Roman" w:eastAsia="宋体" w:cs="Times New Roman"/>
          <w:color w:val="auto"/>
          <w:sz w:val="36"/>
          <w:szCs w:val="36"/>
          <w:highlight w:val="none"/>
          <w:u w:val="single"/>
          <w:lang w:val="en-US" w:eastAsia="zh-CN"/>
        </w:rPr>
        <w:t xml:space="preserve">     </w:t>
      </w:r>
      <w:r>
        <w:rPr>
          <w:rFonts w:ascii="Times New Roman" w:hAnsi="Times New Roman" w:eastAsia="宋体" w:cs="Times New Roman"/>
          <w:color w:val="auto"/>
          <w:sz w:val="36"/>
          <w:szCs w:val="36"/>
          <w:highlight w:val="none"/>
          <w:u w:val="single"/>
        </w:rPr>
        <w:t xml:space="preserve"> </w:t>
      </w:r>
    </w:p>
    <w:p w14:paraId="0B4EF41B">
      <w:pPr>
        <w:adjustRightInd w:val="0"/>
        <w:snapToGrid w:val="0"/>
        <w:ind w:firstLine="1040"/>
        <w:rPr>
          <w:rFonts w:ascii="仿宋_GB2312" w:eastAsia="仿宋_GB2312"/>
          <w:color w:val="auto"/>
          <w:sz w:val="36"/>
          <w:szCs w:val="36"/>
          <w:highlight w:val="none"/>
        </w:rPr>
      </w:pPr>
      <w:bookmarkStart w:id="0" w:name="_Hlk57884087"/>
    </w:p>
    <w:p w14:paraId="70ECF4FB">
      <w:pPr>
        <w:pStyle w:val="39"/>
        <w:rPr>
          <w:color w:val="auto"/>
          <w:highlight w:val="none"/>
        </w:rPr>
      </w:pPr>
    </w:p>
    <w:p w14:paraId="4EA38A8A">
      <w:pPr>
        <w:pStyle w:val="39"/>
        <w:rPr>
          <w:color w:val="auto"/>
          <w:highlight w:val="none"/>
        </w:rPr>
      </w:pPr>
    </w:p>
    <w:p w14:paraId="5B882726">
      <w:pPr>
        <w:adjustRightInd w:val="0"/>
        <w:snapToGrid w:val="0"/>
        <w:ind w:firstLine="1040"/>
        <w:rPr>
          <w:rFonts w:ascii="仿宋_GB2312" w:eastAsia="仿宋_GB2312"/>
          <w:color w:val="auto"/>
          <w:sz w:val="36"/>
          <w:szCs w:val="36"/>
          <w:highlight w:val="none"/>
        </w:rPr>
      </w:pPr>
    </w:p>
    <w:bookmarkEnd w:id="0"/>
    <w:p w14:paraId="334AA0D3">
      <w:pPr>
        <w:spacing w:line="288" w:lineRule="auto"/>
        <w:jc w:val="center"/>
        <w:rPr>
          <w:rFonts w:ascii="楷体" w:hAnsi="楷体" w:eastAsia="楷体"/>
          <w:color w:val="auto"/>
          <w:sz w:val="36"/>
          <w:szCs w:val="36"/>
          <w:highlight w:val="none"/>
        </w:rPr>
        <w:sectPr>
          <w:footerReference r:id="rId3" w:type="default"/>
          <w:pgSz w:w="11906" w:h="16838"/>
          <w:pgMar w:top="1701" w:right="1531" w:bottom="1701" w:left="1531"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楷体_GB2312" w:eastAsia="楷体_GB2312"/>
          <w:color w:val="auto"/>
          <w:sz w:val="36"/>
          <w:szCs w:val="36"/>
          <w:highlight w:val="none"/>
        </w:rPr>
        <w:t>中华人民共和国生态环境部制</w:t>
      </w:r>
    </w:p>
    <w:p w14:paraId="30BD91F1">
      <w:pPr>
        <w:spacing w:line="288" w:lineRule="auto"/>
        <w:jc w:val="center"/>
        <w:rPr>
          <w:rFonts w:asciiTheme="minorEastAsia" w:hAnsiTheme="minorEastAsia"/>
          <w:b/>
          <w:bCs/>
          <w:color w:val="auto"/>
          <w:sz w:val="44"/>
          <w:szCs w:val="44"/>
          <w:highlight w:val="none"/>
        </w:rPr>
      </w:pPr>
      <w:r>
        <w:rPr>
          <w:rFonts w:asciiTheme="minorEastAsia" w:hAnsiTheme="minorEastAsia"/>
          <w:b/>
          <w:bCs/>
          <w:color w:val="auto"/>
          <w:sz w:val="44"/>
          <w:szCs w:val="44"/>
          <w:highlight w:val="none"/>
        </w:rPr>
        <w:t>目</w:t>
      </w:r>
      <w:r>
        <w:rPr>
          <w:rFonts w:hint="eastAsia" w:asciiTheme="minorEastAsia" w:hAnsiTheme="minorEastAsia"/>
          <w:b/>
          <w:bCs/>
          <w:color w:val="auto"/>
          <w:sz w:val="44"/>
          <w:szCs w:val="44"/>
          <w:highlight w:val="none"/>
        </w:rPr>
        <w:t xml:space="preserve"> </w:t>
      </w:r>
      <w:r>
        <w:rPr>
          <w:rFonts w:asciiTheme="minorEastAsia" w:hAnsiTheme="minorEastAsia"/>
          <w:b/>
          <w:bCs/>
          <w:color w:val="auto"/>
          <w:sz w:val="44"/>
          <w:szCs w:val="44"/>
          <w:highlight w:val="none"/>
        </w:rPr>
        <w:t>录</w:t>
      </w:r>
    </w:p>
    <w:p w14:paraId="52B49F1F">
      <w:pPr>
        <w:pStyle w:val="39"/>
        <w:rPr>
          <w:color w:val="auto"/>
          <w:highlight w:val="none"/>
        </w:rPr>
      </w:pPr>
    </w:p>
    <w:p w14:paraId="4B1817EC">
      <w:pPr>
        <w:spacing w:line="360" w:lineRule="auto"/>
        <w:rPr>
          <w:color w:val="auto"/>
          <w:sz w:val="28"/>
          <w:szCs w:val="28"/>
          <w:highlight w:val="none"/>
        </w:rPr>
      </w:pPr>
    </w:p>
    <w:p w14:paraId="1184E3B2">
      <w:pPr>
        <w:pStyle w:val="28"/>
        <w:tabs>
          <w:tab w:val="right" w:leader="dot" w:pos="9736"/>
        </w:tabs>
        <w:spacing w:line="360" w:lineRule="auto"/>
        <w:rPr>
          <w:rFonts w:ascii="Times New Roman" w:hAnsi="Times New Roman" w:cs="Times New Roman"/>
          <w:b w:val="0"/>
          <w:bCs w:val="0"/>
          <w:caps w:val="0"/>
          <w:color w:val="auto"/>
          <w:sz w:val="28"/>
          <w:szCs w:val="28"/>
          <w:highlight w:val="none"/>
        </w:rPr>
      </w:pPr>
      <w:r>
        <w:rPr>
          <w:rFonts w:ascii="Times New Roman" w:hAnsi="Times New Roman" w:cs="Times New Roman"/>
          <w:b w:val="0"/>
          <w:bCs w:val="0"/>
          <w:color w:val="auto"/>
          <w:sz w:val="28"/>
          <w:szCs w:val="28"/>
          <w:highlight w:val="none"/>
        </w:rPr>
        <w:fldChar w:fldCharType="begin"/>
      </w:r>
      <w:r>
        <w:rPr>
          <w:rFonts w:ascii="Times New Roman" w:hAnsi="Times New Roman" w:cs="Times New Roman"/>
          <w:b w:val="0"/>
          <w:bCs w:val="0"/>
          <w:color w:val="auto"/>
          <w:sz w:val="28"/>
          <w:szCs w:val="28"/>
          <w:highlight w:val="none"/>
        </w:rPr>
        <w:instrText xml:space="preserve"> TOC \o "1-1" \h \z \u </w:instrText>
      </w:r>
      <w:r>
        <w:rPr>
          <w:rFonts w:ascii="Times New Roman" w:hAnsi="Times New Roman" w:cs="Times New Roman"/>
          <w:b w:val="0"/>
          <w:bCs w:val="0"/>
          <w:color w:val="auto"/>
          <w:sz w:val="28"/>
          <w:szCs w:val="28"/>
          <w:highlight w:val="none"/>
        </w:rPr>
        <w:fldChar w:fldCharType="separate"/>
      </w:r>
      <w:r>
        <w:rPr>
          <w:color w:val="auto"/>
          <w:highlight w:val="none"/>
        </w:rPr>
        <w:fldChar w:fldCharType="begin"/>
      </w:r>
      <w:r>
        <w:rPr>
          <w:color w:val="auto"/>
          <w:highlight w:val="none"/>
        </w:rPr>
        <w:instrText xml:space="preserve"> HYPERLINK \l "_Toc130804815" </w:instrText>
      </w:r>
      <w:r>
        <w:rPr>
          <w:color w:val="auto"/>
          <w:highlight w:val="none"/>
        </w:rPr>
        <w:fldChar w:fldCharType="separate"/>
      </w:r>
      <w:r>
        <w:rPr>
          <w:rStyle w:val="47"/>
          <w:rFonts w:ascii="Times New Roman" w:hAnsi="Times New Roman" w:cs="Times New Roman"/>
          <w:b w:val="0"/>
          <w:color w:val="auto"/>
          <w:sz w:val="28"/>
          <w:szCs w:val="28"/>
          <w:highlight w:val="none"/>
        </w:rPr>
        <w:t>一、建设项目基本情况</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_Toc130804815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1</w:t>
      </w:r>
      <w:r>
        <w:rPr>
          <w:rFonts w:ascii="Times New Roman" w:hAnsi="Times New Roman" w:cs="Times New Roman"/>
          <w:b w:val="0"/>
          <w:color w:val="auto"/>
          <w:sz w:val="28"/>
          <w:szCs w:val="28"/>
          <w:highlight w:val="none"/>
        </w:rPr>
        <w:fldChar w:fldCharType="end"/>
      </w:r>
      <w:r>
        <w:rPr>
          <w:rFonts w:ascii="Times New Roman" w:hAnsi="Times New Roman" w:cs="Times New Roman"/>
          <w:b w:val="0"/>
          <w:color w:val="auto"/>
          <w:sz w:val="28"/>
          <w:szCs w:val="28"/>
          <w:highlight w:val="none"/>
        </w:rPr>
        <w:fldChar w:fldCharType="end"/>
      </w:r>
    </w:p>
    <w:p w14:paraId="5E8D499F">
      <w:pPr>
        <w:pStyle w:val="28"/>
        <w:tabs>
          <w:tab w:val="right" w:leader="dot" w:pos="9736"/>
        </w:tabs>
        <w:spacing w:line="360" w:lineRule="auto"/>
        <w:rPr>
          <w:rFonts w:ascii="Times New Roman" w:hAnsi="Times New Roman" w:cs="Times New Roman"/>
          <w:b w:val="0"/>
          <w:bCs w:val="0"/>
          <w:caps w:val="0"/>
          <w:color w:val="auto"/>
          <w:sz w:val="28"/>
          <w:szCs w:val="28"/>
          <w:highlight w:val="none"/>
        </w:rPr>
      </w:pPr>
      <w:r>
        <w:rPr>
          <w:color w:val="auto"/>
          <w:highlight w:val="none"/>
        </w:rPr>
        <w:fldChar w:fldCharType="begin"/>
      </w:r>
      <w:r>
        <w:rPr>
          <w:color w:val="auto"/>
          <w:highlight w:val="none"/>
        </w:rPr>
        <w:instrText xml:space="preserve"> HYPERLINK \l "_Toc130804816" </w:instrText>
      </w:r>
      <w:r>
        <w:rPr>
          <w:color w:val="auto"/>
          <w:highlight w:val="none"/>
        </w:rPr>
        <w:fldChar w:fldCharType="separate"/>
      </w:r>
      <w:r>
        <w:rPr>
          <w:rStyle w:val="47"/>
          <w:rFonts w:ascii="Times New Roman" w:hAnsi="Times New Roman" w:cs="Times New Roman"/>
          <w:b w:val="0"/>
          <w:color w:val="auto"/>
          <w:sz w:val="28"/>
          <w:szCs w:val="28"/>
          <w:highlight w:val="none"/>
        </w:rPr>
        <w:t>二、建设项目工程分析</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_Toc130804816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31</w:t>
      </w:r>
      <w:r>
        <w:rPr>
          <w:rFonts w:ascii="Times New Roman" w:hAnsi="Times New Roman" w:cs="Times New Roman"/>
          <w:b w:val="0"/>
          <w:color w:val="auto"/>
          <w:sz w:val="28"/>
          <w:szCs w:val="28"/>
          <w:highlight w:val="none"/>
        </w:rPr>
        <w:fldChar w:fldCharType="end"/>
      </w:r>
      <w:r>
        <w:rPr>
          <w:rFonts w:ascii="Times New Roman" w:hAnsi="Times New Roman" w:cs="Times New Roman"/>
          <w:b w:val="0"/>
          <w:color w:val="auto"/>
          <w:sz w:val="28"/>
          <w:szCs w:val="28"/>
          <w:highlight w:val="none"/>
        </w:rPr>
        <w:fldChar w:fldCharType="end"/>
      </w:r>
    </w:p>
    <w:p w14:paraId="3ED42AE7">
      <w:pPr>
        <w:pStyle w:val="28"/>
        <w:tabs>
          <w:tab w:val="right" w:leader="dot" w:pos="9736"/>
        </w:tabs>
        <w:spacing w:line="360" w:lineRule="auto"/>
        <w:rPr>
          <w:rFonts w:ascii="Times New Roman" w:hAnsi="Times New Roman" w:cs="Times New Roman"/>
          <w:b w:val="0"/>
          <w:bCs w:val="0"/>
          <w:caps w:val="0"/>
          <w:color w:val="auto"/>
          <w:sz w:val="28"/>
          <w:szCs w:val="28"/>
          <w:highlight w:val="none"/>
        </w:rPr>
      </w:pPr>
      <w:r>
        <w:rPr>
          <w:color w:val="auto"/>
          <w:highlight w:val="none"/>
        </w:rPr>
        <w:fldChar w:fldCharType="begin"/>
      </w:r>
      <w:r>
        <w:rPr>
          <w:color w:val="auto"/>
          <w:highlight w:val="none"/>
        </w:rPr>
        <w:instrText xml:space="preserve"> HYPERLINK \l "_Toc130804817" </w:instrText>
      </w:r>
      <w:r>
        <w:rPr>
          <w:color w:val="auto"/>
          <w:highlight w:val="none"/>
        </w:rPr>
        <w:fldChar w:fldCharType="separate"/>
      </w:r>
      <w:r>
        <w:rPr>
          <w:rStyle w:val="47"/>
          <w:rFonts w:ascii="Times New Roman" w:hAnsi="Times New Roman" w:cs="Times New Roman"/>
          <w:b w:val="0"/>
          <w:color w:val="auto"/>
          <w:sz w:val="28"/>
          <w:szCs w:val="28"/>
          <w:highlight w:val="none"/>
        </w:rPr>
        <w:t>三、区域环境质量现状、环境保护目标及评价标准</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_Toc130804817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84</w:t>
      </w:r>
      <w:r>
        <w:rPr>
          <w:rFonts w:ascii="Times New Roman" w:hAnsi="Times New Roman" w:cs="Times New Roman"/>
          <w:b w:val="0"/>
          <w:color w:val="auto"/>
          <w:sz w:val="28"/>
          <w:szCs w:val="28"/>
          <w:highlight w:val="none"/>
        </w:rPr>
        <w:fldChar w:fldCharType="end"/>
      </w:r>
      <w:r>
        <w:rPr>
          <w:rFonts w:ascii="Times New Roman" w:hAnsi="Times New Roman" w:cs="Times New Roman"/>
          <w:b w:val="0"/>
          <w:color w:val="auto"/>
          <w:sz w:val="28"/>
          <w:szCs w:val="28"/>
          <w:highlight w:val="none"/>
        </w:rPr>
        <w:fldChar w:fldCharType="end"/>
      </w:r>
    </w:p>
    <w:p w14:paraId="2103A5B9">
      <w:pPr>
        <w:pStyle w:val="28"/>
        <w:tabs>
          <w:tab w:val="right" w:leader="dot" w:pos="9736"/>
        </w:tabs>
        <w:spacing w:line="360" w:lineRule="auto"/>
        <w:rPr>
          <w:rFonts w:ascii="Times New Roman" w:hAnsi="Times New Roman" w:cs="Times New Roman"/>
          <w:b w:val="0"/>
          <w:bCs w:val="0"/>
          <w:caps w:val="0"/>
          <w:color w:val="auto"/>
          <w:sz w:val="28"/>
          <w:szCs w:val="28"/>
          <w:highlight w:val="none"/>
        </w:rPr>
      </w:pPr>
      <w:r>
        <w:rPr>
          <w:color w:val="auto"/>
          <w:highlight w:val="none"/>
        </w:rPr>
        <w:fldChar w:fldCharType="begin"/>
      </w:r>
      <w:r>
        <w:rPr>
          <w:color w:val="auto"/>
          <w:highlight w:val="none"/>
        </w:rPr>
        <w:instrText xml:space="preserve"> HYPERLINK \l "_Toc130804818" </w:instrText>
      </w:r>
      <w:r>
        <w:rPr>
          <w:color w:val="auto"/>
          <w:highlight w:val="none"/>
        </w:rPr>
        <w:fldChar w:fldCharType="separate"/>
      </w:r>
      <w:r>
        <w:rPr>
          <w:rStyle w:val="47"/>
          <w:rFonts w:ascii="Times New Roman" w:hAnsi="Times New Roman" w:cs="Times New Roman"/>
          <w:b w:val="0"/>
          <w:color w:val="auto"/>
          <w:sz w:val="28"/>
          <w:szCs w:val="28"/>
          <w:highlight w:val="none"/>
        </w:rPr>
        <w:t>四、主要环境影响和环保措施</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_Toc130804818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92</w:t>
      </w:r>
      <w:r>
        <w:rPr>
          <w:rFonts w:ascii="Times New Roman" w:hAnsi="Times New Roman" w:cs="Times New Roman"/>
          <w:b w:val="0"/>
          <w:color w:val="auto"/>
          <w:sz w:val="28"/>
          <w:szCs w:val="28"/>
          <w:highlight w:val="none"/>
        </w:rPr>
        <w:fldChar w:fldCharType="end"/>
      </w:r>
      <w:r>
        <w:rPr>
          <w:rFonts w:ascii="Times New Roman" w:hAnsi="Times New Roman" w:cs="Times New Roman"/>
          <w:b w:val="0"/>
          <w:color w:val="auto"/>
          <w:sz w:val="28"/>
          <w:szCs w:val="28"/>
          <w:highlight w:val="none"/>
        </w:rPr>
        <w:fldChar w:fldCharType="end"/>
      </w:r>
    </w:p>
    <w:p w14:paraId="5DAA3E6B">
      <w:pPr>
        <w:pStyle w:val="28"/>
        <w:tabs>
          <w:tab w:val="right" w:leader="dot" w:pos="9736"/>
        </w:tabs>
        <w:spacing w:line="360" w:lineRule="auto"/>
        <w:rPr>
          <w:rFonts w:ascii="Times New Roman" w:hAnsi="Times New Roman" w:cs="Times New Roman"/>
          <w:b w:val="0"/>
          <w:bCs w:val="0"/>
          <w:caps w:val="0"/>
          <w:color w:val="auto"/>
          <w:sz w:val="28"/>
          <w:szCs w:val="28"/>
          <w:highlight w:val="none"/>
        </w:rPr>
      </w:pPr>
      <w:r>
        <w:rPr>
          <w:color w:val="auto"/>
          <w:highlight w:val="none"/>
        </w:rPr>
        <w:fldChar w:fldCharType="begin"/>
      </w:r>
      <w:r>
        <w:rPr>
          <w:color w:val="auto"/>
          <w:highlight w:val="none"/>
        </w:rPr>
        <w:instrText xml:space="preserve"> HYPERLINK \l "_Toc130804819" </w:instrText>
      </w:r>
      <w:r>
        <w:rPr>
          <w:color w:val="auto"/>
          <w:highlight w:val="none"/>
        </w:rPr>
        <w:fldChar w:fldCharType="separate"/>
      </w:r>
      <w:r>
        <w:rPr>
          <w:rStyle w:val="47"/>
          <w:rFonts w:ascii="Times New Roman" w:hAnsi="Times New Roman" w:cs="Times New Roman"/>
          <w:b w:val="0"/>
          <w:color w:val="auto"/>
          <w:sz w:val="28"/>
          <w:szCs w:val="28"/>
          <w:highlight w:val="none"/>
        </w:rPr>
        <w:t>五、环境保护措施监督检查清单</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_Toc130804819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125</w:t>
      </w:r>
      <w:r>
        <w:rPr>
          <w:rFonts w:ascii="Times New Roman" w:hAnsi="Times New Roman" w:cs="Times New Roman"/>
          <w:b w:val="0"/>
          <w:color w:val="auto"/>
          <w:sz w:val="28"/>
          <w:szCs w:val="28"/>
          <w:highlight w:val="none"/>
        </w:rPr>
        <w:fldChar w:fldCharType="end"/>
      </w:r>
      <w:r>
        <w:rPr>
          <w:rFonts w:ascii="Times New Roman" w:hAnsi="Times New Roman" w:cs="Times New Roman"/>
          <w:b w:val="0"/>
          <w:color w:val="auto"/>
          <w:sz w:val="28"/>
          <w:szCs w:val="28"/>
          <w:highlight w:val="none"/>
        </w:rPr>
        <w:fldChar w:fldCharType="end"/>
      </w:r>
    </w:p>
    <w:p w14:paraId="1A619DA5">
      <w:pPr>
        <w:pStyle w:val="28"/>
        <w:tabs>
          <w:tab w:val="right" w:leader="dot" w:pos="9736"/>
        </w:tabs>
        <w:spacing w:line="360" w:lineRule="auto"/>
        <w:rPr>
          <w:rFonts w:ascii="Times New Roman" w:hAnsi="Times New Roman" w:cs="Times New Roman"/>
          <w:b w:val="0"/>
          <w:bCs w:val="0"/>
          <w:caps w:val="0"/>
          <w:color w:val="auto"/>
          <w:sz w:val="28"/>
          <w:szCs w:val="28"/>
          <w:highlight w:val="none"/>
        </w:rPr>
      </w:pPr>
      <w:r>
        <w:rPr>
          <w:color w:val="auto"/>
          <w:highlight w:val="none"/>
        </w:rPr>
        <w:fldChar w:fldCharType="begin"/>
      </w:r>
      <w:r>
        <w:rPr>
          <w:color w:val="auto"/>
          <w:highlight w:val="none"/>
        </w:rPr>
        <w:instrText xml:space="preserve"> HYPERLINK \l "_Toc130804820" </w:instrText>
      </w:r>
      <w:r>
        <w:rPr>
          <w:color w:val="auto"/>
          <w:highlight w:val="none"/>
        </w:rPr>
        <w:fldChar w:fldCharType="separate"/>
      </w:r>
      <w:r>
        <w:rPr>
          <w:rStyle w:val="47"/>
          <w:rFonts w:ascii="Times New Roman" w:hAnsi="Times New Roman" w:cs="Times New Roman"/>
          <w:b w:val="0"/>
          <w:color w:val="auto"/>
          <w:sz w:val="28"/>
          <w:szCs w:val="28"/>
          <w:highlight w:val="none"/>
        </w:rPr>
        <w:t>六、结论</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_Toc130804820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126</w:t>
      </w:r>
      <w:r>
        <w:rPr>
          <w:rFonts w:ascii="Times New Roman" w:hAnsi="Times New Roman" w:cs="Times New Roman"/>
          <w:b w:val="0"/>
          <w:color w:val="auto"/>
          <w:sz w:val="28"/>
          <w:szCs w:val="28"/>
          <w:highlight w:val="none"/>
        </w:rPr>
        <w:fldChar w:fldCharType="end"/>
      </w:r>
      <w:r>
        <w:rPr>
          <w:rFonts w:ascii="Times New Roman" w:hAnsi="Times New Roman" w:cs="Times New Roman"/>
          <w:b w:val="0"/>
          <w:color w:val="auto"/>
          <w:sz w:val="28"/>
          <w:szCs w:val="28"/>
          <w:highlight w:val="none"/>
        </w:rPr>
        <w:fldChar w:fldCharType="end"/>
      </w:r>
    </w:p>
    <w:p w14:paraId="0EE9FBCC">
      <w:pPr>
        <w:pStyle w:val="28"/>
        <w:tabs>
          <w:tab w:val="right" w:leader="dot" w:pos="9736"/>
        </w:tabs>
        <w:spacing w:line="360" w:lineRule="auto"/>
        <w:rPr>
          <w:rFonts w:ascii="Times New Roman" w:hAnsi="Times New Roman" w:cs="Times New Roman"/>
          <w:b w:val="0"/>
          <w:bCs w:val="0"/>
          <w:caps w:val="0"/>
          <w:color w:val="auto"/>
          <w:sz w:val="28"/>
          <w:szCs w:val="28"/>
          <w:highlight w:val="none"/>
        </w:rPr>
      </w:pPr>
      <w:r>
        <w:rPr>
          <w:color w:val="auto"/>
          <w:highlight w:val="none"/>
        </w:rPr>
        <w:fldChar w:fldCharType="begin"/>
      </w:r>
      <w:r>
        <w:rPr>
          <w:color w:val="auto"/>
          <w:highlight w:val="none"/>
        </w:rPr>
        <w:instrText xml:space="preserve"> HYPERLINK \l "_Toc130804821" </w:instrText>
      </w:r>
      <w:r>
        <w:rPr>
          <w:color w:val="auto"/>
          <w:highlight w:val="none"/>
        </w:rPr>
        <w:fldChar w:fldCharType="separate"/>
      </w:r>
      <w:r>
        <w:rPr>
          <w:rStyle w:val="47"/>
          <w:rFonts w:ascii="Times New Roman" w:hAnsi="Times New Roman" w:cs="Times New Roman"/>
          <w:b w:val="0"/>
          <w:color w:val="auto"/>
          <w:sz w:val="28"/>
          <w:szCs w:val="28"/>
          <w:highlight w:val="none"/>
        </w:rPr>
        <w:t>附表</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_Toc130804821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127</w:t>
      </w:r>
      <w:r>
        <w:rPr>
          <w:rFonts w:ascii="Times New Roman" w:hAnsi="Times New Roman" w:cs="Times New Roman"/>
          <w:b w:val="0"/>
          <w:color w:val="auto"/>
          <w:sz w:val="28"/>
          <w:szCs w:val="28"/>
          <w:highlight w:val="none"/>
        </w:rPr>
        <w:fldChar w:fldCharType="end"/>
      </w:r>
      <w:r>
        <w:rPr>
          <w:rFonts w:ascii="Times New Roman" w:hAnsi="Times New Roman" w:cs="Times New Roman"/>
          <w:b w:val="0"/>
          <w:color w:val="auto"/>
          <w:sz w:val="28"/>
          <w:szCs w:val="28"/>
          <w:highlight w:val="none"/>
        </w:rPr>
        <w:fldChar w:fldCharType="end"/>
      </w:r>
    </w:p>
    <w:p w14:paraId="75210EE0">
      <w:pPr>
        <w:pStyle w:val="39"/>
        <w:spacing w:line="360" w:lineRule="auto"/>
        <w:rPr>
          <w:rFonts w:asciiTheme="minorEastAsia" w:hAnsiTheme="minorEastAsia" w:eastAsiaTheme="minorEastAsia" w:cstheme="majorBidi"/>
          <w:bCs/>
          <w:color w:val="auto"/>
          <w:kern w:val="2"/>
          <w:sz w:val="30"/>
          <w:szCs w:val="30"/>
          <w:highlight w:val="none"/>
        </w:rPr>
      </w:pPr>
      <w:r>
        <w:rPr>
          <w:rFonts w:eastAsiaTheme="minorEastAsia"/>
          <w:bCs/>
          <w:color w:val="auto"/>
          <w:kern w:val="2"/>
          <w:sz w:val="28"/>
          <w:szCs w:val="28"/>
          <w:highlight w:val="none"/>
        </w:rPr>
        <w:fldChar w:fldCharType="end"/>
      </w:r>
    </w:p>
    <w:p w14:paraId="298A0D43">
      <w:pPr>
        <w:rPr>
          <w:rFonts w:hint="eastAsia" w:asciiTheme="minorEastAsia" w:hAnsiTheme="minorEastAsia" w:cstheme="majorBidi"/>
          <w:bCs/>
          <w:color w:val="auto"/>
          <w:sz w:val="30"/>
          <w:szCs w:val="30"/>
          <w:highlight w:val="none"/>
          <w:lang w:val="en-US" w:eastAsia="zh-CN"/>
        </w:rPr>
      </w:pPr>
    </w:p>
    <w:p w14:paraId="71466413">
      <w:pPr>
        <w:rPr>
          <w:rFonts w:hint="default" w:asciiTheme="minorEastAsia" w:hAnsiTheme="minorEastAsia" w:cstheme="majorBidi"/>
          <w:bCs/>
          <w:color w:val="auto"/>
          <w:sz w:val="30"/>
          <w:szCs w:val="30"/>
          <w:highlight w:val="none"/>
          <w:lang w:val="en-US" w:eastAsia="zh-CN"/>
        </w:rPr>
      </w:pPr>
    </w:p>
    <w:p w14:paraId="520DB5A5">
      <w:pPr>
        <w:pStyle w:val="39"/>
        <w:rPr>
          <w:rFonts w:asciiTheme="minorEastAsia" w:hAnsiTheme="minorEastAsia" w:eastAsiaTheme="minorEastAsia" w:cstheme="majorBidi"/>
          <w:bCs/>
          <w:color w:val="auto"/>
          <w:kern w:val="2"/>
          <w:sz w:val="30"/>
          <w:szCs w:val="30"/>
          <w:highlight w:val="none"/>
        </w:rPr>
      </w:pPr>
    </w:p>
    <w:p w14:paraId="636E6CCA">
      <w:pPr>
        <w:rPr>
          <w:rFonts w:asciiTheme="minorEastAsia" w:hAnsiTheme="minorEastAsia" w:cstheme="majorBidi"/>
          <w:bCs/>
          <w:color w:val="auto"/>
          <w:sz w:val="30"/>
          <w:szCs w:val="30"/>
          <w:highlight w:val="none"/>
        </w:rPr>
      </w:pPr>
    </w:p>
    <w:p w14:paraId="6E00998D">
      <w:pPr>
        <w:pStyle w:val="39"/>
        <w:rPr>
          <w:rFonts w:asciiTheme="minorEastAsia" w:hAnsiTheme="minorEastAsia" w:eastAsiaTheme="minorEastAsia" w:cstheme="majorBidi"/>
          <w:bCs/>
          <w:color w:val="auto"/>
          <w:kern w:val="2"/>
          <w:sz w:val="30"/>
          <w:szCs w:val="30"/>
          <w:highlight w:val="none"/>
        </w:rPr>
      </w:pPr>
    </w:p>
    <w:p w14:paraId="7D53B1A6">
      <w:pPr>
        <w:rPr>
          <w:rFonts w:asciiTheme="minorEastAsia" w:hAnsiTheme="minorEastAsia" w:cstheme="majorBidi"/>
          <w:bCs/>
          <w:color w:val="auto"/>
          <w:sz w:val="30"/>
          <w:szCs w:val="30"/>
          <w:highlight w:val="none"/>
        </w:rPr>
      </w:pPr>
    </w:p>
    <w:p w14:paraId="002163C9">
      <w:pPr>
        <w:pStyle w:val="39"/>
        <w:rPr>
          <w:color w:val="auto"/>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14:paraId="4EC74BEE">
      <w:pPr>
        <w:pStyle w:val="36"/>
        <w:rPr>
          <w:rFonts w:ascii="黑体" w:hAnsi="黑体" w:eastAsia="黑体"/>
          <w:b w:val="0"/>
          <w:color w:val="auto"/>
          <w:sz w:val="30"/>
          <w:szCs w:val="30"/>
          <w:highlight w:val="none"/>
        </w:rPr>
      </w:pPr>
      <w:bookmarkStart w:id="1" w:name="_Toc130804815"/>
      <w:r>
        <w:rPr>
          <w:rFonts w:hint="eastAsia" w:ascii="黑体" w:hAnsi="黑体" w:eastAsia="黑体"/>
          <w:b w:val="0"/>
          <w:color w:val="auto"/>
          <w:sz w:val="30"/>
          <w:szCs w:val="30"/>
          <w:highlight w:val="none"/>
        </w:rPr>
        <w:t>一、建设项目基本情况</w:t>
      </w:r>
      <w:bookmarkEnd w:id="1"/>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179"/>
        <w:gridCol w:w="2424"/>
        <w:gridCol w:w="1852"/>
        <w:gridCol w:w="3680"/>
      </w:tblGrid>
      <w:tr w14:paraId="2D9C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trPr>
        <w:tc>
          <w:tcPr>
            <w:tcW w:w="2006" w:type="dxa"/>
            <w:gridSpan w:val="2"/>
            <w:vAlign w:val="center"/>
          </w:tcPr>
          <w:p w14:paraId="274D76A0">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建设项目名称</w:t>
            </w:r>
          </w:p>
        </w:tc>
        <w:tc>
          <w:tcPr>
            <w:tcW w:w="7956" w:type="dxa"/>
            <w:gridSpan w:val="3"/>
            <w:vAlign w:val="center"/>
          </w:tcPr>
          <w:p w14:paraId="5276D943">
            <w:pPr>
              <w:jc w:val="center"/>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color w:val="auto"/>
                <w:sz w:val="24"/>
                <w:szCs w:val="24"/>
                <w:highlight w:val="none"/>
                <w:lang w:eastAsia="zh-CN"/>
              </w:rPr>
              <w:t>阿坝州马尔康市第二中学校实验楼建设项目</w:t>
            </w:r>
          </w:p>
        </w:tc>
      </w:tr>
      <w:tr w14:paraId="6A09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006" w:type="dxa"/>
            <w:gridSpan w:val="2"/>
            <w:vAlign w:val="center"/>
          </w:tcPr>
          <w:p w14:paraId="2F2C564B">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项目代码</w:t>
            </w:r>
          </w:p>
        </w:tc>
        <w:tc>
          <w:tcPr>
            <w:tcW w:w="7956" w:type="dxa"/>
            <w:gridSpan w:val="3"/>
            <w:vAlign w:val="center"/>
          </w:tcPr>
          <w:p w14:paraId="2C5397CE">
            <w:pPr>
              <w:jc w:val="center"/>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2405-513229-04-01-263217</w:t>
            </w:r>
          </w:p>
        </w:tc>
      </w:tr>
      <w:tr w14:paraId="6E81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006" w:type="dxa"/>
            <w:gridSpan w:val="2"/>
            <w:vAlign w:val="center"/>
          </w:tcPr>
          <w:p w14:paraId="5453D815">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建设单位联系人</w:t>
            </w:r>
          </w:p>
        </w:tc>
        <w:tc>
          <w:tcPr>
            <w:tcW w:w="2424" w:type="dxa"/>
            <w:vAlign w:val="center"/>
          </w:tcPr>
          <w:p w14:paraId="201FFB37">
            <w:pPr>
              <w:jc w:val="center"/>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王老师</w:t>
            </w:r>
          </w:p>
        </w:tc>
        <w:tc>
          <w:tcPr>
            <w:tcW w:w="1852" w:type="dxa"/>
            <w:vAlign w:val="center"/>
          </w:tcPr>
          <w:p w14:paraId="7D402C70">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联系方式</w:t>
            </w:r>
          </w:p>
        </w:tc>
        <w:tc>
          <w:tcPr>
            <w:tcW w:w="3680" w:type="dxa"/>
            <w:vAlign w:val="center"/>
          </w:tcPr>
          <w:p w14:paraId="1FF4E1AA">
            <w:pPr>
              <w:jc w:val="center"/>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15283722229</w:t>
            </w:r>
          </w:p>
        </w:tc>
      </w:tr>
      <w:tr w14:paraId="6B04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006" w:type="dxa"/>
            <w:gridSpan w:val="2"/>
            <w:vAlign w:val="center"/>
          </w:tcPr>
          <w:p w14:paraId="7A79DC35">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建设地点</w:t>
            </w:r>
          </w:p>
        </w:tc>
        <w:tc>
          <w:tcPr>
            <w:tcW w:w="7956" w:type="dxa"/>
            <w:gridSpan w:val="3"/>
            <w:vAlign w:val="center"/>
          </w:tcPr>
          <w:p w14:paraId="754A7D11">
            <w:pPr>
              <w:jc w:val="center"/>
              <w:rPr>
                <w:rFonts w:hint="default" w:ascii="Times New Roman" w:hAnsi="Times New Roman" w:cs="Times New Roman" w:eastAsiaTheme="minorEastAsia"/>
                <w:color w:val="auto"/>
                <w:sz w:val="24"/>
                <w:szCs w:val="24"/>
                <w:highlight w:val="none"/>
                <w:lang w:val="en-US" w:eastAsia="zh-CN"/>
              </w:rPr>
            </w:pPr>
            <w:r>
              <w:rPr>
                <w:rFonts w:ascii="Times New Roman" w:hAnsi="Times New Roman" w:cs="Times New Roman"/>
                <w:color w:val="auto"/>
                <w:sz w:val="24"/>
                <w:szCs w:val="24"/>
                <w:highlight w:val="none"/>
              </w:rPr>
              <w:t>四川省</w:t>
            </w:r>
            <w:r>
              <w:rPr>
                <w:rFonts w:hint="eastAsia" w:ascii="Times New Roman" w:hAnsi="Times New Roman" w:cs="Times New Roman"/>
                <w:color w:val="auto"/>
                <w:sz w:val="24"/>
                <w:szCs w:val="24"/>
                <w:highlight w:val="none"/>
                <w:lang w:val="en-US" w:eastAsia="zh-CN"/>
              </w:rPr>
              <w:t>马尔康市达萨街439号</w:t>
            </w:r>
          </w:p>
        </w:tc>
      </w:tr>
      <w:tr w14:paraId="5C60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006" w:type="dxa"/>
            <w:gridSpan w:val="2"/>
            <w:vAlign w:val="center"/>
          </w:tcPr>
          <w:p w14:paraId="68FDAE58">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地理坐标</w:t>
            </w:r>
          </w:p>
        </w:tc>
        <w:tc>
          <w:tcPr>
            <w:tcW w:w="7956" w:type="dxa"/>
            <w:gridSpan w:val="3"/>
            <w:vAlign w:val="center"/>
          </w:tcPr>
          <w:p w14:paraId="127C17CF">
            <w:pPr>
              <w:jc w:val="center"/>
              <w:rPr>
                <w:color w:val="auto"/>
                <w:highlight w:val="none"/>
              </w:rPr>
            </w:pP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u w:val="single"/>
              </w:rPr>
              <w:t>10</w:t>
            </w:r>
            <w:r>
              <w:rPr>
                <w:rFonts w:hint="eastAsia" w:ascii="Times New Roman" w:hAnsi="Times New Roman" w:cs="Times New Roman"/>
                <w:color w:val="auto"/>
                <w:sz w:val="24"/>
                <w:szCs w:val="24"/>
                <w:highlight w:val="none"/>
                <w:u w:val="single"/>
                <w:lang w:val="en-US" w:eastAsia="zh-CN"/>
              </w:rPr>
              <w:t>2</w:t>
            </w:r>
            <w:r>
              <w:rPr>
                <w:rFonts w:ascii="Times New Roman" w:hAnsi="Times New Roman" w:cs="Times New Roman"/>
                <w:color w:val="auto"/>
                <w:sz w:val="24"/>
                <w:szCs w:val="24"/>
                <w:highlight w:val="none"/>
              </w:rPr>
              <w:t>度</w:t>
            </w:r>
            <w:r>
              <w:rPr>
                <w:rFonts w:hint="eastAsia" w:ascii="Times New Roman" w:hAnsi="Times New Roman" w:cs="Times New Roman"/>
                <w:color w:val="auto"/>
                <w:sz w:val="24"/>
                <w:szCs w:val="24"/>
                <w:highlight w:val="none"/>
                <w:u w:val="single"/>
                <w:lang w:val="en-US" w:eastAsia="zh-CN"/>
              </w:rPr>
              <w:t>11</w:t>
            </w:r>
            <w:r>
              <w:rPr>
                <w:rFonts w:ascii="Times New Roman" w:hAnsi="Times New Roman" w:cs="Times New Roman"/>
                <w:color w:val="auto"/>
                <w:sz w:val="24"/>
                <w:szCs w:val="24"/>
                <w:highlight w:val="none"/>
              </w:rPr>
              <w:t>分</w:t>
            </w:r>
            <w:r>
              <w:rPr>
                <w:rFonts w:hint="eastAsia" w:ascii="Times New Roman" w:hAnsi="Times New Roman" w:cs="Times New Roman"/>
                <w:color w:val="auto"/>
                <w:sz w:val="24"/>
                <w:szCs w:val="24"/>
                <w:highlight w:val="none"/>
                <w:u w:val="single"/>
                <w:lang w:val="en-US" w:eastAsia="zh-CN"/>
              </w:rPr>
              <w:t>16.042</w:t>
            </w:r>
            <w:r>
              <w:rPr>
                <w:rFonts w:ascii="Times New Roman" w:hAnsi="Times New Roman" w:cs="Times New Roman"/>
                <w:color w:val="auto"/>
                <w:sz w:val="24"/>
                <w:szCs w:val="24"/>
                <w:highlight w:val="none"/>
              </w:rPr>
              <w:t>秒，</w:t>
            </w:r>
            <w:r>
              <w:rPr>
                <w:rFonts w:ascii="Times New Roman" w:hAnsi="Times New Roman" w:cs="Times New Roman"/>
                <w:color w:val="auto"/>
                <w:sz w:val="24"/>
                <w:szCs w:val="24"/>
                <w:highlight w:val="none"/>
                <w:u w:val="single"/>
              </w:rPr>
              <w:t>3</w:t>
            </w:r>
            <w:r>
              <w:rPr>
                <w:rFonts w:hint="eastAsia" w:ascii="Times New Roman" w:hAnsi="Times New Roman" w:cs="Times New Roman"/>
                <w:color w:val="auto"/>
                <w:sz w:val="24"/>
                <w:szCs w:val="24"/>
                <w:highlight w:val="none"/>
                <w:u w:val="single"/>
                <w:lang w:val="en-US" w:eastAsia="zh-CN"/>
              </w:rPr>
              <w:t>1</w:t>
            </w:r>
            <w:r>
              <w:rPr>
                <w:rFonts w:ascii="Times New Roman" w:hAnsi="Times New Roman" w:cs="Times New Roman"/>
                <w:color w:val="auto"/>
                <w:sz w:val="24"/>
                <w:szCs w:val="24"/>
                <w:highlight w:val="none"/>
              </w:rPr>
              <w:t>度</w:t>
            </w:r>
            <w:r>
              <w:rPr>
                <w:rFonts w:hint="eastAsia" w:ascii="Times New Roman" w:hAnsi="Times New Roman" w:cs="Times New Roman"/>
                <w:color w:val="auto"/>
                <w:sz w:val="24"/>
                <w:szCs w:val="24"/>
                <w:highlight w:val="none"/>
                <w:u w:val="single"/>
                <w:lang w:val="en-US" w:eastAsia="zh-CN"/>
              </w:rPr>
              <w:t>55</w:t>
            </w:r>
            <w:r>
              <w:rPr>
                <w:rFonts w:ascii="Times New Roman" w:hAnsi="Times New Roman" w:cs="Times New Roman"/>
                <w:color w:val="auto"/>
                <w:sz w:val="24"/>
                <w:szCs w:val="24"/>
                <w:highlight w:val="none"/>
              </w:rPr>
              <w:t>分</w:t>
            </w:r>
            <w:r>
              <w:rPr>
                <w:rFonts w:hint="eastAsia" w:ascii="Times New Roman" w:hAnsi="Times New Roman" w:cs="Times New Roman"/>
                <w:color w:val="auto"/>
                <w:sz w:val="24"/>
                <w:szCs w:val="24"/>
                <w:highlight w:val="none"/>
                <w:u w:val="single"/>
                <w:lang w:val="en-US" w:eastAsia="zh-CN"/>
              </w:rPr>
              <w:t>8.715</w:t>
            </w:r>
            <w:r>
              <w:rPr>
                <w:rFonts w:ascii="Times New Roman" w:hAnsi="Times New Roman" w:cs="Times New Roman"/>
                <w:color w:val="auto"/>
                <w:sz w:val="24"/>
                <w:szCs w:val="24"/>
                <w:highlight w:val="none"/>
              </w:rPr>
              <w:t>秒）</w:t>
            </w:r>
          </w:p>
        </w:tc>
      </w:tr>
      <w:tr w14:paraId="4008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2006" w:type="dxa"/>
            <w:gridSpan w:val="2"/>
            <w:vAlign w:val="center"/>
          </w:tcPr>
          <w:p w14:paraId="24335D8A">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国民经济行业类别</w:t>
            </w:r>
          </w:p>
        </w:tc>
        <w:tc>
          <w:tcPr>
            <w:tcW w:w="2424" w:type="dxa"/>
            <w:vAlign w:val="center"/>
          </w:tcPr>
          <w:p w14:paraId="16AC5F1A">
            <w:pPr>
              <w:jc w:val="center"/>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P8331普通初中教育</w:t>
            </w:r>
          </w:p>
        </w:tc>
        <w:tc>
          <w:tcPr>
            <w:tcW w:w="1852" w:type="dxa"/>
            <w:vAlign w:val="center"/>
          </w:tcPr>
          <w:p w14:paraId="5A7DCC4B">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建设项目行业类别</w:t>
            </w:r>
          </w:p>
        </w:tc>
        <w:tc>
          <w:tcPr>
            <w:tcW w:w="3680" w:type="dxa"/>
            <w:vAlign w:val="center"/>
          </w:tcPr>
          <w:p w14:paraId="6C0AE950">
            <w:pPr>
              <w:jc w:val="center"/>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110学校、福利院、养老院（建筑面积5000平方米及以上的） 有化学、生物实验室的学校</w:t>
            </w:r>
          </w:p>
        </w:tc>
      </w:tr>
      <w:tr w14:paraId="2624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2006" w:type="dxa"/>
            <w:gridSpan w:val="2"/>
            <w:vAlign w:val="center"/>
          </w:tcPr>
          <w:p w14:paraId="43FD348F">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建设性质</w:t>
            </w:r>
          </w:p>
        </w:tc>
        <w:tc>
          <w:tcPr>
            <w:tcW w:w="2424" w:type="dxa"/>
            <w:vAlign w:val="center"/>
          </w:tcPr>
          <w:p w14:paraId="483C57C2">
            <w:pPr>
              <w:rPr>
                <w:rFonts w:ascii="Times New Roman" w:hAnsi="Times New Roman" w:cs="Times New Roman"/>
                <w:color w:val="auto"/>
                <w:sz w:val="24"/>
                <w:szCs w:val="24"/>
                <w:highlight w:val="none"/>
              </w:rPr>
            </w:pPr>
            <w:r>
              <w:rPr>
                <w:rFonts w:hint="eastAsia" w:ascii="Times New Roman" w:hAnsi="Times New Roman" w:eastAsia="宋体" w:cs="Times New Roman"/>
                <w:color w:val="auto"/>
                <w:sz w:val="24"/>
                <w:szCs w:val="24"/>
                <w:highlight w:val="none"/>
              </w:rPr>
              <w:sym w:font="Wingdings 2" w:char="00A3"/>
            </w:r>
            <w:r>
              <w:rPr>
                <w:rFonts w:ascii="Times New Roman" w:hAnsi="Times New Roman" w:cs="Times New Roman"/>
                <w:color w:val="auto"/>
                <w:sz w:val="24"/>
                <w:szCs w:val="24"/>
                <w:highlight w:val="none"/>
              </w:rPr>
              <w:t>新建（迁建）</w:t>
            </w:r>
          </w:p>
          <w:p w14:paraId="50CE25A9">
            <w:pPr>
              <w:rPr>
                <w:rFonts w:ascii="Times New Roman" w:hAnsi="Times New Roman" w:cs="Times New Roman"/>
                <w:color w:val="auto"/>
                <w:sz w:val="24"/>
                <w:szCs w:val="24"/>
                <w:highlight w:val="none"/>
              </w:rPr>
            </w:pPr>
            <w:r>
              <w:rPr>
                <w:rFonts w:hint="eastAsia" w:cs="Times New Roman" w:asciiTheme="minorEastAsia" w:hAnsiTheme="minorEastAsia"/>
                <w:color w:val="auto"/>
                <w:sz w:val="24"/>
                <w:szCs w:val="24"/>
                <w:highlight w:val="none"/>
              </w:rPr>
              <w:sym w:font="Wingdings 2" w:char="0052"/>
            </w:r>
            <w:r>
              <w:rPr>
                <w:rFonts w:ascii="Times New Roman" w:hAnsi="Times New Roman" w:cs="Times New Roman"/>
                <w:color w:val="auto"/>
                <w:sz w:val="24"/>
                <w:szCs w:val="24"/>
                <w:highlight w:val="none"/>
              </w:rPr>
              <w:t>改建</w:t>
            </w:r>
          </w:p>
          <w:p w14:paraId="74CD7A9A">
            <w:pPr>
              <w:rPr>
                <w:rFonts w:ascii="Times New Roman" w:hAnsi="Times New Roman" w:cs="Times New Roman"/>
                <w:color w:val="auto"/>
                <w:sz w:val="24"/>
                <w:szCs w:val="24"/>
                <w:highlight w:val="none"/>
              </w:rPr>
            </w:pPr>
            <w:r>
              <w:rPr>
                <w:rFonts w:hint="eastAsia" w:cs="Times New Roman" w:asciiTheme="minorEastAsia" w:hAnsiTheme="minorEastAsia"/>
                <w:color w:val="auto"/>
                <w:sz w:val="24"/>
                <w:szCs w:val="24"/>
                <w:highlight w:val="none"/>
              </w:rPr>
              <w:sym w:font="Wingdings 2" w:char="00A3"/>
            </w:r>
            <w:r>
              <w:rPr>
                <w:rFonts w:ascii="Times New Roman" w:hAnsi="Times New Roman" w:cs="Times New Roman"/>
                <w:color w:val="auto"/>
                <w:sz w:val="24"/>
                <w:szCs w:val="24"/>
                <w:highlight w:val="none"/>
              </w:rPr>
              <w:t>扩建</w:t>
            </w:r>
          </w:p>
          <w:p w14:paraId="125E1175">
            <w:pPr>
              <w:rPr>
                <w:rFonts w:ascii="Times New Roman" w:hAnsi="Times New Roman" w:cs="Times New Roman"/>
                <w:color w:val="auto"/>
                <w:sz w:val="24"/>
                <w:szCs w:val="24"/>
                <w:highlight w:val="none"/>
              </w:rPr>
            </w:pPr>
            <w:r>
              <w:rPr>
                <w:rFonts w:hint="eastAsia" w:cs="Times New Roman" w:asciiTheme="minorEastAsia" w:hAnsiTheme="minorEastAsia"/>
                <w:color w:val="auto"/>
                <w:sz w:val="24"/>
                <w:szCs w:val="24"/>
                <w:highlight w:val="none"/>
              </w:rPr>
              <w:t>□</w:t>
            </w:r>
            <w:r>
              <w:rPr>
                <w:rFonts w:ascii="Times New Roman" w:hAnsi="Times New Roman" w:cs="Times New Roman"/>
                <w:color w:val="auto"/>
                <w:sz w:val="24"/>
                <w:szCs w:val="24"/>
                <w:highlight w:val="none"/>
              </w:rPr>
              <w:t>技术改造</w:t>
            </w:r>
          </w:p>
        </w:tc>
        <w:tc>
          <w:tcPr>
            <w:tcW w:w="1852" w:type="dxa"/>
            <w:vAlign w:val="center"/>
          </w:tcPr>
          <w:p w14:paraId="292B8805">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建设项目申报情形</w:t>
            </w:r>
          </w:p>
        </w:tc>
        <w:tc>
          <w:tcPr>
            <w:tcW w:w="3680" w:type="dxa"/>
            <w:vAlign w:val="center"/>
          </w:tcPr>
          <w:p w14:paraId="14748BD8">
            <w:pPr>
              <w:rPr>
                <w:rFonts w:ascii="Times New Roman" w:hAnsi="Times New Roman" w:cs="Times New Roman"/>
                <w:color w:val="auto"/>
                <w:sz w:val="24"/>
                <w:szCs w:val="24"/>
                <w:highlight w:val="none"/>
              </w:rPr>
            </w:pPr>
            <w:r>
              <w:rPr>
                <w:rFonts w:hint="eastAsia" w:ascii="Times New Roman" w:hAnsi="Times New Roman" w:eastAsia="宋体" w:cs="Times New Roman"/>
                <w:color w:val="auto"/>
                <w:sz w:val="24"/>
                <w:szCs w:val="24"/>
                <w:highlight w:val="none"/>
              </w:rPr>
              <w:sym w:font="Wingdings 2" w:char="0052"/>
            </w:r>
            <w:r>
              <w:rPr>
                <w:rFonts w:ascii="Times New Roman" w:hAnsi="Times New Roman" w:cs="Times New Roman"/>
                <w:color w:val="auto"/>
                <w:sz w:val="24"/>
                <w:szCs w:val="24"/>
                <w:highlight w:val="none"/>
              </w:rPr>
              <w:t>首次申报项目</w:t>
            </w:r>
          </w:p>
          <w:p w14:paraId="1D35A504">
            <w:pP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□不予批准后再次申报项目</w:t>
            </w:r>
          </w:p>
          <w:p w14:paraId="1C36401E">
            <w:pP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□超五年重新审核项目</w:t>
            </w:r>
          </w:p>
          <w:p w14:paraId="1FB35E4C">
            <w:pP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□重大变动重新报批项目</w:t>
            </w:r>
          </w:p>
        </w:tc>
      </w:tr>
      <w:tr w14:paraId="3EB5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06" w:type="dxa"/>
            <w:gridSpan w:val="2"/>
            <w:vAlign w:val="center"/>
          </w:tcPr>
          <w:p w14:paraId="4612360C">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项目审批</w:t>
            </w:r>
            <w:r>
              <w:rPr>
                <w:rFonts w:hint="eastAsia" w:ascii="Times New Roman" w:hAnsi="Times New Roman" w:cs="Times New Roman"/>
                <w:color w:val="auto"/>
                <w:sz w:val="24"/>
                <w:szCs w:val="24"/>
                <w:highlight w:val="none"/>
              </w:rPr>
              <w:t>（校核/备案）部门（选填）</w:t>
            </w:r>
          </w:p>
        </w:tc>
        <w:tc>
          <w:tcPr>
            <w:tcW w:w="2424" w:type="dxa"/>
            <w:vAlign w:val="center"/>
          </w:tcPr>
          <w:p w14:paraId="156F7FE6">
            <w:pPr>
              <w:jc w:val="center"/>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马尔康市发展和改革局</w:t>
            </w:r>
          </w:p>
        </w:tc>
        <w:tc>
          <w:tcPr>
            <w:tcW w:w="1852" w:type="dxa"/>
            <w:vAlign w:val="center"/>
          </w:tcPr>
          <w:p w14:paraId="715BDF99">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项目审批（校核/备案）文号（选填）</w:t>
            </w:r>
          </w:p>
        </w:tc>
        <w:tc>
          <w:tcPr>
            <w:tcW w:w="3680" w:type="dxa"/>
            <w:vAlign w:val="center"/>
          </w:tcPr>
          <w:p w14:paraId="7B295D52">
            <w:pPr>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马尔发改行审</w:t>
            </w:r>
            <w:r>
              <w:rPr>
                <w:rFonts w:hint="default" w:ascii="Times New Roman" w:hAnsi="Times New Roman" w:eastAsia="宋体" w:cs="Times New Roman"/>
                <w:color w:val="auto"/>
                <w:sz w:val="24"/>
                <w:szCs w:val="24"/>
                <w:highlight w:val="none"/>
                <w:lang w:val="en-US" w:eastAsia="zh-CN"/>
              </w:rPr>
              <w:t>〔2024〕67号</w:t>
            </w:r>
          </w:p>
        </w:tc>
      </w:tr>
      <w:tr w14:paraId="7ECA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006" w:type="dxa"/>
            <w:gridSpan w:val="2"/>
            <w:vAlign w:val="center"/>
          </w:tcPr>
          <w:p w14:paraId="6AFC4239">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424" w:type="dxa"/>
            <w:vAlign w:val="center"/>
          </w:tcPr>
          <w:p w14:paraId="6F6D2FCF">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1000</w:t>
            </w:r>
          </w:p>
        </w:tc>
        <w:tc>
          <w:tcPr>
            <w:tcW w:w="1852" w:type="dxa"/>
            <w:vAlign w:val="center"/>
          </w:tcPr>
          <w:p w14:paraId="299509ED">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3680" w:type="dxa"/>
            <w:vAlign w:val="center"/>
          </w:tcPr>
          <w:p w14:paraId="2DD6839E">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45</w:t>
            </w:r>
          </w:p>
        </w:tc>
      </w:tr>
      <w:tr w14:paraId="0DF9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6" w:type="dxa"/>
            <w:gridSpan w:val="2"/>
            <w:vAlign w:val="center"/>
          </w:tcPr>
          <w:p w14:paraId="37630427">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424" w:type="dxa"/>
            <w:vAlign w:val="center"/>
          </w:tcPr>
          <w:p w14:paraId="32135F9D">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4.5</w:t>
            </w:r>
          </w:p>
        </w:tc>
        <w:tc>
          <w:tcPr>
            <w:tcW w:w="1852" w:type="dxa"/>
            <w:vAlign w:val="center"/>
          </w:tcPr>
          <w:p w14:paraId="217E628F">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3680" w:type="dxa"/>
            <w:vAlign w:val="center"/>
          </w:tcPr>
          <w:p w14:paraId="6A6E446B">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12个月</w:t>
            </w:r>
          </w:p>
        </w:tc>
      </w:tr>
      <w:tr w14:paraId="76D1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14:paraId="460D0873">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是否开工建设</w:t>
            </w:r>
          </w:p>
        </w:tc>
        <w:tc>
          <w:tcPr>
            <w:tcW w:w="3603" w:type="dxa"/>
            <w:gridSpan w:val="2"/>
            <w:vAlign w:val="center"/>
          </w:tcPr>
          <w:p w14:paraId="0F9436FF">
            <w:pPr>
              <w:rPr>
                <w:rFonts w:ascii="Times New Roman" w:hAnsi="Times New Roman" w:cs="Times New Roman"/>
                <w:color w:val="auto"/>
                <w:sz w:val="24"/>
                <w:szCs w:val="24"/>
                <w:highlight w:val="none"/>
              </w:rPr>
            </w:pPr>
            <w:r>
              <w:rPr>
                <w:rFonts w:hint="eastAsia" w:ascii="Segoe UI Symbol" w:hAnsi="Segoe UI Symbol" w:eastAsia="宋体" w:cs="Times New Roman"/>
                <w:color w:val="auto"/>
                <w:sz w:val="24"/>
                <w:szCs w:val="24"/>
                <w:highlight w:val="none"/>
                <w:lang w:eastAsia="zh-CN"/>
              </w:rPr>
              <w:t>☑</w:t>
            </w:r>
            <w:r>
              <w:rPr>
                <w:rFonts w:ascii="Times New Roman" w:hAnsi="Times New Roman" w:cs="Times New Roman"/>
                <w:color w:val="auto"/>
                <w:sz w:val="24"/>
                <w:szCs w:val="24"/>
                <w:highlight w:val="none"/>
              </w:rPr>
              <w:t>否</w:t>
            </w:r>
          </w:p>
          <w:p w14:paraId="4A6927FA">
            <w:pPr>
              <w:rPr>
                <w:rFonts w:hint="default" w:ascii="Times New Roman" w:hAnsi="Times New Roman" w:cs="Times New Roman" w:eastAsiaTheme="minorEastAsia"/>
                <w:color w:val="auto"/>
                <w:sz w:val="24"/>
                <w:szCs w:val="24"/>
                <w:highlight w:val="none"/>
                <w:lang w:val="en-US" w:eastAsia="zh-CN"/>
              </w:rPr>
            </w:pPr>
            <w:r>
              <w:rPr>
                <w:rFonts w:hint="eastAsia" w:cs="Times New Roman" w:asciiTheme="minorEastAsia" w:hAnsiTheme="minorEastAsia"/>
                <w:color w:val="auto"/>
                <w:sz w:val="24"/>
                <w:szCs w:val="24"/>
                <w:highlight w:val="none"/>
                <w:lang w:eastAsia="zh-CN"/>
              </w:rPr>
              <w:t>□</w:t>
            </w:r>
            <w:r>
              <w:rPr>
                <w:rFonts w:hint="eastAsia" w:cs="Times New Roman" w:asciiTheme="minorEastAsia" w:hAnsiTheme="minorEastAsia"/>
                <w:color w:val="auto"/>
                <w:sz w:val="24"/>
                <w:szCs w:val="24"/>
                <w:highlight w:val="none"/>
              </w:rPr>
              <w:t>是：</w:t>
            </w:r>
            <w:r>
              <w:rPr>
                <w:rFonts w:hint="eastAsia" w:cs="Times New Roman" w:asciiTheme="minorEastAsia" w:hAnsiTheme="minorEastAsia"/>
                <w:color w:val="auto"/>
                <w:sz w:val="24"/>
                <w:szCs w:val="24"/>
                <w:highlight w:val="none"/>
                <w:u w:val="single"/>
                <w:lang w:val="en-US" w:eastAsia="zh-CN"/>
              </w:rPr>
              <w:t xml:space="preserve">     </w:t>
            </w:r>
          </w:p>
        </w:tc>
        <w:tc>
          <w:tcPr>
            <w:tcW w:w="1852" w:type="dxa"/>
            <w:vAlign w:val="center"/>
          </w:tcPr>
          <w:p w14:paraId="2E1B04B2">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用地</w:t>
            </w:r>
            <w:r>
              <w:rPr>
                <w:rFonts w:hint="eastAsia" w:ascii="Times New Roman" w:hAnsi="Times New Roman" w:cs="Times New Roman"/>
                <w:color w:val="auto"/>
                <w:sz w:val="24"/>
                <w:szCs w:val="24"/>
                <w:highlight w:val="none"/>
              </w:rPr>
              <w:t>（用海）面积（m</w:t>
            </w:r>
            <w:r>
              <w:rPr>
                <w:rFonts w:ascii="Times New Roman" w:hAnsi="Times New Roman" w:cs="Times New Roman"/>
                <w:color w:val="auto"/>
                <w:sz w:val="24"/>
                <w:szCs w:val="24"/>
                <w:highlight w:val="none"/>
                <w:vertAlign w:val="superscript"/>
              </w:rPr>
              <w:t>2</w:t>
            </w:r>
            <w:r>
              <w:rPr>
                <w:rFonts w:hint="eastAsia" w:ascii="Times New Roman" w:hAnsi="Times New Roman" w:cs="Times New Roman"/>
                <w:color w:val="auto"/>
                <w:sz w:val="24"/>
                <w:szCs w:val="24"/>
                <w:highlight w:val="none"/>
              </w:rPr>
              <w:t>）</w:t>
            </w:r>
          </w:p>
        </w:tc>
        <w:tc>
          <w:tcPr>
            <w:tcW w:w="3680" w:type="dxa"/>
            <w:vAlign w:val="center"/>
          </w:tcPr>
          <w:p w14:paraId="5A10FEA2">
            <w:pPr>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color w:val="auto"/>
                <w:sz w:val="24"/>
                <w:highlight w:val="none"/>
                <w:lang w:val="en-US" w:eastAsia="zh-CN"/>
              </w:rPr>
              <w:t>336.12m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本项目在原有用地范围内进行</w:t>
            </w:r>
            <w:r>
              <w:rPr>
                <w:rFonts w:hint="default" w:ascii="Times New Roman" w:hAnsi="Times New Roman" w:cs="Times New Roman"/>
                <w:color w:val="auto"/>
                <w:sz w:val="24"/>
                <w:highlight w:val="none"/>
                <w:lang w:val="en-US" w:eastAsia="zh-CN"/>
              </w:rPr>
              <w:t>改建</w:t>
            </w:r>
            <w:r>
              <w:rPr>
                <w:rFonts w:hint="default" w:ascii="Times New Roman" w:hAnsi="Times New Roman" w:cs="Times New Roman"/>
                <w:color w:val="auto"/>
                <w:sz w:val="24"/>
                <w:highlight w:val="none"/>
              </w:rPr>
              <w:t>，不新增用地</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w:t>
            </w:r>
          </w:p>
        </w:tc>
      </w:tr>
      <w:tr w14:paraId="5274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14:paraId="54A44D6B">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专项评价设置情况</w:t>
            </w:r>
          </w:p>
        </w:tc>
        <w:tc>
          <w:tcPr>
            <w:tcW w:w="9135" w:type="dxa"/>
            <w:gridSpan w:val="4"/>
            <w:vAlign w:val="center"/>
          </w:tcPr>
          <w:p w14:paraId="61CCD1BD">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建设项目环境影响报告表编制技术指南》（污染影响类）（试行），大气、地表水、环境风险、生态和海洋专项评价具体设置原则见表1-1。土壤、声环境不开展专项评价。地下水原则上不开展专项评价，涉及集中式饮用水水源和热水、矿泉水、温泉等特殊地下水资源保护区的开展地下水专项评价工作。专项评价一般不超过两项。</w:t>
            </w:r>
          </w:p>
          <w:p w14:paraId="7FCEFDF7">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本项目不涉及集中式饮用水水源和热水、矿泉水、温泉等特殊地下水资源保护区，因此不开展地下水专项评价。</w:t>
            </w:r>
          </w:p>
          <w:p w14:paraId="57CD0414">
            <w:pPr>
              <w:spacing w:line="360" w:lineRule="auto"/>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专项评价设置情况分析如下表所示。</w:t>
            </w:r>
          </w:p>
          <w:p w14:paraId="5573D985">
            <w:pPr>
              <w:pStyle w:val="113"/>
              <w:bidi w:val="0"/>
              <w:rPr>
                <w:color w:val="auto"/>
              </w:rPr>
            </w:pPr>
            <w:r>
              <w:rPr>
                <w:rFonts w:hint="eastAsia"/>
                <w:color w:val="auto"/>
              </w:rPr>
              <w:t>本项目专项评价设置情况分析表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3420"/>
              <w:gridCol w:w="3054"/>
              <w:gridCol w:w="1161"/>
            </w:tblGrid>
            <w:tr w14:paraId="46D11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9" w:type="pct"/>
                  <w:tcBorders>
                    <w:tl2br w:val="nil"/>
                    <w:tr2bl w:val="nil"/>
                  </w:tcBorders>
                  <w:vAlign w:val="center"/>
                </w:tcPr>
                <w:p w14:paraId="5F24E34B">
                  <w:pPr>
                    <w:jc w:val="center"/>
                    <w:rPr>
                      <w:b/>
                      <w:bCs/>
                      <w:color w:val="auto"/>
                      <w:szCs w:val="21"/>
                      <w:highlight w:val="none"/>
                    </w:rPr>
                  </w:pPr>
                  <w:r>
                    <w:rPr>
                      <w:rFonts w:hint="eastAsia" w:ascii="Times New Roman" w:hAnsi="Times New Roman" w:eastAsia="宋体" w:cs="宋体"/>
                      <w:b/>
                      <w:bCs/>
                      <w:color w:val="auto"/>
                      <w:szCs w:val="21"/>
                      <w:highlight w:val="none"/>
                      <w:lang w:bidi="ar"/>
                    </w:rPr>
                    <w:t>专项评价的类别</w:t>
                  </w:r>
                </w:p>
              </w:tc>
              <w:tc>
                <w:tcPr>
                  <w:tcW w:w="1917" w:type="pct"/>
                  <w:tcBorders>
                    <w:tl2br w:val="nil"/>
                    <w:tr2bl w:val="nil"/>
                  </w:tcBorders>
                  <w:vAlign w:val="center"/>
                </w:tcPr>
                <w:p w14:paraId="50D43D31">
                  <w:pPr>
                    <w:jc w:val="center"/>
                    <w:rPr>
                      <w:b/>
                      <w:bCs/>
                      <w:color w:val="auto"/>
                      <w:szCs w:val="21"/>
                      <w:highlight w:val="none"/>
                    </w:rPr>
                  </w:pPr>
                  <w:r>
                    <w:rPr>
                      <w:rFonts w:hint="eastAsia" w:ascii="Times New Roman" w:hAnsi="Times New Roman" w:eastAsia="宋体" w:cs="宋体"/>
                      <w:b/>
                      <w:bCs/>
                      <w:color w:val="auto"/>
                      <w:szCs w:val="21"/>
                      <w:highlight w:val="none"/>
                      <w:lang w:bidi="ar"/>
                    </w:rPr>
                    <w:t>设置原则</w:t>
                  </w:r>
                </w:p>
              </w:tc>
              <w:tc>
                <w:tcPr>
                  <w:tcW w:w="1712" w:type="pct"/>
                  <w:tcBorders>
                    <w:tl2br w:val="nil"/>
                    <w:tr2bl w:val="nil"/>
                  </w:tcBorders>
                  <w:vAlign w:val="center"/>
                </w:tcPr>
                <w:p w14:paraId="6AACE304">
                  <w:pPr>
                    <w:jc w:val="center"/>
                    <w:rPr>
                      <w:b/>
                      <w:bCs/>
                      <w:color w:val="auto"/>
                      <w:szCs w:val="21"/>
                      <w:highlight w:val="none"/>
                    </w:rPr>
                  </w:pPr>
                  <w:r>
                    <w:rPr>
                      <w:rFonts w:hint="eastAsia" w:ascii="Times New Roman" w:hAnsi="Times New Roman" w:eastAsia="宋体" w:cs="宋体"/>
                      <w:b/>
                      <w:bCs/>
                      <w:color w:val="auto"/>
                      <w:szCs w:val="21"/>
                      <w:highlight w:val="none"/>
                      <w:lang w:bidi="ar"/>
                    </w:rPr>
                    <w:t>本项目情况</w:t>
                  </w:r>
                </w:p>
              </w:tc>
              <w:tc>
                <w:tcPr>
                  <w:tcW w:w="650" w:type="pct"/>
                  <w:tcBorders>
                    <w:tl2br w:val="nil"/>
                    <w:tr2bl w:val="nil"/>
                  </w:tcBorders>
                  <w:vAlign w:val="center"/>
                </w:tcPr>
                <w:p w14:paraId="5FEF5773">
                  <w:pPr>
                    <w:jc w:val="center"/>
                    <w:rPr>
                      <w:b/>
                      <w:bCs/>
                      <w:color w:val="auto"/>
                      <w:szCs w:val="21"/>
                      <w:highlight w:val="none"/>
                    </w:rPr>
                  </w:pPr>
                  <w:r>
                    <w:rPr>
                      <w:b/>
                      <w:bCs/>
                      <w:color w:val="auto"/>
                      <w:szCs w:val="21"/>
                      <w:highlight w:val="none"/>
                    </w:rPr>
                    <w:t>结论</w:t>
                  </w:r>
                </w:p>
              </w:tc>
            </w:tr>
            <w:tr w14:paraId="2437A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tcBorders>
                    <w:tl2br w:val="nil"/>
                    <w:tr2bl w:val="nil"/>
                  </w:tcBorders>
                  <w:vAlign w:val="center"/>
                </w:tcPr>
                <w:p w14:paraId="1762D709">
                  <w:pPr>
                    <w:jc w:val="center"/>
                    <w:rPr>
                      <w:color w:val="auto"/>
                      <w:szCs w:val="21"/>
                      <w:highlight w:val="none"/>
                    </w:rPr>
                  </w:pPr>
                  <w:r>
                    <w:rPr>
                      <w:rFonts w:hint="eastAsia" w:ascii="Times New Roman" w:hAnsi="Times New Roman" w:eastAsia="宋体" w:cs="宋体"/>
                      <w:color w:val="auto"/>
                      <w:szCs w:val="21"/>
                      <w:highlight w:val="none"/>
                      <w:lang w:bidi="ar"/>
                    </w:rPr>
                    <w:t>大气</w:t>
                  </w:r>
                </w:p>
              </w:tc>
              <w:tc>
                <w:tcPr>
                  <w:tcW w:w="1917" w:type="pct"/>
                  <w:tcBorders>
                    <w:tl2br w:val="nil"/>
                    <w:tr2bl w:val="nil"/>
                  </w:tcBorders>
                  <w:vAlign w:val="center"/>
                </w:tcPr>
                <w:p w14:paraId="490D266C">
                  <w:pPr>
                    <w:jc w:val="center"/>
                    <w:rPr>
                      <w:color w:val="auto"/>
                      <w:szCs w:val="21"/>
                      <w:highlight w:val="none"/>
                    </w:rPr>
                  </w:pPr>
                  <w:r>
                    <w:rPr>
                      <w:rFonts w:hint="eastAsia" w:ascii="Times New Roman" w:hAnsi="Times New Roman" w:eastAsia="宋体" w:cs="宋体"/>
                      <w:color w:val="auto"/>
                      <w:szCs w:val="21"/>
                      <w:highlight w:val="none"/>
                      <w:lang w:bidi="ar"/>
                    </w:rPr>
                    <w:t>排放废气含有毒有害污染物</w:t>
                  </w:r>
                  <w:r>
                    <w:rPr>
                      <w:rFonts w:ascii="Times New Roman" w:hAnsi="Times New Roman" w:eastAsia="宋体" w:cs="Times New Roman"/>
                      <w:color w:val="auto"/>
                      <w:szCs w:val="21"/>
                      <w:highlight w:val="none"/>
                      <w:vertAlign w:val="superscript"/>
                      <w:lang w:bidi="ar"/>
                    </w:rPr>
                    <w:t>1</w:t>
                  </w:r>
                  <w:r>
                    <w:rPr>
                      <w:rFonts w:hint="eastAsia" w:ascii="Times New Roman" w:hAnsi="Times New Roman" w:eastAsia="宋体" w:cs="宋体"/>
                      <w:color w:val="auto"/>
                      <w:szCs w:val="21"/>
                      <w:highlight w:val="none"/>
                      <w:lang w:bidi="ar"/>
                    </w:rPr>
                    <w:t>、二噁英、苯并</w:t>
                  </w:r>
                  <w:r>
                    <w:rPr>
                      <w:rFonts w:ascii="Times New Roman" w:hAnsi="Times New Roman" w:eastAsia="宋体" w:cs="Times New Roman"/>
                      <w:color w:val="auto"/>
                      <w:szCs w:val="21"/>
                      <w:highlight w:val="none"/>
                      <w:lang w:bidi="ar"/>
                    </w:rPr>
                    <w:t>[a]</w:t>
                  </w:r>
                  <w:r>
                    <w:rPr>
                      <w:rFonts w:hint="eastAsia" w:ascii="Times New Roman" w:hAnsi="Times New Roman" w:eastAsia="宋体" w:cs="宋体"/>
                      <w:color w:val="auto"/>
                      <w:szCs w:val="21"/>
                      <w:highlight w:val="none"/>
                      <w:lang w:bidi="ar"/>
                    </w:rPr>
                    <w:t>芘、氰化物、氯气且厂界外</w:t>
                  </w:r>
                  <w:r>
                    <w:rPr>
                      <w:rFonts w:ascii="Times New Roman" w:hAnsi="Times New Roman" w:eastAsia="宋体" w:cs="Times New Roman"/>
                      <w:color w:val="auto"/>
                      <w:szCs w:val="21"/>
                      <w:highlight w:val="none"/>
                      <w:lang w:bidi="ar"/>
                    </w:rPr>
                    <w:t>500</w:t>
                  </w:r>
                  <w:r>
                    <w:rPr>
                      <w:rFonts w:hint="eastAsia" w:ascii="Times New Roman" w:hAnsi="Times New Roman" w:eastAsia="宋体" w:cs="宋体"/>
                      <w:color w:val="auto"/>
                      <w:szCs w:val="21"/>
                      <w:highlight w:val="none"/>
                      <w:lang w:bidi="ar"/>
                    </w:rPr>
                    <w:t>米范围内有环境空气保护目标</w:t>
                  </w:r>
                  <w:r>
                    <w:rPr>
                      <w:rFonts w:ascii="Times New Roman" w:hAnsi="Times New Roman" w:eastAsia="宋体" w:cs="Times New Roman"/>
                      <w:color w:val="auto"/>
                      <w:szCs w:val="21"/>
                      <w:highlight w:val="none"/>
                      <w:vertAlign w:val="superscript"/>
                      <w:lang w:bidi="ar"/>
                    </w:rPr>
                    <w:t>2</w:t>
                  </w:r>
                  <w:r>
                    <w:rPr>
                      <w:rFonts w:hint="eastAsia" w:ascii="Times New Roman" w:hAnsi="Times New Roman" w:eastAsia="宋体" w:cs="宋体"/>
                      <w:color w:val="auto"/>
                      <w:szCs w:val="21"/>
                      <w:highlight w:val="none"/>
                      <w:lang w:bidi="ar"/>
                    </w:rPr>
                    <w:t>的建设项目</w:t>
                  </w:r>
                </w:p>
              </w:tc>
              <w:tc>
                <w:tcPr>
                  <w:tcW w:w="1712" w:type="pct"/>
                  <w:tcBorders>
                    <w:tl2br w:val="nil"/>
                    <w:tr2bl w:val="nil"/>
                  </w:tcBorders>
                  <w:vAlign w:val="center"/>
                </w:tcPr>
                <w:p w14:paraId="0225EE02">
                  <w:pPr>
                    <w:jc w:val="center"/>
                    <w:rPr>
                      <w:color w:val="auto"/>
                      <w:szCs w:val="21"/>
                      <w:highlight w:val="none"/>
                    </w:rPr>
                  </w:pPr>
                  <w:r>
                    <w:rPr>
                      <w:rFonts w:hint="eastAsia" w:ascii="Times New Roman" w:hAnsi="Times New Roman" w:eastAsia="宋体" w:cs="宋体"/>
                      <w:color w:val="auto"/>
                      <w:szCs w:val="21"/>
                      <w:highlight w:val="none"/>
                      <w:lang w:bidi="ar"/>
                    </w:rPr>
                    <w:t>本项目所用试剂不含《有毒有害大气污染物名录》中所述的有毒有害污染物、二噁英、苯并</w:t>
                  </w:r>
                  <w:r>
                    <w:rPr>
                      <w:rFonts w:ascii="Times New Roman" w:hAnsi="Times New Roman" w:eastAsia="宋体" w:cs="Times New Roman"/>
                      <w:color w:val="auto"/>
                      <w:szCs w:val="21"/>
                      <w:highlight w:val="none"/>
                      <w:lang w:bidi="ar"/>
                    </w:rPr>
                    <w:t>[a]</w:t>
                  </w:r>
                  <w:r>
                    <w:rPr>
                      <w:rFonts w:hint="eastAsia" w:ascii="Times New Roman" w:hAnsi="Times New Roman" w:eastAsia="宋体" w:cs="宋体"/>
                      <w:color w:val="auto"/>
                      <w:szCs w:val="21"/>
                      <w:highlight w:val="none"/>
                      <w:lang w:bidi="ar"/>
                    </w:rPr>
                    <w:t>芘、氰化物、氯气的排放</w:t>
                  </w:r>
                </w:p>
              </w:tc>
              <w:tc>
                <w:tcPr>
                  <w:tcW w:w="650" w:type="pct"/>
                  <w:tcBorders>
                    <w:tl2br w:val="nil"/>
                    <w:tr2bl w:val="nil"/>
                  </w:tcBorders>
                  <w:vAlign w:val="center"/>
                </w:tcPr>
                <w:p w14:paraId="101C8EC4">
                  <w:pPr>
                    <w:jc w:val="center"/>
                    <w:rPr>
                      <w:color w:val="auto"/>
                      <w:szCs w:val="21"/>
                      <w:highlight w:val="none"/>
                    </w:rPr>
                  </w:pPr>
                  <w:r>
                    <w:rPr>
                      <w:rFonts w:hint="eastAsia"/>
                      <w:color w:val="auto"/>
                      <w:szCs w:val="21"/>
                      <w:highlight w:val="none"/>
                      <w:lang w:eastAsia="zh-CN"/>
                    </w:rPr>
                    <w:t>无</w:t>
                  </w:r>
                  <w:r>
                    <w:rPr>
                      <w:rFonts w:hint="eastAsia"/>
                      <w:color w:val="auto"/>
                      <w:szCs w:val="21"/>
                      <w:highlight w:val="none"/>
                      <w:lang w:val="en-US" w:eastAsia="zh-CN"/>
                    </w:rPr>
                    <w:t>需</w:t>
                  </w:r>
                  <w:r>
                    <w:rPr>
                      <w:rFonts w:hint="eastAsia"/>
                      <w:color w:val="auto"/>
                      <w:szCs w:val="21"/>
                      <w:highlight w:val="none"/>
                      <w:lang w:eastAsia="zh-CN"/>
                    </w:rPr>
                    <w:t>设置</w:t>
                  </w:r>
                </w:p>
              </w:tc>
            </w:tr>
            <w:tr w14:paraId="7F0FD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tcBorders>
                    <w:tl2br w:val="nil"/>
                    <w:tr2bl w:val="nil"/>
                  </w:tcBorders>
                  <w:vAlign w:val="center"/>
                </w:tcPr>
                <w:p w14:paraId="06A1D11A">
                  <w:pPr>
                    <w:jc w:val="center"/>
                    <w:rPr>
                      <w:color w:val="auto"/>
                      <w:szCs w:val="21"/>
                      <w:highlight w:val="none"/>
                    </w:rPr>
                  </w:pPr>
                  <w:r>
                    <w:rPr>
                      <w:rFonts w:hint="eastAsia" w:ascii="Times New Roman" w:hAnsi="Times New Roman" w:eastAsia="宋体" w:cs="宋体"/>
                      <w:color w:val="auto"/>
                      <w:szCs w:val="21"/>
                      <w:highlight w:val="none"/>
                      <w:lang w:bidi="ar"/>
                    </w:rPr>
                    <w:t>地表水</w:t>
                  </w:r>
                </w:p>
              </w:tc>
              <w:tc>
                <w:tcPr>
                  <w:tcW w:w="1917" w:type="pct"/>
                  <w:tcBorders>
                    <w:tl2br w:val="nil"/>
                    <w:tr2bl w:val="nil"/>
                  </w:tcBorders>
                  <w:vAlign w:val="center"/>
                </w:tcPr>
                <w:p w14:paraId="519472CF">
                  <w:pPr>
                    <w:jc w:val="center"/>
                    <w:rPr>
                      <w:color w:val="auto"/>
                      <w:szCs w:val="21"/>
                      <w:highlight w:val="none"/>
                    </w:rPr>
                  </w:pPr>
                  <w:r>
                    <w:rPr>
                      <w:rFonts w:hint="eastAsia" w:ascii="Times New Roman" w:hAnsi="Times New Roman" w:eastAsia="宋体" w:cs="宋体"/>
                      <w:color w:val="auto"/>
                      <w:szCs w:val="21"/>
                      <w:highlight w:val="none"/>
                      <w:lang w:bidi="ar"/>
                    </w:rPr>
                    <w:t>新增工业废水直排建设项目（槽罐车外送污水处理厂的除外）；新增废水直排的污水集中处理厂</w:t>
                  </w:r>
                </w:p>
              </w:tc>
              <w:tc>
                <w:tcPr>
                  <w:tcW w:w="1712" w:type="pct"/>
                  <w:tcBorders>
                    <w:tl2br w:val="nil"/>
                    <w:tr2bl w:val="nil"/>
                  </w:tcBorders>
                  <w:vAlign w:val="center"/>
                </w:tcPr>
                <w:p w14:paraId="51F83DC3">
                  <w:pPr>
                    <w:jc w:val="center"/>
                    <w:rPr>
                      <w:color w:val="auto"/>
                      <w:szCs w:val="21"/>
                      <w:highlight w:val="none"/>
                    </w:rPr>
                  </w:pPr>
                  <w:r>
                    <w:rPr>
                      <w:rFonts w:hint="eastAsia" w:ascii="Times New Roman" w:hAnsi="Times New Roman" w:eastAsia="宋体" w:cs="宋体"/>
                      <w:color w:val="auto"/>
                      <w:szCs w:val="21"/>
                      <w:highlight w:val="none"/>
                      <w:lang w:bidi="ar"/>
                    </w:rPr>
                    <w:t>本项目废水经污水处理站处理后，排入市政污水管网，经</w:t>
                  </w:r>
                  <w:r>
                    <w:rPr>
                      <w:rFonts w:hint="eastAsia" w:ascii="Times New Roman" w:hAnsi="Times New Roman" w:eastAsia="宋体" w:cs="宋体"/>
                      <w:color w:val="auto"/>
                      <w:szCs w:val="21"/>
                      <w:highlight w:val="none"/>
                      <w:lang w:eastAsia="zh-CN" w:bidi="ar"/>
                    </w:rPr>
                    <w:t>马尔康市城市生活污水处理厂</w:t>
                  </w:r>
                  <w:r>
                    <w:rPr>
                      <w:rFonts w:hint="eastAsia" w:ascii="Times New Roman" w:hAnsi="Times New Roman" w:eastAsia="宋体" w:cs="宋体"/>
                      <w:color w:val="auto"/>
                      <w:szCs w:val="21"/>
                      <w:highlight w:val="none"/>
                      <w:lang w:bidi="ar"/>
                    </w:rPr>
                    <w:t>进行处理后排放，排放方式为间接排放</w:t>
                  </w:r>
                </w:p>
              </w:tc>
              <w:tc>
                <w:tcPr>
                  <w:tcW w:w="650" w:type="pct"/>
                  <w:tcBorders>
                    <w:tl2br w:val="nil"/>
                    <w:tr2bl w:val="nil"/>
                  </w:tcBorders>
                  <w:vAlign w:val="center"/>
                </w:tcPr>
                <w:p w14:paraId="26388657">
                  <w:pPr>
                    <w:jc w:val="center"/>
                    <w:rPr>
                      <w:color w:val="auto"/>
                      <w:szCs w:val="21"/>
                      <w:highlight w:val="none"/>
                    </w:rPr>
                  </w:pPr>
                  <w:r>
                    <w:rPr>
                      <w:rFonts w:hint="eastAsia"/>
                      <w:color w:val="auto"/>
                      <w:szCs w:val="21"/>
                      <w:highlight w:val="none"/>
                      <w:lang w:eastAsia="zh-CN"/>
                    </w:rPr>
                    <w:t>无</w:t>
                  </w:r>
                  <w:r>
                    <w:rPr>
                      <w:rFonts w:hint="eastAsia"/>
                      <w:color w:val="auto"/>
                      <w:szCs w:val="21"/>
                      <w:highlight w:val="none"/>
                      <w:lang w:val="en-US" w:eastAsia="zh-CN"/>
                    </w:rPr>
                    <w:t>需</w:t>
                  </w:r>
                  <w:r>
                    <w:rPr>
                      <w:rFonts w:hint="eastAsia"/>
                      <w:color w:val="auto"/>
                      <w:szCs w:val="21"/>
                      <w:highlight w:val="none"/>
                      <w:lang w:eastAsia="zh-CN"/>
                    </w:rPr>
                    <w:t>设置</w:t>
                  </w:r>
                </w:p>
              </w:tc>
            </w:tr>
            <w:tr w14:paraId="29A32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tcBorders>
                    <w:tl2br w:val="nil"/>
                    <w:tr2bl w:val="nil"/>
                  </w:tcBorders>
                  <w:vAlign w:val="center"/>
                </w:tcPr>
                <w:p w14:paraId="66E98CEC">
                  <w:pPr>
                    <w:jc w:val="center"/>
                    <w:rPr>
                      <w:color w:val="auto"/>
                      <w:szCs w:val="21"/>
                      <w:highlight w:val="none"/>
                    </w:rPr>
                  </w:pPr>
                  <w:r>
                    <w:rPr>
                      <w:rFonts w:hint="eastAsia" w:ascii="Times New Roman" w:hAnsi="Times New Roman" w:eastAsia="宋体" w:cs="宋体"/>
                      <w:color w:val="auto"/>
                      <w:szCs w:val="21"/>
                      <w:highlight w:val="none"/>
                      <w:lang w:bidi="ar"/>
                    </w:rPr>
                    <w:t>环境风险</w:t>
                  </w:r>
                </w:p>
              </w:tc>
              <w:tc>
                <w:tcPr>
                  <w:tcW w:w="1917" w:type="pct"/>
                  <w:tcBorders>
                    <w:tl2br w:val="nil"/>
                    <w:tr2bl w:val="nil"/>
                  </w:tcBorders>
                  <w:vAlign w:val="center"/>
                </w:tcPr>
                <w:p w14:paraId="5A06158C">
                  <w:pPr>
                    <w:jc w:val="center"/>
                    <w:rPr>
                      <w:color w:val="auto"/>
                      <w:szCs w:val="21"/>
                      <w:highlight w:val="none"/>
                    </w:rPr>
                  </w:pPr>
                  <w:r>
                    <w:rPr>
                      <w:rFonts w:hint="eastAsia" w:ascii="Times New Roman" w:hAnsi="Times New Roman" w:eastAsia="宋体" w:cs="宋体"/>
                      <w:color w:val="auto"/>
                      <w:szCs w:val="21"/>
                      <w:highlight w:val="none"/>
                      <w:lang w:bidi="ar"/>
                    </w:rPr>
                    <w:t>有毒有害和易燃易爆危险物质存储量超过临界值的建设项目</w:t>
                  </w:r>
                </w:p>
              </w:tc>
              <w:tc>
                <w:tcPr>
                  <w:tcW w:w="1712" w:type="pct"/>
                  <w:tcBorders>
                    <w:tl2br w:val="nil"/>
                    <w:tr2bl w:val="nil"/>
                  </w:tcBorders>
                  <w:vAlign w:val="center"/>
                </w:tcPr>
                <w:p w14:paraId="6B8F77AF">
                  <w:pPr>
                    <w:jc w:val="center"/>
                    <w:rPr>
                      <w:color w:val="auto"/>
                      <w:szCs w:val="21"/>
                      <w:highlight w:val="none"/>
                    </w:rPr>
                  </w:pPr>
                  <w:r>
                    <w:rPr>
                      <w:rFonts w:hint="eastAsia" w:ascii="Times New Roman" w:hAnsi="Times New Roman" w:eastAsia="宋体" w:cs="宋体"/>
                      <w:color w:val="auto"/>
                      <w:szCs w:val="21"/>
                      <w:highlight w:val="none"/>
                      <w:lang w:bidi="ar"/>
                    </w:rPr>
                    <w:t>本项目涉及有毒有害和易燃易爆危险物质存储量未超过临界值（Q=</w:t>
                  </w:r>
                  <w:r>
                    <w:rPr>
                      <w:rFonts w:hint="eastAsia" w:ascii="Times New Roman" w:hAnsi="Times New Roman" w:eastAsia="宋体" w:cs="宋体"/>
                      <w:color w:val="auto"/>
                      <w:szCs w:val="21"/>
                      <w:highlight w:val="none"/>
                      <w:lang w:val="en-US" w:eastAsia="zh-CN" w:bidi="ar"/>
                    </w:rPr>
                    <w:t>0.000885</w:t>
                  </w:r>
                  <w:r>
                    <w:rPr>
                      <w:rFonts w:hint="eastAsia" w:ascii="Times New Roman" w:hAnsi="Times New Roman" w:eastAsia="宋体" w:cs="宋体"/>
                      <w:color w:val="auto"/>
                      <w:szCs w:val="21"/>
                      <w:highlight w:val="none"/>
                      <w:lang w:bidi="ar"/>
                    </w:rPr>
                    <w:t>＜1）</w:t>
                  </w:r>
                </w:p>
              </w:tc>
              <w:tc>
                <w:tcPr>
                  <w:tcW w:w="650" w:type="pct"/>
                  <w:tcBorders>
                    <w:tl2br w:val="nil"/>
                    <w:tr2bl w:val="nil"/>
                  </w:tcBorders>
                  <w:vAlign w:val="center"/>
                </w:tcPr>
                <w:p w14:paraId="7FA49DAD">
                  <w:pPr>
                    <w:jc w:val="center"/>
                    <w:rPr>
                      <w:color w:val="auto"/>
                      <w:szCs w:val="21"/>
                      <w:highlight w:val="none"/>
                    </w:rPr>
                  </w:pPr>
                  <w:r>
                    <w:rPr>
                      <w:rFonts w:hint="eastAsia"/>
                      <w:color w:val="auto"/>
                      <w:szCs w:val="21"/>
                      <w:highlight w:val="none"/>
                      <w:lang w:eastAsia="zh-CN"/>
                    </w:rPr>
                    <w:t>无</w:t>
                  </w:r>
                  <w:r>
                    <w:rPr>
                      <w:rFonts w:hint="eastAsia"/>
                      <w:color w:val="auto"/>
                      <w:szCs w:val="21"/>
                      <w:highlight w:val="none"/>
                      <w:lang w:val="en-US" w:eastAsia="zh-CN"/>
                    </w:rPr>
                    <w:t>需</w:t>
                  </w:r>
                  <w:r>
                    <w:rPr>
                      <w:rFonts w:hint="eastAsia"/>
                      <w:color w:val="auto"/>
                      <w:szCs w:val="21"/>
                      <w:highlight w:val="none"/>
                      <w:lang w:eastAsia="zh-CN"/>
                    </w:rPr>
                    <w:t>设置</w:t>
                  </w:r>
                </w:p>
              </w:tc>
            </w:tr>
            <w:tr w14:paraId="7701A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tcBorders>
                    <w:tl2br w:val="nil"/>
                    <w:tr2bl w:val="nil"/>
                  </w:tcBorders>
                  <w:vAlign w:val="center"/>
                </w:tcPr>
                <w:p w14:paraId="76E15D5A">
                  <w:pPr>
                    <w:jc w:val="center"/>
                    <w:rPr>
                      <w:color w:val="auto"/>
                      <w:szCs w:val="21"/>
                      <w:highlight w:val="none"/>
                    </w:rPr>
                  </w:pPr>
                  <w:r>
                    <w:rPr>
                      <w:rFonts w:hint="eastAsia" w:ascii="Times New Roman" w:hAnsi="Times New Roman" w:eastAsia="宋体" w:cs="宋体"/>
                      <w:color w:val="auto"/>
                      <w:szCs w:val="21"/>
                      <w:highlight w:val="none"/>
                      <w:lang w:bidi="ar"/>
                    </w:rPr>
                    <w:t>生态</w:t>
                  </w:r>
                </w:p>
              </w:tc>
              <w:tc>
                <w:tcPr>
                  <w:tcW w:w="1917" w:type="pct"/>
                  <w:tcBorders>
                    <w:tl2br w:val="nil"/>
                    <w:tr2bl w:val="nil"/>
                  </w:tcBorders>
                  <w:vAlign w:val="center"/>
                </w:tcPr>
                <w:p w14:paraId="7449EC29">
                  <w:pPr>
                    <w:jc w:val="center"/>
                    <w:rPr>
                      <w:color w:val="auto"/>
                      <w:szCs w:val="21"/>
                      <w:highlight w:val="none"/>
                    </w:rPr>
                  </w:pPr>
                  <w:r>
                    <w:rPr>
                      <w:rFonts w:hint="eastAsia" w:ascii="Times New Roman" w:hAnsi="Times New Roman" w:eastAsia="宋体" w:cs="宋体"/>
                      <w:color w:val="auto"/>
                      <w:szCs w:val="21"/>
                      <w:highlight w:val="none"/>
                      <w:lang w:bidi="ar"/>
                    </w:rPr>
                    <w:t>取水口下游</w:t>
                  </w:r>
                  <w:r>
                    <w:rPr>
                      <w:rFonts w:ascii="Times New Roman" w:hAnsi="Times New Roman" w:eastAsia="宋体" w:cs="Times New Roman"/>
                      <w:color w:val="auto"/>
                      <w:szCs w:val="21"/>
                      <w:highlight w:val="none"/>
                      <w:lang w:bidi="ar"/>
                    </w:rPr>
                    <w:t>500</w:t>
                  </w:r>
                  <w:r>
                    <w:rPr>
                      <w:rFonts w:hint="eastAsia" w:ascii="Times New Roman" w:hAnsi="Times New Roman" w:eastAsia="宋体" w:cs="宋体"/>
                      <w:color w:val="auto"/>
                      <w:szCs w:val="21"/>
                      <w:highlight w:val="none"/>
                      <w:lang w:bidi="ar"/>
                    </w:rPr>
                    <w:t>米范围内有重要水生生物的自然产卵场、索饵场、越冬场和洄游通道的新增河道取水的污染类建设项目</w:t>
                  </w:r>
                </w:p>
              </w:tc>
              <w:tc>
                <w:tcPr>
                  <w:tcW w:w="1712" w:type="pct"/>
                  <w:tcBorders>
                    <w:tl2br w:val="nil"/>
                    <w:tr2bl w:val="nil"/>
                  </w:tcBorders>
                  <w:vAlign w:val="center"/>
                </w:tcPr>
                <w:p w14:paraId="2A02604E">
                  <w:pPr>
                    <w:jc w:val="center"/>
                    <w:rPr>
                      <w:color w:val="auto"/>
                      <w:szCs w:val="21"/>
                      <w:highlight w:val="none"/>
                    </w:rPr>
                  </w:pPr>
                  <w:r>
                    <w:rPr>
                      <w:rFonts w:hint="eastAsia" w:ascii="Times New Roman" w:hAnsi="Times New Roman" w:eastAsia="宋体" w:cs="宋体"/>
                      <w:color w:val="auto"/>
                      <w:szCs w:val="21"/>
                      <w:highlight w:val="none"/>
                      <w:lang w:bidi="ar"/>
                    </w:rPr>
                    <w:t>本项目用水由市政给水管网供应，不涉及河道取水</w:t>
                  </w:r>
                </w:p>
              </w:tc>
              <w:tc>
                <w:tcPr>
                  <w:tcW w:w="650" w:type="pct"/>
                  <w:tcBorders>
                    <w:tl2br w:val="nil"/>
                    <w:tr2bl w:val="nil"/>
                  </w:tcBorders>
                  <w:vAlign w:val="center"/>
                </w:tcPr>
                <w:p w14:paraId="61F7FBED">
                  <w:pPr>
                    <w:jc w:val="center"/>
                    <w:rPr>
                      <w:color w:val="auto"/>
                      <w:szCs w:val="21"/>
                      <w:highlight w:val="none"/>
                    </w:rPr>
                  </w:pPr>
                  <w:r>
                    <w:rPr>
                      <w:rFonts w:hint="eastAsia"/>
                      <w:color w:val="auto"/>
                      <w:szCs w:val="21"/>
                      <w:highlight w:val="none"/>
                      <w:lang w:eastAsia="zh-CN"/>
                    </w:rPr>
                    <w:t>无</w:t>
                  </w:r>
                  <w:r>
                    <w:rPr>
                      <w:rFonts w:hint="eastAsia"/>
                      <w:color w:val="auto"/>
                      <w:szCs w:val="21"/>
                      <w:highlight w:val="none"/>
                      <w:lang w:val="en-US" w:eastAsia="zh-CN"/>
                    </w:rPr>
                    <w:t>需</w:t>
                  </w:r>
                  <w:r>
                    <w:rPr>
                      <w:rFonts w:hint="eastAsia"/>
                      <w:color w:val="auto"/>
                      <w:szCs w:val="21"/>
                      <w:highlight w:val="none"/>
                      <w:lang w:eastAsia="zh-CN"/>
                    </w:rPr>
                    <w:t>设置</w:t>
                  </w:r>
                </w:p>
              </w:tc>
            </w:tr>
            <w:tr w14:paraId="109EC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tcBorders>
                    <w:tl2br w:val="nil"/>
                    <w:tr2bl w:val="nil"/>
                  </w:tcBorders>
                  <w:vAlign w:val="center"/>
                </w:tcPr>
                <w:p w14:paraId="6270D6B5">
                  <w:pPr>
                    <w:jc w:val="center"/>
                    <w:rPr>
                      <w:color w:val="auto"/>
                      <w:szCs w:val="21"/>
                      <w:highlight w:val="none"/>
                    </w:rPr>
                  </w:pPr>
                  <w:r>
                    <w:rPr>
                      <w:rFonts w:hint="eastAsia" w:ascii="Times New Roman" w:hAnsi="Times New Roman" w:eastAsia="宋体" w:cs="宋体"/>
                      <w:color w:val="auto"/>
                      <w:szCs w:val="21"/>
                      <w:highlight w:val="none"/>
                      <w:lang w:bidi="ar"/>
                    </w:rPr>
                    <w:t>海洋</w:t>
                  </w:r>
                </w:p>
              </w:tc>
              <w:tc>
                <w:tcPr>
                  <w:tcW w:w="1917" w:type="pct"/>
                  <w:tcBorders>
                    <w:tl2br w:val="nil"/>
                    <w:tr2bl w:val="nil"/>
                  </w:tcBorders>
                  <w:vAlign w:val="center"/>
                </w:tcPr>
                <w:p w14:paraId="29E1E6B7">
                  <w:pPr>
                    <w:jc w:val="center"/>
                    <w:rPr>
                      <w:color w:val="auto"/>
                      <w:szCs w:val="21"/>
                      <w:highlight w:val="none"/>
                    </w:rPr>
                  </w:pPr>
                  <w:r>
                    <w:rPr>
                      <w:rFonts w:hint="eastAsia" w:ascii="Times New Roman" w:hAnsi="Times New Roman" w:eastAsia="宋体" w:cs="宋体"/>
                      <w:color w:val="auto"/>
                      <w:szCs w:val="21"/>
                      <w:highlight w:val="none"/>
                      <w:lang w:bidi="ar"/>
                    </w:rPr>
                    <w:t>直接向海排放污染物的海洋工程建设项目</w:t>
                  </w:r>
                </w:p>
              </w:tc>
              <w:tc>
                <w:tcPr>
                  <w:tcW w:w="1712" w:type="pct"/>
                  <w:tcBorders>
                    <w:tl2br w:val="nil"/>
                    <w:tr2bl w:val="nil"/>
                  </w:tcBorders>
                  <w:vAlign w:val="center"/>
                </w:tcPr>
                <w:p w14:paraId="758557C7">
                  <w:pPr>
                    <w:jc w:val="center"/>
                    <w:rPr>
                      <w:color w:val="auto"/>
                      <w:szCs w:val="21"/>
                      <w:highlight w:val="none"/>
                    </w:rPr>
                  </w:pPr>
                  <w:r>
                    <w:rPr>
                      <w:rFonts w:hint="eastAsia" w:ascii="Times New Roman" w:hAnsi="Times New Roman" w:eastAsia="宋体" w:cs="宋体"/>
                      <w:color w:val="auto"/>
                      <w:szCs w:val="21"/>
                      <w:highlight w:val="none"/>
                      <w:lang w:bidi="ar"/>
                    </w:rPr>
                    <w:t>不涉及</w:t>
                  </w:r>
                </w:p>
              </w:tc>
              <w:tc>
                <w:tcPr>
                  <w:tcW w:w="650" w:type="pct"/>
                  <w:tcBorders>
                    <w:tl2br w:val="nil"/>
                    <w:tr2bl w:val="nil"/>
                  </w:tcBorders>
                  <w:vAlign w:val="center"/>
                </w:tcPr>
                <w:p w14:paraId="3C3A5F78">
                  <w:pPr>
                    <w:jc w:val="center"/>
                    <w:rPr>
                      <w:color w:val="auto"/>
                      <w:szCs w:val="21"/>
                      <w:highlight w:val="none"/>
                    </w:rPr>
                  </w:pPr>
                  <w:r>
                    <w:rPr>
                      <w:rFonts w:hint="eastAsia"/>
                      <w:color w:val="auto"/>
                      <w:szCs w:val="21"/>
                      <w:highlight w:val="none"/>
                      <w:lang w:eastAsia="zh-CN"/>
                    </w:rPr>
                    <w:t>无</w:t>
                  </w:r>
                  <w:r>
                    <w:rPr>
                      <w:rFonts w:hint="eastAsia"/>
                      <w:color w:val="auto"/>
                      <w:szCs w:val="21"/>
                      <w:highlight w:val="none"/>
                      <w:lang w:val="en-US" w:eastAsia="zh-CN"/>
                    </w:rPr>
                    <w:t>需</w:t>
                  </w:r>
                  <w:r>
                    <w:rPr>
                      <w:rFonts w:hint="eastAsia"/>
                      <w:color w:val="auto"/>
                      <w:szCs w:val="21"/>
                      <w:highlight w:val="none"/>
                      <w:lang w:eastAsia="zh-CN"/>
                    </w:rPr>
                    <w:t>设置</w:t>
                  </w:r>
                </w:p>
              </w:tc>
            </w:tr>
            <w:tr w14:paraId="59D3DD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vAlign w:val="center"/>
                </w:tcPr>
                <w:p w14:paraId="2D0C0148">
                  <w:pPr>
                    <w:rPr>
                      <w:rFonts w:ascii="Times New Roman" w:hAnsi="Times New Roman" w:eastAsia="宋体" w:cs="宋体"/>
                      <w:color w:val="auto"/>
                      <w:szCs w:val="21"/>
                      <w:highlight w:val="none"/>
                      <w:lang w:bidi="ar"/>
                    </w:rPr>
                  </w:pPr>
                  <w:r>
                    <w:rPr>
                      <w:rFonts w:hint="eastAsia" w:ascii="Times New Roman" w:hAnsi="Times New Roman" w:eastAsia="宋体" w:cs="宋体"/>
                      <w:color w:val="auto"/>
                      <w:szCs w:val="21"/>
                      <w:highlight w:val="none"/>
                      <w:lang w:bidi="ar"/>
                    </w:rPr>
                    <w:t>注：</w:t>
                  </w:r>
                  <w:r>
                    <w:rPr>
                      <w:rFonts w:ascii="Times New Roman" w:hAnsi="Times New Roman" w:eastAsia="宋体" w:cs="Times New Roman"/>
                      <w:color w:val="auto"/>
                      <w:szCs w:val="21"/>
                      <w:highlight w:val="none"/>
                      <w:lang w:bidi="ar"/>
                    </w:rPr>
                    <w:t>1.</w:t>
                  </w:r>
                  <w:r>
                    <w:rPr>
                      <w:rFonts w:hint="eastAsia" w:ascii="Times New Roman" w:hAnsi="Times New Roman" w:eastAsia="宋体" w:cs="宋体"/>
                      <w:color w:val="auto"/>
                      <w:szCs w:val="21"/>
                      <w:highlight w:val="none"/>
                      <w:lang w:bidi="ar"/>
                    </w:rPr>
                    <w:t>废气中有毒有害污染物指纳入《有毒有害大气污染物名录》的污染物（不包括无排放标准的污染物）。</w:t>
                  </w:r>
                </w:p>
                <w:p w14:paraId="01EC97E5">
                  <w:pPr>
                    <w:rPr>
                      <w:rFonts w:ascii="Times New Roman" w:hAnsi="Times New Roman" w:eastAsia="宋体" w:cs="宋体"/>
                      <w:color w:val="auto"/>
                      <w:szCs w:val="21"/>
                      <w:highlight w:val="none"/>
                      <w:lang w:bidi="ar"/>
                    </w:rPr>
                  </w:pPr>
                  <w:r>
                    <w:rPr>
                      <w:rFonts w:ascii="Times New Roman" w:hAnsi="Times New Roman" w:eastAsia="宋体" w:cs="Times New Roman"/>
                      <w:color w:val="auto"/>
                      <w:szCs w:val="21"/>
                      <w:highlight w:val="none"/>
                      <w:lang w:bidi="ar"/>
                    </w:rPr>
                    <w:t>2.</w:t>
                  </w:r>
                  <w:r>
                    <w:rPr>
                      <w:rFonts w:hint="eastAsia" w:ascii="Times New Roman" w:hAnsi="Times New Roman" w:eastAsia="宋体" w:cs="宋体"/>
                      <w:color w:val="auto"/>
                      <w:szCs w:val="21"/>
                      <w:highlight w:val="none"/>
                      <w:lang w:bidi="ar"/>
                    </w:rPr>
                    <w:t>环境空气保护目标指自然保护区、风景名胜区、居住区、文化区和农村地区中人群较集中的区域。</w:t>
                  </w:r>
                </w:p>
                <w:p w14:paraId="7D9D6398">
                  <w:pPr>
                    <w:rPr>
                      <w:color w:val="auto"/>
                      <w:szCs w:val="21"/>
                      <w:highlight w:val="none"/>
                    </w:rPr>
                  </w:pPr>
                  <w:r>
                    <w:rPr>
                      <w:rFonts w:ascii="Times New Roman" w:hAnsi="Times New Roman" w:eastAsia="宋体" w:cs="Times New Roman"/>
                      <w:color w:val="auto"/>
                      <w:szCs w:val="21"/>
                      <w:highlight w:val="none"/>
                      <w:lang w:bidi="ar"/>
                    </w:rPr>
                    <w:t>3.</w:t>
                  </w:r>
                  <w:r>
                    <w:rPr>
                      <w:rFonts w:hint="eastAsia" w:ascii="Times New Roman" w:hAnsi="Times New Roman" w:eastAsia="宋体" w:cs="宋体"/>
                      <w:color w:val="auto"/>
                      <w:szCs w:val="21"/>
                      <w:highlight w:val="none"/>
                      <w:lang w:bidi="ar"/>
                    </w:rPr>
                    <w:t>临界量及其计算方法可参考《建设项目环境风险评价技术导则》（</w:t>
                  </w:r>
                  <w:r>
                    <w:rPr>
                      <w:rFonts w:ascii="Times New Roman" w:hAnsi="Times New Roman" w:eastAsia="宋体" w:cs="Times New Roman"/>
                      <w:color w:val="auto"/>
                      <w:szCs w:val="21"/>
                      <w:highlight w:val="none"/>
                      <w:lang w:bidi="ar"/>
                    </w:rPr>
                    <w:t>HJ 169</w:t>
                  </w:r>
                  <w:r>
                    <w:rPr>
                      <w:rFonts w:hint="eastAsia" w:ascii="Times New Roman" w:hAnsi="Times New Roman" w:eastAsia="宋体" w:cs="宋体"/>
                      <w:color w:val="auto"/>
                      <w:szCs w:val="21"/>
                      <w:highlight w:val="none"/>
                      <w:lang w:bidi="ar"/>
                    </w:rPr>
                    <w:t>）附录</w:t>
                  </w:r>
                  <w:r>
                    <w:rPr>
                      <w:rFonts w:ascii="Times New Roman" w:hAnsi="Times New Roman" w:eastAsia="宋体" w:cs="Times New Roman"/>
                      <w:color w:val="auto"/>
                      <w:szCs w:val="21"/>
                      <w:highlight w:val="none"/>
                      <w:lang w:bidi="ar"/>
                    </w:rPr>
                    <w:t>B</w:t>
                  </w:r>
                  <w:r>
                    <w:rPr>
                      <w:rFonts w:hint="eastAsia" w:ascii="Times New Roman" w:hAnsi="Times New Roman" w:eastAsia="宋体" w:cs="宋体"/>
                      <w:color w:val="auto"/>
                      <w:szCs w:val="21"/>
                      <w:highlight w:val="none"/>
                      <w:lang w:bidi="ar"/>
                    </w:rPr>
                    <w:t>、附录</w:t>
                  </w:r>
                  <w:r>
                    <w:rPr>
                      <w:rFonts w:ascii="Times New Roman" w:hAnsi="Times New Roman" w:eastAsia="宋体" w:cs="Times New Roman"/>
                      <w:color w:val="auto"/>
                      <w:szCs w:val="21"/>
                      <w:highlight w:val="none"/>
                      <w:lang w:bidi="ar"/>
                    </w:rPr>
                    <w:t>C</w:t>
                  </w:r>
                  <w:r>
                    <w:rPr>
                      <w:rFonts w:hint="eastAsia" w:ascii="Times New Roman" w:hAnsi="Times New Roman" w:eastAsia="宋体" w:cs="宋体"/>
                      <w:color w:val="auto"/>
                      <w:szCs w:val="21"/>
                      <w:highlight w:val="none"/>
                      <w:lang w:bidi="ar"/>
                    </w:rPr>
                    <w:t>。</w:t>
                  </w:r>
                </w:p>
              </w:tc>
            </w:tr>
          </w:tbl>
          <w:p w14:paraId="4268767D">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综上所述，本项目</w:t>
            </w:r>
            <w:r>
              <w:rPr>
                <w:rFonts w:hint="eastAsia" w:ascii="Times New Roman" w:hAnsi="Times New Roman" w:cs="Times New Roman"/>
                <w:b/>
                <w:color w:val="auto"/>
                <w:sz w:val="24"/>
                <w:szCs w:val="24"/>
                <w:highlight w:val="none"/>
                <w:lang w:eastAsia="zh-CN"/>
              </w:rPr>
              <w:t>无</w:t>
            </w:r>
            <w:r>
              <w:rPr>
                <w:rFonts w:hint="eastAsia" w:ascii="Times New Roman" w:hAnsi="Times New Roman" w:cs="Times New Roman"/>
                <w:b/>
                <w:color w:val="auto"/>
                <w:sz w:val="24"/>
                <w:szCs w:val="24"/>
                <w:highlight w:val="none"/>
                <w:lang w:val="en-US" w:eastAsia="zh-CN"/>
              </w:rPr>
              <w:t>需</w:t>
            </w:r>
            <w:r>
              <w:rPr>
                <w:rFonts w:hint="eastAsia" w:ascii="Times New Roman" w:hAnsi="Times New Roman" w:cs="Times New Roman"/>
                <w:b/>
                <w:color w:val="auto"/>
                <w:sz w:val="24"/>
                <w:szCs w:val="24"/>
                <w:highlight w:val="none"/>
                <w:lang w:eastAsia="zh-CN"/>
              </w:rPr>
              <w:t>设置</w:t>
            </w:r>
            <w:r>
              <w:rPr>
                <w:rFonts w:hint="eastAsia" w:ascii="Times New Roman" w:hAnsi="Times New Roman" w:cs="Times New Roman"/>
                <w:b/>
                <w:color w:val="auto"/>
                <w:sz w:val="24"/>
                <w:szCs w:val="24"/>
                <w:highlight w:val="none"/>
              </w:rPr>
              <w:t>专项评价。</w:t>
            </w:r>
          </w:p>
        </w:tc>
      </w:tr>
      <w:tr w14:paraId="3E3B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14:paraId="0685B0A5">
            <w:pPr>
              <w:spacing w:line="360" w:lineRule="auto"/>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规划情况</w:t>
            </w:r>
          </w:p>
        </w:tc>
        <w:tc>
          <w:tcPr>
            <w:tcW w:w="9135" w:type="dxa"/>
            <w:gridSpan w:val="4"/>
            <w:vAlign w:val="center"/>
          </w:tcPr>
          <w:p w14:paraId="3A31AAF7">
            <w:pPr>
              <w:spacing w:line="360" w:lineRule="auto"/>
              <w:rPr>
                <w:rFonts w:ascii="Times New Roman" w:hAnsi="Times New Roman" w:cs="Times New Roman"/>
                <w:color w:val="auto"/>
                <w:sz w:val="24"/>
                <w:szCs w:val="24"/>
                <w:highlight w:val="none"/>
              </w:rPr>
            </w:pPr>
            <w:r>
              <w:rPr>
                <w:rFonts w:hint="eastAsia" w:ascii="Times New Roman" w:hAnsi="Times New Roman" w:eastAsia="宋体" w:cs="Times New Roman"/>
                <w:color w:val="auto"/>
                <w:kern w:val="0"/>
                <w:sz w:val="24"/>
                <w:szCs w:val="24"/>
                <w:highlight w:val="none"/>
                <w:lang w:val="en-US" w:eastAsia="zh-CN"/>
              </w:rPr>
              <w:t>1.</w:t>
            </w:r>
            <w:r>
              <w:rPr>
                <w:rFonts w:ascii="Times New Roman" w:hAnsi="Times New Roman" w:eastAsia="宋体" w:cs="Times New Roman"/>
                <w:color w:val="auto"/>
                <w:kern w:val="0"/>
                <w:sz w:val="24"/>
                <w:szCs w:val="24"/>
                <w:highlight w:val="none"/>
              </w:rPr>
              <w:t>规划名称：《</w:t>
            </w:r>
            <w:r>
              <w:rPr>
                <w:rFonts w:hint="default" w:ascii="Times New Roman" w:hAnsi="Times New Roman" w:eastAsia="宋体" w:cs="Times New Roman"/>
                <w:color w:val="auto"/>
                <w:kern w:val="0"/>
                <w:sz w:val="24"/>
                <w:szCs w:val="24"/>
                <w:highlight w:val="none"/>
                <w:lang w:val="en-US" w:eastAsia="zh-CN"/>
              </w:rPr>
              <w:t>阿坝藏族羌族自治州国民经济和社会发展第十四个五年规划和二〇三五年远景目标纲要</w:t>
            </w:r>
            <w:r>
              <w:rPr>
                <w:rFonts w:ascii="Times New Roman" w:hAnsi="Times New Roman" w:eastAsia="宋体" w:cs="Times New Roman"/>
                <w:color w:val="auto"/>
                <w:kern w:val="0"/>
                <w:sz w:val="24"/>
                <w:szCs w:val="24"/>
                <w:highlight w:val="none"/>
              </w:rPr>
              <w:t>》；</w:t>
            </w:r>
          </w:p>
          <w:p w14:paraId="001949B2">
            <w:pPr>
              <w:spacing w:line="360" w:lineRule="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审批机关：</w:t>
            </w:r>
            <w:r>
              <w:rPr>
                <w:rFonts w:hint="eastAsia" w:ascii="Times New Roman" w:hAnsi="Times New Roman" w:eastAsia="宋体" w:cs="Times New Roman"/>
                <w:color w:val="auto"/>
                <w:kern w:val="0"/>
                <w:sz w:val="24"/>
                <w:szCs w:val="24"/>
                <w:highlight w:val="none"/>
                <w:lang w:val="en-US" w:eastAsia="zh-CN"/>
              </w:rPr>
              <w:t>阿坝州人民政府</w:t>
            </w:r>
            <w:r>
              <w:rPr>
                <w:rFonts w:ascii="Times New Roman" w:hAnsi="Times New Roman" w:eastAsia="宋体" w:cs="Times New Roman"/>
                <w:color w:val="auto"/>
                <w:kern w:val="0"/>
                <w:sz w:val="24"/>
                <w:szCs w:val="24"/>
                <w:highlight w:val="none"/>
              </w:rPr>
              <w:t>；</w:t>
            </w:r>
          </w:p>
          <w:p w14:paraId="7EC289E9">
            <w:pPr>
              <w:spacing w:line="360" w:lineRule="auto"/>
              <w:rPr>
                <w:rFonts w:ascii="Times New Roman" w:hAnsi="Times New Roman" w:eastAsia="宋体" w:cs="Times New Roman"/>
                <w:color w:val="auto"/>
                <w:kern w:val="0"/>
                <w:sz w:val="24"/>
                <w:szCs w:val="24"/>
                <w:highlight w:val="none"/>
              </w:rPr>
            </w:pPr>
            <w:r>
              <w:rPr>
                <w:rFonts w:ascii="Times New Roman" w:hAnsi="Times New Roman" w:cs="Times New Roman"/>
                <w:color w:val="auto"/>
                <w:sz w:val="24"/>
                <w:szCs w:val="24"/>
                <w:highlight w:val="none"/>
              </w:rPr>
              <w:t>审批文件名称及文号：</w:t>
            </w:r>
            <w:r>
              <w:rPr>
                <w:rFonts w:hint="eastAsia" w:ascii="Times New Roman" w:hAnsi="Times New Roman" w:cs="Times New Roman"/>
                <w:color w:val="auto"/>
                <w:sz w:val="24"/>
                <w:szCs w:val="24"/>
                <w:highlight w:val="none"/>
              </w:rPr>
              <w:t>阿坝州人民政府关于印发《阿坝藏族羌族自治州国民经济和社会发展第十四个五年规划和二〇三五年远景目标纲要》的通知</w:t>
            </w:r>
            <w:r>
              <w:rPr>
                <w:rFonts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eastAsia="zh-CN"/>
              </w:rPr>
              <w:t>阿</w:t>
            </w:r>
            <w:r>
              <w:rPr>
                <w:rFonts w:hint="eastAsia" w:ascii="Times New Roman" w:hAnsi="Times New Roman" w:eastAsia="宋体" w:cs="Times New Roman"/>
                <w:color w:val="auto"/>
                <w:kern w:val="0"/>
                <w:sz w:val="24"/>
                <w:szCs w:val="24"/>
                <w:highlight w:val="none"/>
                <w:lang w:val="en-US" w:eastAsia="zh-CN"/>
              </w:rPr>
              <w:t>府发</w:t>
            </w:r>
            <w:r>
              <w:rPr>
                <w:rFonts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2021</w:t>
            </w:r>
            <w:r>
              <w:rPr>
                <w:rFonts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4</w:t>
            </w:r>
            <w:r>
              <w:rPr>
                <w:rFonts w:ascii="Times New Roman" w:hAnsi="Times New Roman" w:eastAsia="宋体" w:cs="Times New Roman"/>
                <w:color w:val="auto"/>
                <w:kern w:val="0"/>
                <w:sz w:val="24"/>
                <w:szCs w:val="24"/>
                <w:highlight w:val="none"/>
              </w:rPr>
              <w:t>号）。</w:t>
            </w:r>
          </w:p>
          <w:p w14:paraId="63DBF8CC">
            <w:pPr>
              <w:spacing w:line="360" w:lineRule="auto"/>
              <w:rPr>
                <w:rFonts w:ascii="Times New Roman" w:hAnsi="Times New Roman" w:cs="Times New Roman"/>
                <w:color w:val="auto"/>
                <w:sz w:val="24"/>
                <w:szCs w:val="24"/>
                <w:highlight w:val="none"/>
              </w:rPr>
            </w:pPr>
            <w:r>
              <w:rPr>
                <w:rFonts w:hint="eastAsia" w:ascii="Times New Roman" w:hAnsi="Times New Roman" w:eastAsia="宋体" w:cs="Times New Roman"/>
                <w:color w:val="auto"/>
                <w:kern w:val="0"/>
                <w:sz w:val="24"/>
                <w:szCs w:val="24"/>
                <w:highlight w:val="none"/>
                <w:lang w:val="en-US" w:eastAsia="zh-CN"/>
              </w:rPr>
              <w:t>2.</w:t>
            </w:r>
            <w:r>
              <w:rPr>
                <w:rFonts w:ascii="Times New Roman" w:hAnsi="Times New Roman" w:eastAsia="宋体" w:cs="Times New Roman"/>
                <w:color w:val="auto"/>
                <w:kern w:val="0"/>
                <w:sz w:val="24"/>
                <w:szCs w:val="24"/>
                <w:highlight w:val="none"/>
              </w:rPr>
              <w:t>规划名称：《</w:t>
            </w:r>
            <w:r>
              <w:rPr>
                <w:rFonts w:hint="eastAsia" w:ascii="Times New Roman" w:hAnsi="Times New Roman" w:eastAsia="宋体" w:cs="Times New Roman"/>
                <w:color w:val="auto"/>
                <w:kern w:val="0"/>
                <w:sz w:val="24"/>
                <w:szCs w:val="24"/>
                <w:highlight w:val="none"/>
                <w:lang w:val="en-US" w:eastAsia="zh-CN"/>
              </w:rPr>
              <w:t>阿坝州教育事业发展“十四五”规划</w:t>
            </w:r>
            <w:r>
              <w:rPr>
                <w:rFonts w:ascii="Times New Roman" w:hAnsi="Times New Roman" w:eastAsia="宋体" w:cs="Times New Roman"/>
                <w:color w:val="auto"/>
                <w:kern w:val="0"/>
                <w:sz w:val="24"/>
                <w:szCs w:val="24"/>
                <w:highlight w:val="none"/>
              </w:rPr>
              <w:t>》；</w:t>
            </w:r>
          </w:p>
          <w:p w14:paraId="6D99FF04">
            <w:pPr>
              <w:spacing w:line="360" w:lineRule="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审批机关：</w:t>
            </w:r>
            <w:r>
              <w:rPr>
                <w:rFonts w:hint="eastAsia" w:ascii="Times New Roman" w:hAnsi="Times New Roman" w:eastAsia="宋体" w:cs="Times New Roman"/>
                <w:color w:val="auto"/>
                <w:kern w:val="0"/>
                <w:sz w:val="24"/>
                <w:szCs w:val="24"/>
                <w:highlight w:val="none"/>
                <w:lang w:val="en-US" w:eastAsia="zh-CN"/>
              </w:rPr>
              <w:t>中共阿坝州教育工作委员会、阿坝州教育局</w:t>
            </w:r>
            <w:r>
              <w:rPr>
                <w:rFonts w:ascii="Times New Roman" w:hAnsi="Times New Roman" w:eastAsia="宋体" w:cs="Times New Roman"/>
                <w:color w:val="auto"/>
                <w:kern w:val="0"/>
                <w:sz w:val="24"/>
                <w:szCs w:val="24"/>
                <w:highlight w:val="none"/>
              </w:rPr>
              <w:t>；</w:t>
            </w:r>
          </w:p>
          <w:p w14:paraId="72BCCBB6">
            <w:pPr>
              <w:spacing w:line="360" w:lineRule="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审批文件名称及文号：</w:t>
            </w:r>
            <w:r>
              <w:rPr>
                <w:rFonts w:hint="eastAsia" w:ascii="Times New Roman" w:hAnsi="Times New Roman" w:eastAsia="宋体" w:cs="Times New Roman"/>
                <w:color w:val="auto"/>
                <w:kern w:val="0"/>
                <w:sz w:val="24"/>
                <w:szCs w:val="24"/>
                <w:highlight w:val="none"/>
                <w:lang w:val="en-US" w:eastAsia="zh-CN"/>
              </w:rPr>
              <w:t>中共阿坝州教育工作委员会、阿坝州教育局</w:t>
            </w:r>
            <w:r>
              <w:rPr>
                <w:rFonts w:ascii="Times New Roman" w:hAnsi="Times New Roman" w:cs="Times New Roman"/>
                <w:color w:val="auto"/>
                <w:sz w:val="24"/>
                <w:szCs w:val="24"/>
                <w:highlight w:val="none"/>
              </w:rPr>
              <w:t>《关于印发</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阿坝州</w:t>
            </w:r>
            <w:r>
              <w:rPr>
                <w:rFonts w:hint="eastAsia" w:ascii="宋体" w:hAnsi="宋体" w:eastAsia="宋体" w:cs="宋体"/>
                <w:color w:val="auto"/>
                <w:kern w:val="0"/>
                <w:sz w:val="24"/>
                <w:szCs w:val="24"/>
                <w:highlight w:val="none"/>
              </w:rPr>
              <w:t>“十四五”</w:t>
            </w:r>
            <w:r>
              <w:rPr>
                <w:rFonts w:hint="eastAsia" w:ascii="Times New Roman" w:hAnsi="Times New Roman" w:eastAsia="宋体" w:cs="Times New Roman"/>
                <w:color w:val="auto"/>
                <w:kern w:val="0"/>
                <w:sz w:val="24"/>
                <w:szCs w:val="24"/>
                <w:highlight w:val="none"/>
                <w:lang w:val="en-US" w:eastAsia="zh-CN"/>
              </w:rPr>
              <w:t>教育</w:t>
            </w:r>
            <w:r>
              <w:rPr>
                <w:rFonts w:ascii="Times New Roman" w:hAnsi="Times New Roman" w:eastAsia="宋体" w:cs="Times New Roman"/>
                <w:color w:val="auto"/>
                <w:kern w:val="0"/>
                <w:sz w:val="24"/>
                <w:szCs w:val="24"/>
                <w:highlight w:val="none"/>
              </w:rPr>
              <w:t>发展规划</w:t>
            </w:r>
            <w:r>
              <w:rPr>
                <w:rFonts w:hint="eastAsia" w:ascii="Times New Roman" w:hAnsi="Times New Roman" w:eastAsia="宋体" w:cs="Times New Roman"/>
                <w:color w:val="auto"/>
                <w:kern w:val="0"/>
                <w:sz w:val="24"/>
                <w:szCs w:val="24"/>
                <w:highlight w:val="none"/>
                <w:lang w:eastAsia="zh-CN"/>
              </w:rPr>
              <w:t>〉</w:t>
            </w:r>
            <w:r>
              <w:rPr>
                <w:rFonts w:ascii="Times New Roman" w:hAnsi="Times New Roman" w:eastAsia="宋体" w:cs="Times New Roman"/>
                <w:color w:val="auto"/>
                <w:kern w:val="0"/>
                <w:sz w:val="24"/>
                <w:szCs w:val="24"/>
                <w:highlight w:val="none"/>
              </w:rPr>
              <w:t>的通知》（</w:t>
            </w:r>
            <w:r>
              <w:rPr>
                <w:rFonts w:hint="eastAsia" w:ascii="Times New Roman" w:hAnsi="Times New Roman" w:eastAsia="宋体" w:cs="Times New Roman"/>
                <w:color w:val="auto"/>
                <w:kern w:val="0"/>
                <w:sz w:val="24"/>
                <w:szCs w:val="24"/>
                <w:highlight w:val="none"/>
                <w:lang w:eastAsia="zh-CN"/>
              </w:rPr>
              <w:t>阿</w:t>
            </w:r>
            <w:r>
              <w:rPr>
                <w:rFonts w:hint="eastAsia" w:ascii="Times New Roman" w:hAnsi="Times New Roman" w:eastAsia="宋体" w:cs="Times New Roman"/>
                <w:color w:val="auto"/>
                <w:kern w:val="0"/>
                <w:sz w:val="24"/>
                <w:szCs w:val="24"/>
                <w:highlight w:val="none"/>
                <w:lang w:val="en-US" w:eastAsia="zh-CN"/>
              </w:rPr>
              <w:t>州教工委</w:t>
            </w:r>
            <w:r>
              <w:rPr>
                <w:rFonts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2022</w:t>
            </w:r>
            <w:r>
              <w:rPr>
                <w:rFonts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4</w:t>
            </w:r>
            <w:r>
              <w:rPr>
                <w:rFonts w:ascii="Times New Roman" w:hAnsi="Times New Roman" w:eastAsia="宋体" w:cs="Times New Roman"/>
                <w:color w:val="auto"/>
                <w:kern w:val="0"/>
                <w:sz w:val="24"/>
                <w:szCs w:val="24"/>
                <w:highlight w:val="none"/>
              </w:rPr>
              <w:t>号）。</w:t>
            </w:r>
          </w:p>
        </w:tc>
      </w:tr>
      <w:tr w14:paraId="6AB8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14:paraId="64C588FE">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规划环境影响评价情况</w:t>
            </w:r>
          </w:p>
        </w:tc>
        <w:tc>
          <w:tcPr>
            <w:tcW w:w="9135" w:type="dxa"/>
            <w:gridSpan w:val="4"/>
            <w:vAlign w:val="center"/>
          </w:tcPr>
          <w:p w14:paraId="6F39E843">
            <w:pPr>
              <w:spacing w:line="360" w:lineRule="auto"/>
              <w:rPr>
                <w:rFonts w:ascii="Times New Roman" w:hAnsi="Times New Roman" w:cs="Times New Roman"/>
                <w:color w:val="auto"/>
                <w:sz w:val="24"/>
                <w:szCs w:val="24"/>
                <w:highlight w:val="none"/>
              </w:rPr>
            </w:pPr>
            <w:r>
              <w:rPr>
                <w:rFonts w:hint="eastAsia" w:ascii="Times New Roman" w:hAnsi="Times New Roman" w:eastAsia="宋体" w:cs="Times New Roman"/>
                <w:color w:val="auto"/>
                <w:kern w:val="0"/>
                <w:sz w:val="24"/>
                <w:szCs w:val="24"/>
                <w:highlight w:val="none"/>
              </w:rPr>
              <w:t>无</w:t>
            </w:r>
          </w:p>
        </w:tc>
      </w:tr>
      <w:tr w14:paraId="7AC5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14:paraId="4EC673CE">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规划及规划环境影响评价符合性分析</w:t>
            </w:r>
          </w:p>
        </w:tc>
        <w:tc>
          <w:tcPr>
            <w:tcW w:w="9135" w:type="dxa"/>
            <w:gridSpan w:val="4"/>
            <w:vAlign w:val="center"/>
          </w:tcPr>
          <w:p w14:paraId="0FE58AB2">
            <w:pPr>
              <w:spacing w:line="360" w:lineRule="auto"/>
              <w:rPr>
                <w:rFonts w:hint="default" w:ascii="Times New Roman" w:hAnsi="Times New Roman" w:cs="Times New Roman" w:eastAsiaTheme="minorEastAsia"/>
                <w:color w:val="auto"/>
                <w:kern w:val="0"/>
                <w:sz w:val="24"/>
                <w:szCs w:val="24"/>
                <w:highlight w:val="none"/>
                <w:lang w:val="en-US" w:eastAsia="zh-CN"/>
              </w:rPr>
            </w:pPr>
            <w:r>
              <w:rPr>
                <w:rFonts w:hint="eastAsia" w:ascii="Times New Roman" w:hAnsi="Times New Roman" w:cs="Times New Roman"/>
                <w:b/>
                <w:bCs/>
                <w:color w:val="auto"/>
                <w:kern w:val="0"/>
                <w:sz w:val="24"/>
                <w:szCs w:val="24"/>
                <w:highlight w:val="none"/>
                <w:lang w:val="en-US" w:eastAsia="zh-CN"/>
              </w:rPr>
              <w:t>1</w:t>
            </w:r>
            <w:r>
              <w:rPr>
                <w:rFonts w:hint="default" w:ascii="Times New Roman" w:hAnsi="Times New Roman" w:cs="Times New Roman"/>
                <w:b/>
                <w:bCs/>
                <w:color w:val="auto"/>
                <w:kern w:val="0"/>
                <w:sz w:val="24"/>
                <w:szCs w:val="24"/>
                <w:highlight w:val="none"/>
                <w:lang w:val="en-US" w:eastAsia="zh-CN"/>
              </w:rPr>
              <w:t>、与《阿坝藏族羌族自治州国民经济和社会发展第十四个五年规划和二〇三五年远景目标纲要》符合性分析</w:t>
            </w:r>
          </w:p>
          <w:p w14:paraId="373E6779">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kern w:val="0"/>
                <w:sz w:val="24"/>
              </w:rPr>
              <w:t>《阿坝藏族羌族自治州国民经济和社会发展第十四个五年规划和二〇三五年远景目标纲要》提出，优先发展教育事业，建设新时代民族教育典范区。优先发展教育事业。优化教育资源配置，适应城镇化发展和镇村布局变化，优化配置城乡教育资源，按照“科学规划、分步实施、相对集中、提高效益”原则，优化整合教育资源。科学调整各级各类学校布局，实现高中阶段州级统筹跨县域办学、义务教育相对集中办学、幼儿园就近入学，破解“村空乡弱城挤”发展瓶颈，让优质教育资源惠及更多基层群众。统筹全域学校设施建设和师资力量布局，加大向边远艰苦地区学校输送优秀师资力度，缩小区域教育差距。扩大州内外合作规模，引进优质教育资源，建设新时代民族教育典范区。</w:t>
            </w:r>
          </w:p>
          <w:p w14:paraId="268EBB62">
            <w:pPr>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bCs/>
                <w:color w:val="auto"/>
                <w:sz w:val="24"/>
              </w:rPr>
              <w:t>本项目由马尔康市教育局根据阿坝藏族羌族自治州以及马尔康市的总体规划要求，结合马尔康市教育现有具体情况而提出，并按照规划和设计实施。综上</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本项目建设符合《阿坝藏族羌族自治州国民经济和社会发展第十四个五年规划和二〇三五年远景目标纲要》的相关要求。</w:t>
            </w:r>
          </w:p>
          <w:p w14:paraId="4D5F3335">
            <w:pPr>
              <w:spacing w:line="360" w:lineRule="auto"/>
              <w:rPr>
                <w:rFonts w:hint="eastAsia" w:ascii="Times New Roman" w:hAnsi="Times New Roman" w:cs="Times New Roman" w:eastAsiaTheme="minorEastAsia"/>
                <w:color w:val="auto"/>
                <w:kern w:val="0"/>
                <w:sz w:val="24"/>
                <w:szCs w:val="24"/>
                <w:highlight w:val="none"/>
                <w:lang w:val="en-US" w:eastAsia="zh-CN"/>
              </w:rPr>
            </w:pPr>
            <w:r>
              <w:rPr>
                <w:rFonts w:hint="eastAsia" w:ascii="Times New Roman" w:hAnsi="Times New Roman" w:cs="Times New Roman"/>
                <w:b/>
                <w:bCs/>
                <w:color w:val="auto"/>
                <w:kern w:val="0"/>
                <w:sz w:val="24"/>
                <w:szCs w:val="24"/>
                <w:highlight w:val="none"/>
                <w:lang w:val="en-US" w:eastAsia="zh-CN"/>
              </w:rPr>
              <w:t>2、</w:t>
            </w:r>
            <w:r>
              <w:rPr>
                <w:b/>
                <w:bCs/>
                <w:color w:val="auto"/>
                <w:kern w:val="0"/>
                <w:sz w:val="24"/>
              </w:rPr>
              <w:t>与《</w:t>
            </w:r>
            <w:r>
              <w:rPr>
                <w:rFonts w:hint="eastAsia"/>
                <w:b/>
                <w:bCs/>
                <w:color w:val="auto"/>
                <w:kern w:val="0"/>
                <w:sz w:val="24"/>
              </w:rPr>
              <w:t>阿坝藏族羌族自治州</w:t>
            </w:r>
            <w:r>
              <w:rPr>
                <w:b/>
                <w:bCs/>
                <w:color w:val="auto"/>
                <w:kern w:val="0"/>
                <w:sz w:val="24"/>
              </w:rPr>
              <w:t>教育事业发展“十四五”规划》符合性分析</w:t>
            </w:r>
          </w:p>
          <w:p w14:paraId="2F938CB2">
            <w:pPr>
              <w:spacing w:line="360" w:lineRule="auto"/>
              <w:ind w:firstLine="480" w:firstLineChars="200"/>
              <w:rPr>
                <w:rFonts w:hint="eastAsia"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阿坝藏族羌族自治州教育事业发展“十四五”规划》中提出了以下思路：①以优化学校布局调整、改善办学条件和提高农村薄弱学校教育质量为重点，加快推进义务教育优质均衡发展，努力让每个学生享受公平而有质量的教育；②增强学生美育素养。以课堂教学为中心，完善“艺术基础知识基本技能+审美体验+艺术专项特长”的教学模式；③加强心理健康教育和服务。加大中小学心理辅导室建设力度，配齐必备设施设备；④强化高中教育改革，显著提高乡镇薄弱高中办学水平，营造活力充沛、特色鲜明、质量优异的高中样态。进一步深化课程改革，强化课程的综合性和实践性，推动育人方式变革，全面落实教学“六认真”，着力发展学生核心素养。</w:t>
            </w:r>
          </w:p>
          <w:p w14:paraId="07B9BEFD">
            <w:pPr>
              <w:spacing w:line="360" w:lineRule="auto"/>
              <w:ind w:firstLine="480" w:firstLineChars="200"/>
              <w:rPr>
                <w:rFonts w:ascii="Times New Roman" w:hAnsi="Times New Roman" w:cs="Times New Roman"/>
                <w:color w:val="auto"/>
                <w:sz w:val="24"/>
                <w:szCs w:val="24"/>
                <w:highlight w:val="none"/>
              </w:rPr>
            </w:pPr>
            <w:r>
              <w:rPr>
                <w:rFonts w:hint="eastAsia"/>
                <w:color w:val="auto"/>
                <w:kern w:val="0"/>
                <w:sz w:val="24"/>
              </w:rPr>
              <w:t>本项目为</w:t>
            </w:r>
            <w:r>
              <w:rPr>
                <w:rFonts w:hint="eastAsia" w:ascii="Times New Roman" w:hAnsi="Times New Roman" w:cs="Times New Roman"/>
                <w:color w:val="auto"/>
                <w:kern w:val="0"/>
                <w:sz w:val="24"/>
                <w:szCs w:val="24"/>
                <w:highlight w:val="none"/>
              </w:rPr>
              <w:t>马尔康市</w:t>
            </w:r>
            <w:r>
              <w:rPr>
                <w:rFonts w:hint="eastAsia" w:ascii="Times New Roman" w:hAnsi="Times New Roman" w:cs="Times New Roman"/>
                <w:color w:val="auto"/>
                <w:kern w:val="0"/>
                <w:sz w:val="24"/>
                <w:szCs w:val="24"/>
                <w:highlight w:val="none"/>
                <w:lang w:val="en-US" w:eastAsia="zh-CN"/>
              </w:rPr>
              <w:t>第二中学实验楼建设项目</w:t>
            </w:r>
            <w:r>
              <w:rPr>
                <w:rFonts w:hint="eastAsia"/>
                <w:color w:val="auto"/>
                <w:kern w:val="0"/>
                <w:sz w:val="24"/>
              </w:rPr>
              <w:t>。本项目建设完成后，有益于义务教育均衡发展，增强学生美育素养，增强马尔康市教育局的教育质量，与《阿坝藏族羌族自治州市教育事业发展“十四五”规划》要求相符合。</w:t>
            </w:r>
          </w:p>
        </w:tc>
      </w:tr>
      <w:tr w14:paraId="0E071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14:paraId="73128DCB">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其他符合性分析</w:t>
            </w:r>
          </w:p>
        </w:tc>
        <w:tc>
          <w:tcPr>
            <w:tcW w:w="9135" w:type="dxa"/>
            <w:gridSpan w:val="4"/>
            <w:vAlign w:val="center"/>
          </w:tcPr>
          <w:p w14:paraId="1BD5E28F">
            <w:pPr>
              <w:spacing w:line="360" w:lineRule="auto"/>
              <w:rPr>
                <w:rFonts w:hint="default" w:ascii="Times New Roman" w:hAnsi="Times New Roman" w:cs="Times New Roman"/>
                <w:b/>
                <w:color w:val="auto"/>
                <w:kern w:val="0"/>
                <w:sz w:val="24"/>
                <w:szCs w:val="24"/>
                <w:highlight w:val="none"/>
              </w:rPr>
            </w:pPr>
            <w:r>
              <w:rPr>
                <w:rFonts w:hint="default" w:ascii="Times New Roman" w:hAnsi="Times New Roman" w:cs="Times New Roman"/>
                <w:b/>
                <w:color w:val="auto"/>
                <w:kern w:val="0"/>
                <w:sz w:val="24"/>
                <w:szCs w:val="24"/>
                <w:highlight w:val="none"/>
              </w:rPr>
              <w:t>1、产业政策符合性分析</w:t>
            </w:r>
          </w:p>
          <w:p w14:paraId="5923EEC8">
            <w:pPr>
              <w:wordWrap w:val="0"/>
              <w:autoSpaceDE w:val="0"/>
              <w:autoSpaceDN w:val="0"/>
              <w:spacing w:line="360" w:lineRule="auto"/>
              <w:ind w:firstLine="480" w:firstLineChars="200"/>
              <w:rPr>
                <w:rFonts w:hint="eastAsia"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rPr>
              <w:t>本项目为</w:t>
            </w:r>
            <w:r>
              <w:rPr>
                <w:rFonts w:hint="default" w:ascii="Times New Roman" w:hAnsi="Times New Roman" w:cs="Times New Roman"/>
                <w:color w:val="auto"/>
                <w:kern w:val="0"/>
                <w:sz w:val="24"/>
                <w:szCs w:val="24"/>
                <w:highlight w:val="none"/>
                <w:lang w:eastAsia="zh-CN"/>
              </w:rPr>
              <w:t>阿坝州马尔康市第二中学校实验楼建设项目</w:t>
            </w:r>
            <w:r>
              <w:rPr>
                <w:rFonts w:hint="default" w:ascii="Times New Roman" w:hAnsi="Times New Roman" w:cs="Times New Roman"/>
                <w:color w:val="auto"/>
                <w:kern w:val="0"/>
                <w:sz w:val="24"/>
                <w:szCs w:val="24"/>
                <w:highlight w:val="none"/>
              </w:rPr>
              <w:t>，根据《国民经济行业分类》（GB/T4754-2017），本项目属于</w:t>
            </w:r>
            <w:r>
              <w:rPr>
                <w:rFonts w:hint="default" w:ascii="Times New Roman" w:hAnsi="Times New Roman" w:cs="Times New Roman"/>
                <w:color w:val="auto"/>
                <w:kern w:val="0"/>
                <w:sz w:val="24"/>
                <w:szCs w:val="24"/>
                <w:highlight w:val="none"/>
                <w:lang w:val="en-US" w:eastAsia="zh-CN"/>
              </w:rPr>
              <w:t>P8331 普通初中教育</w:t>
            </w:r>
            <w:r>
              <w:rPr>
                <w:rFonts w:hint="default" w:ascii="Times New Roman" w:hAnsi="Times New Roman" w:cs="Times New Roman"/>
                <w:color w:val="auto"/>
                <w:kern w:val="0"/>
                <w:sz w:val="24"/>
                <w:szCs w:val="24"/>
                <w:highlight w:val="none"/>
              </w:rPr>
              <w:t>。根据国家发展和改革委员会2024年第7号令《产业结构调整指导目录（2024年本）》，本项目</w:t>
            </w:r>
            <w:r>
              <w:rPr>
                <w:rFonts w:hint="default" w:ascii="Times New Roman" w:hAnsi="Times New Roman" w:cs="Times New Roman"/>
                <w:color w:val="auto"/>
                <w:kern w:val="0"/>
                <w:sz w:val="24"/>
                <w:szCs w:val="24"/>
                <w:highlight w:val="none"/>
                <w:lang w:val="en-US" w:eastAsia="zh-CN"/>
              </w:rPr>
              <w:t>不属于“鼓励类”、“限制类”、“淘汰类”。根据国务院关于发布实施《促进产业结构调整暂行规定》的决定（国发</w:t>
            </w:r>
            <w:r>
              <w:rPr>
                <w:rFonts w:hint="default" w:ascii="Times New Roman" w:hAnsi="Times New Roman" w:eastAsia="宋体" w:cs="Times New Roman"/>
                <w:color w:val="auto"/>
                <w:kern w:val="0"/>
                <w:sz w:val="24"/>
                <w:szCs w:val="24"/>
                <w:highlight w:val="none"/>
                <w:lang w:val="en-US" w:eastAsia="zh-CN"/>
              </w:rPr>
              <w:t>〔2005〕40号</w:t>
            </w:r>
            <w:r>
              <w:rPr>
                <w:rFonts w:hint="default" w:ascii="Times New Roman" w:hAnsi="Times New Roman" w:cs="Times New Roman"/>
                <w:color w:val="auto"/>
                <w:kern w:val="0"/>
                <w:sz w:val="24"/>
                <w:szCs w:val="24"/>
                <w:highlight w:val="none"/>
                <w:lang w:val="en-US" w:eastAsia="zh-CN"/>
              </w:rPr>
              <w:t>）第十三条《产业结构调整指导目录》由鼓励、限制和淘汰三类目录组成，不属于鼓励类、限制类和淘汰类，符合国家有关法律、法规和政策规定的可视为允许类，允许类不列入《产业结构调整指导目录》。因此，本项目可视为允许类</w:t>
            </w:r>
            <w:r>
              <w:rPr>
                <w:rFonts w:hint="eastAsia" w:ascii="Times New Roman" w:hAnsi="Times New Roman" w:cs="Times New Roman"/>
                <w:color w:val="auto"/>
                <w:kern w:val="0"/>
                <w:sz w:val="24"/>
                <w:szCs w:val="24"/>
                <w:highlight w:val="none"/>
                <w:lang w:val="en-US" w:eastAsia="zh-CN"/>
              </w:rPr>
              <w:t>。</w:t>
            </w:r>
          </w:p>
          <w:p w14:paraId="1699C30A">
            <w:pPr>
              <w:wordWrap w:val="0"/>
              <w:autoSpaceDE w:val="0"/>
              <w:autoSpaceDN w:val="0"/>
              <w:spacing w:line="360" w:lineRule="auto"/>
              <w:ind w:firstLine="480" w:firstLineChars="200"/>
              <w:rPr>
                <w:rFonts w:hint="default" w:ascii="Times New Roman" w:hAnsi="Times New Roman" w:cs="Times New Roman" w:eastAsiaTheme="minorEastAsia"/>
                <w:color w:val="auto"/>
                <w:kern w:val="0"/>
                <w:sz w:val="24"/>
                <w:szCs w:val="24"/>
                <w:highlight w:val="none"/>
                <w:lang w:val="en-US" w:eastAsia="zh-CN"/>
              </w:rPr>
            </w:pPr>
            <w:r>
              <w:rPr>
                <w:rFonts w:ascii="Times New Roman" w:hAnsi="Times New Roman" w:cs="Times New Roman"/>
                <w:color w:val="auto"/>
                <w:kern w:val="0"/>
                <w:sz w:val="24"/>
              </w:rPr>
              <w:t>202</w:t>
            </w:r>
            <w:r>
              <w:rPr>
                <w:rFonts w:hint="default" w:ascii="Times New Roman" w:hAnsi="Times New Roman" w:cs="Times New Roman"/>
                <w:color w:val="auto"/>
                <w:kern w:val="0"/>
                <w:sz w:val="24"/>
              </w:rPr>
              <w:t>4</w:t>
            </w:r>
            <w:r>
              <w:rPr>
                <w:rFonts w:ascii="Times New Roman" w:hAnsi="Times New Roman" w:cs="Times New Roman"/>
                <w:color w:val="auto"/>
                <w:kern w:val="0"/>
                <w:sz w:val="24"/>
              </w:rPr>
              <w:t>年</w:t>
            </w:r>
            <w:r>
              <w:rPr>
                <w:rFonts w:hint="default" w:ascii="Times New Roman" w:hAnsi="Times New Roman" w:cs="Times New Roman"/>
                <w:color w:val="auto"/>
                <w:kern w:val="0"/>
                <w:sz w:val="24"/>
                <w:lang w:val="en-US" w:eastAsia="zh-CN"/>
              </w:rPr>
              <w:t>5</w:t>
            </w:r>
            <w:r>
              <w:rPr>
                <w:rFonts w:ascii="Times New Roman" w:hAnsi="Times New Roman" w:cs="Times New Roman"/>
                <w:color w:val="auto"/>
                <w:kern w:val="0"/>
                <w:sz w:val="24"/>
              </w:rPr>
              <w:t>月</w:t>
            </w:r>
            <w:r>
              <w:rPr>
                <w:rFonts w:hint="default" w:ascii="Times New Roman" w:hAnsi="Times New Roman" w:cs="Times New Roman"/>
                <w:color w:val="auto"/>
                <w:kern w:val="0"/>
                <w:sz w:val="24"/>
                <w:lang w:val="en-US" w:eastAsia="zh-CN"/>
              </w:rPr>
              <w:t>4</w:t>
            </w:r>
            <w:r>
              <w:rPr>
                <w:rFonts w:ascii="Times New Roman" w:hAnsi="Times New Roman" w:cs="Times New Roman"/>
                <w:color w:val="auto"/>
                <w:kern w:val="0"/>
                <w:sz w:val="24"/>
              </w:rPr>
              <w:t>日，</w:t>
            </w:r>
            <w:r>
              <w:rPr>
                <w:rFonts w:hint="default" w:ascii="Times New Roman" w:hAnsi="Times New Roman" w:cs="Times New Roman"/>
                <w:color w:val="auto"/>
                <w:kern w:val="0"/>
                <w:sz w:val="24"/>
              </w:rPr>
              <w:t>马尔康市</w:t>
            </w:r>
            <w:r>
              <w:rPr>
                <w:rFonts w:ascii="Times New Roman" w:hAnsi="Times New Roman" w:cs="Times New Roman"/>
                <w:color w:val="auto"/>
                <w:kern w:val="0"/>
                <w:sz w:val="24"/>
              </w:rPr>
              <w:t>发展和改革局</w:t>
            </w:r>
            <w:r>
              <w:rPr>
                <w:rFonts w:hint="default" w:ascii="Times New Roman" w:hAnsi="Times New Roman" w:cs="Times New Roman"/>
                <w:color w:val="auto"/>
                <w:kern w:val="0"/>
                <w:sz w:val="24"/>
              </w:rPr>
              <w:t>出具了《关于阿坝州马尔康市第二中学校实验楼建设项目可行性研究报告(代项目建议书)的批复》（马尔发改行审【2024】</w:t>
            </w:r>
            <w:r>
              <w:rPr>
                <w:rFonts w:hint="default" w:ascii="Times New Roman" w:hAnsi="Times New Roman" w:cs="Times New Roman"/>
                <w:color w:val="auto"/>
                <w:kern w:val="0"/>
                <w:sz w:val="24"/>
                <w:lang w:val="en-US" w:eastAsia="zh-CN"/>
              </w:rPr>
              <w:t>67</w:t>
            </w:r>
            <w:r>
              <w:rPr>
                <w:rFonts w:hint="default" w:ascii="Times New Roman" w:hAnsi="Times New Roman" w:cs="Times New Roman"/>
                <w:color w:val="auto"/>
                <w:kern w:val="0"/>
                <w:sz w:val="24"/>
              </w:rPr>
              <w:t>号）（附件2），同意本项目开工建设</w:t>
            </w:r>
            <w:r>
              <w:rPr>
                <w:rFonts w:ascii="Times New Roman" w:hAnsi="Times New Roman" w:cs="Times New Roman"/>
                <w:color w:val="auto"/>
                <w:kern w:val="0"/>
                <w:sz w:val="24"/>
              </w:rPr>
              <w:t>。</w:t>
            </w:r>
            <w:r>
              <w:rPr>
                <w:rFonts w:hint="default" w:ascii="Times New Roman" w:hAnsi="Times New Roman" w:cs="Times New Roman"/>
                <w:color w:val="auto"/>
                <w:kern w:val="0"/>
                <w:sz w:val="24"/>
                <w:szCs w:val="24"/>
                <w:highlight w:val="none"/>
                <w:lang w:val="en-US" w:eastAsia="zh-CN"/>
              </w:rPr>
              <w:t>因此，本项目的建设符合国家产业政策。</w:t>
            </w:r>
          </w:p>
          <w:p w14:paraId="30BF7E38">
            <w:pPr>
              <w:spacing w:line="360" w:lineRule="auto"/>
              <w:rPr>
                <w:rFonts w:hint="default" w:ascii="Times New Roman" w:hAnsi="Times New Roman" w:cs="Times New Roman" w:eastAsiaTheme="minorEastAsia"/>
                <w:b/>
                <w:bCs/>
                <w:color w:val="auto"/>
                <w:kern w:val="0"/>
                <w:sz w:val="24"/>
                <w:szCs w:val="24"/>
                <w:highlight w:val="none"/>
                <w:lang w:val="en-US" w:eastAsia="zh-CN"/>
              </w:rPr>
            </w:pPr>
            <w:r>
              <w:rPr>
                <w:rFonts w:hint="eastAsia" w:ascii="Times New Roman" w:hAnsi="Times New Roman" w:cs="Times New Roman"/>
                <w:b/>
                <w:bCs/>
                <w:color w:val="auto"/>
                <w:kern w:val="0"/>
                <w:sz w:val="24"/>
                <w:szCs w:val="24"/>
                <w:highlight w:val="none"/>
                <w:lang w:val="en-US" w:eastAsia="zh-CN"/>
              </w:rPr>
              <w:t>2、与土地利用规划的符合性分析</w:t>
            </w:r>
          </w:p>
          <w:p w14:paraId="3BDBC2AD">
            <w:pPr>
              <w:adjustRightInd w:val="0"/>
              <w:snapToGrid w:val="0"/>
              <w:spacing w:line="360" w:lineRule="auto"/>
              <w:ind w:firstLine="480" w:firstLineChars="200"/>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rPr>
              <w:t>本项目位于</w:t>
            </w:r>
            <w:r>
              <w:rPr>
                <w:rFonts w:hint="default" w:ascii="Times New Roman" w:hAnsi="Times New Roman" w:cs="Times New Roman"/>
                <w:color w:val="auto"/>
                <w:sz w:val="24"/>
                <w:szCs w:val="24"/>
                <w:highlight w:val="none"/>
                <w:lang w:val="en-US" w:eastAsia="zh-CN"/>
              </w:rPr>
              <w:t>马尔康市达萨街439号</w:t>
            </w:r>
            <w:r>
              <w:rPr>
                <w:rFonts w:hint="default" w:ascii="Times New Roman" w:hAnsi="Times New Roman" w:eastAsia="宋体" w:cs="Times New Roman"/>
                <w:color w:val="auto"/>
                <w:sz w:val="24"/>
                <w:szCs w:val="24"/>
              </w:rPr>
              <w:t>，</w:t>
            </w:r>
            <w:r>
              <w:rPr>
                <w:rFonts w:hint="eastAsia" w:ascii="Times New Roman" w:hAnsi="Times New Roman" w:eastAsia="宋体" w:cs="Times New Roman"/>
                <w:bCs/>
                <w:color w:val="auto"/>
                <w:sz w:val="24"/>
                <w:szCs w:val="28"/>
                <w:lang w:val="en-US" w:eastAsia="zh-CN"/>
              </w:rPr>
              <w:t>目前</w:t>
            </w:r>
            <w:r>
              <w:rPr>
                <w:rFonts w:hint="default" w:ascii="Times New Roman" w:hAnsi="Times New Roman" w:cs="Times New Roman"/>
                <w:bCs/>
                <w:color w:val="auto"/>
                <w:sz w:val="24"/>
                <w:szCs w:val="28"/>
              </w:rPr>
              <w:t>马尔康市自然资源局</w:t>
            </w:r>
            <w:r>
              <w:rPr>
                <w:rFonts w:hint="eastAsia" w:ascii="Times New Roman" w:hAnsi="Times New Roman" w:cs="Times New Roman"/>
                <w:bCs/>
                <w:color w:val="auto"/>
                <w:sz w:val="24"/>
                <w:szCs w:val="28"/>
                <w:lang w:val="en-US" w:eastAsia="zh-CN"/>
              </w:rPr>
              <w:t>已</w:t>
            </w:r>
            <w:r>
              <w:rPr>
                <w:rFonts w:hint="default" w:ascii="Times New Roman" w:hAnsi="Times New Roman" w:cs="Times New Roman"/>
                <w:bCs/>
                <w:color w:val="auto"/>
                <w:sz w:val="24"/>
                <w:szCs w:val="28"/>
              </w:rPr>
              <w:t>出具《建设项目用地预审和选址意见书》（马尔自然资选址用地第</w:t>
            </w:r>
            <w:r>
              <w:rPr>
                <w:rFonts w:hint="default" w:ascii="Times New Roman" w:hAnsi="Times New Roman" w:cs="Times New Roman"/>
                <w:bCs/>
                <w:color w:val="auto"/>
                <w:sz w:val="24"/>
                <w:szCs w:val="28"/>
                <w:lang w:val="en-US" w:eastAsia="zh-CN"/>
              </w:rPr>
              <w:t>513222920240007</w:t>
            </w:r>
            <w:r>
              <w:rPr>
                <w:rFonts w:hint="default" w:ascii="Times New Roman" w:hAnsi="Times New Roman" w:cs="Times New Roman"/>
                <w:bCs/>
                <w:color w:val="auto"/>
                <w:sz w:val="24"/>
                <w:szCs w:val="28"/>
              </w:rPr>
              <w:t>号）（附件3）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另外，根据</w:t>
            </w:r>
            <w:r>
              <w:rPr>
                <w:rFonts w:hint="eastAsia" w:ascii="Times New Roman" w:hAnsi="Times New Roman" w:eastAsia="宋体" w:cs="Times New Roman"/>
                <w:color w:val="auto"/>
                <w:sz w:val="24"/>
                <w:szCs w:val="24"/>
                <w:lang w:val="en-US" w:eastAsia="zh-CN"/>
              </w:rPr>
              <w:t>《马尔康市中心城区土地利用现状图》</w:t>
            </w:r>
            <w:r>
              <w:rPr>
                <w:rFonts w:hint="default" w:ascii="Times New Roman" w:hAnsi="Times New Roman" w:eastAsia="宋体" w:cs="Times New Roman"/>
                <w:color w:val="auto"/>
                <w:sz w:val="24"/>
                <w:szCs w:val="24"/>
                <w:lang w:val="en-US" w:eastAsia="zh-CN"/>
              </w:rPr>
              <w:t>可知，本项目所在地规划为</w:t>
            </w:r>
            <w:r>
              <w:rPr>
                <w:rFonts w:hint="eastAsia" w:ascii="Times New Roman" w:hAnsi="Times New Roman" w:eastAsia="宋体" w:cs="Times New Roman"/>
                <w:color w:val="auto"/>
                <w:sz w:val="24"/>
                <w:szCs w:val="24"/>
                <w:lang w:val="en-US" w:eastAsia="zh-CN"/>
              </w:rPr>
              <w:t>中小学、幼儿园用地</w:t>
            </w:r>
            <w:r>
              <w:rPr>
                <w:rFonts w:hint="default" w:ascii="Times New Roman" w:hAnsi="Times New Roman" w:eastAsia="宋体" w:cs="Times New Roman"/>
                <w:color w:val="auto"/>
                <w:sz w:val="24"/>
                <w:szCs w:val="24"/>
                <w:lang w:val="en-US" w:eastAsia="zh-CN"/>
              </w:rPr>
              <w:t>。因此，</w:t>
            </w:r>
            <w:r>
              <w:rPr>
                <w:rFonts w:hint="default" w:ascii="Times New Roman" w:hAnsi="Times New Roman" w:eastAsia="宋体" w:cs="Times New Roman"/>
                <w:color w:val="auto"/>
                <w:sz w:val="24"/>
                <w:szCs w:val="24"/>
              </w:rPr>
              <w:t>本项目符合</w:t>
            </w:r>
            <w:r>
              <w:rPr>
                <w:rFonts w:hint="default" w:ascii="Times New Roman" w:hAnsi="Times New Roman" w:eastAsia="宋体" w:cs="Times New Roman"/>
                <w:color w:val="auto"/>
                <w:sz w:val="24"/>
                <w:szCs w:val="24"/>
                <w:lang w:val="en-US" w:eastAsia="zh-CN"/>
              </w:rPr>
              <w:t>其</w:t>
            </w:r>
            <w:r>
              <w:rPr>
                <w:rFonts w:hint="default" w:ascii="Times New Roman" w:hAnsi="Times New Roman" w:eastAsia="宋体" w:cs="Times New Roman"/>
                <w:color w:val="auto"/>
                <w:sz w:val="24"/>
                <w:szCs w:val="24"/>
              </w:rPr>
              <w:t>所在地</w:t>
            </w:r>
            <w:r>
              <w:rPr>
                <w:rFonts w:hint="default" w:ascii="Times New Roman" w:hAnsi="Times New Roman" w:eastAsia="宋体" w:cs="Times New Roman"/>
                <w:color w:val="auto"/>
                <w:sz w:val="24"/>
                <w:szCs w:val="24"/>
                <w:lang w:val="en-US" w:eastAsia="zh-CN"/>
              </w:rPr>
              <w:t>土地利用规划</w:t>
            </w:r>
            <w:r>
              <w:rPr>
                <w:rFonts w:hint="default" w:ascii="Times New Roman" w:hAnsi="Times New Roman" w:eastAsia="宋体" w:cs="Times New Roman"/>
                <w:color w:val="auto"/>
                <w:sz w:val="24"/>
                <w:szCs w:val="24"/>
              </w:rPr>
              <w:t>。</w:t>
            </w:r>
          </w:p>
          <w:p w14:paraId="4C56B0BB">
            <w:pPr>
              <w:spacing w:line="360" w:lineRule="auto"/>
              <w:rPr>
                <w:rFonts w:ascii="Times New Roman" w:hAnsi="Times New Roman" w:cs="Times New Roman"/>
                <w:b/>
                <w:color w:val="auto"/>
                <w:kern w:val="0"/>
                <w:sz w:val="24"/>
                <w:szCs w:val="24"/>
                <w:highlight w:val="none"/>
              </w:rPr>
            </w:pPr>
            <w:r>
              <w:rPr>
                <w:rFonts w:hint="eastAsia" w:ascii="Times New Roman" w:hAnsi="Times New Roman" w:cs="Times New Roman"/>
                <w:b/>
                <w:color w:val="auto"/>
                <w:kern w:val="0"/>
                <w:sz w:val="24"/>
                <w:szCs w:val="24"/>
                <w:highlight w:val="none"/>
                <w:lang w:val="en-US" w:eastAsia="zh-CN"/>
              </w:rPr>
              <w:t>3</w:t>
            </w:r>
            <w:r>
              <w:rPr>
                <w:rFonts w:hint="eastAsia" w:ascii="Times New Roman" w:hAnsi="Times New Roman" w:cs="Times New Roman"/>
                <w:b/>
                <w:color w:val="auto"/>
                <w:kern w:val="0"/>
                <w:sz w:val="24"/>
                <w:szCs w:val="24"/>
                <w:highlight w:val="none"/>
              </w:rPr>
              <w:t>、与“</w:t>
            </w:r>
            <w:r>
              <w:rPr>
                <w:rFonts w:hint="eastAsia" w:ascii="Times New Roman" w:hAnsi="Times New Roman" w:cs="Times New Roman"/>
                <w:b/>
                <w:color w:val="auto"/>
                <w:kern w:val="0"/>
                <w:sz w:val="24"/>
                <w:szCs w:val="24"/>
                <w:highlight w:val="none"/>
                <w:lang w:val="en-US" w:eastAsia="zh-CN"/>
              </w:rPr>
              <w:t>生态环境分区管控</w:t>
            </w:r>
            <w:r>
              <w:rPr>
                <w:rFonts w:hint="eastAsia" w:ascii="Times New Roman" w:hAnsi="Times New Roman" w:cs="Times New Roman"/>
                <w:b/>
                <w:color w:val="auto"/>
                <w:kern w:val="0"/>
                <w:sz w:val="24"/>
                <w:szCs w:val="24"/>
                <w:highlight w:val="none"/>
              </w:rPr>
              <w:t>”符合性分析</w:t>
            </w:r>
          </w:p>
          <w:p w14:paraId="59240804">
            <w:pPr>
              <w:spacing w:line="360" w:lineRule="auto"/>
              <w:ind w:firstLine="480" w:firstLineChars="200"/>
              <w:rPr>
                <w:rFonts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根据</w:t>
            </w: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lang w:val="en-US" w:eastAsia="zh-CN"/>
              </w:rPr>
              <w:t>生态环境分区管控管理暂行规定</w:t>
            </w:r>
            <w:r>
              <w:rPr>
                <w:rFonts w:hint="eastAsia" w:ascii="Times New Roman" w:hAnsi="Times New Roman" w:cs="Times New Roman"/>
                <w:color w:val="auto"/>
                <w:kern w:val="0"/>
                <w:sz w:val="24"/>
                <w:szCs w:val="24"/>
                <w:highlight w:val="none"/>
                <w:lang w:eastAsia="zh-CN"/>
              </w:rPr>
              <w:t>》（环环评〔2024〕41号）、</w:t>
            </w:r>
            <w:r>
              <w:rPr>
                <w:rFonts w:hint="eastAsia" w:ascii="Times New Roman" w:hAnsi="Times New Roman" w:cs="Times New Roman"/>
                <w:color w:val="auto"/>
                <w:kern w:val="0"/>
                <w:sz w:val="24"/>
                <w:szCs w:val="24"/>
                <w:highlight w:val="none"/>
                <w:lang w:val="en-US" w:eastAsia="zh-CN"/>
              </w:rPr>
              <w:t>四川省生态环境厅2024年6月5日发布的《四川省生态环境分区管控动态更新成果（2023年版）》、</w:t>
            </w:r>
            <w:r>
              <w:rPr>
                <w:rFonts w:hint="eastAsia" w:ascii="Times New Roman" w:hAnsi="Times New Roman" w:cs="Times New Roman"/>
                <w:color w:val="auto"/>
                <w:sz w:val="24"/>
                <w:highlight w:val="none"/>
                <w:lang w:val="en-US" w:eastAsia="zh-CN"/>
              </w:rPr>
              <w:t>绵阳</w:t>
            </w:r>
            <w:r>
              <w:rPr>
                <w:rFonts w:hint="default" w:ascii="Times New Roman" w:hAnsi="Times New Roman" w:cs="Times New Roman"/>
                <w:color w:val="auto"/>
                <w:sz w:val="24"/>
                <w:highlight w:val="none"/>
                <w:lang w:val="en-US" w:eastAsia="zh-CN"/>
              </w:rPr>
              <w:t>市</w:t>
            </w:r>
            <w:r>
              <w:rPr>
                <w:rFonts w:hint="eastAsia" w:ascii="Times New Roman" w:hAnsi="Times New Roman" w:cs="Times New Roman"/>
                <w:color w:val="auto"/>
                <w:sz w:val="24"/>
                <w:highlight w:val="none"/>
                <w:lang w:val="en-US" w:eastAsia="zh-CN"/>
              </w:rPr>
              <w:t>人民政府办公室</w:t>
            </w:r>
            <w:r>
              <w:rPr>
                <w:rFonts w:hint="default" w:ascii="Times New Roman" w:hAnsi="Times New Roman" w:cs="Times New Roman"/>
                <w:color w:val="auto"/>
                <w:sz w:val="24"/>
                <w:highlight w:val="none"/>
                <w:lang w:val="en-US" w:eastAsia="zh-CN"/>
              </w:rPr>
              <w:t>关于印发</w:t>
            </w: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关于加强生态环境分区管控的通知</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的（</w:t>
            </w:r>
            <w:r>
              <w:rPr>
                <w:rFonts w:hint="eastAsia" w:ascii="Times New Roman" w:hAnsi="Times New Roman" w:cs="Times New Roman"/>
                <w:color w:val="auto"/>
                <w:sz w:val="24"/>
                <w:highlight w:val="none"/>
                <w:lang w:val="en-US" w:eastAsia="zh-CN"/>
              </w:rPr>
              <w:t>绵府办函</w:t>
            </w:r>
            <w:r>
              <w:rPr>
                <w:rFonts w:hint="default" w:ascii="Times New Roman" w:hAnsi="Times New Roman" w:eastAsia="宋体" w:cs="Times New Roman"/>
                <w:color w:val="auto"/>
                <w:sz w:val="24"/>
                <w:highlight w:val="none"/>
                <w:lang w:val="en-US" w:eastAsia="zh-CN"/>
              </w:rPr>
              <w:t>〔2024〕</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2号</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kern w:val="0"/>
                <w:sz w:val="24"/>
                <w:szCs w:val="24"/>
                <w:highlight w:val="none"/>
              </w:rPr>
              <w:t>《</w:t>
            </w:r>
            <w:r>
              <w:rPr>
                <w:rFonts w:ascii="Times New Roman" w:hAnsi="Times New Roman" w:cs="Times New Roman"/>
                <w:color w:val="auto"/>
                <w:kern w:val="0"/>
                <w:sz w:val="24"/>
                <w:szCs w:val="24"/>
                <w:highlight w:val="none"/>
              </w:rPr>
              <w:t>四川省生态环境厅办公室关于印发</w:t>
            </w: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rPr>
              <w:t>产业</w:t>
            </w:r>
            <w:r>
              <w:rPr>
                <w:rFonts w:ascii="Times New Roman" w:hAnsi="Times New Roman" w:cs="Times New Roman"/>
                <w:color w:val="auto"/>
                <w:kern w:val="0"/>
                <w:sz w:val="24"/>
                <w:szCs w:val="24"/>
                <w:highlight w:val="none"/>
              </w:rPr>
              <w:t>园区规划环评</w:t>
            </w:r>
            <w:r>
              <w:rPr>
                <w:rFonts w:hint="eastAsia" w:ascii="Times New Roman" w:hAnsi="Times New Roman" w:cs="Times New Roman"/>
                <w:color w:val="auto"/>
                <w:kern w:val="0"/>
                <w:sz w:val="24"/>
                <w:szCs w:val="24"/>
                <w:highlight w:val="none"/>
              </w:rPr>
              <w:t>“三线</w:t>
            </w:r>
            <w:r>
              <w:rPr>
                <w:rFonts w:ascii="Times New Roman" w:hAnsi="Times New Roman" w:cs="Times New Roman"/>
                <w:color w:val="auto"/>
                <w:kern w:val="0"/>
                <w:sz w:val="24"/>
                <w:szCs w:val="24"/>
                <w:highlight w:val="none"/>
              </w:rPr>
              <w:t>一单</w:t>
            </w:r>
            <w:r>
              <w:rPr>
                <w:rFonts w:hint="eastAsia" w:ascii="Times New Roman" w:hAnsi="Times New Roman" w:cs="Times New Roman"/>
                <w:color w:val="auto"/>
                <w:kern w:val="0"/>
                <w:sz w:val="24"/>
                <w:szCs w:val="24"/>
                <w:highlight w:val="none"/>
              </w:rPr>
              <w:t>”符合性</w:t>
            </w:r>
            <w:r>
              <w:rPr>
                <w:rFonts w:ascii="Times New Roman" w:hAnsi="Times New Roman" w:cs="Times New Roman"/>
                <w:color w:val="auto"/>
                <w:kern w:val="0"/>
                <w:sz w:val="24"/>
                <w:szCs w:val="24"/>
                <w:highlight w:val="none"/>
              </w:rPr>
              <w:t>分析技术要点（</w:t>
            </w:r>
            <w:r>
              <w:rPr>
                <w:rFonts w:hint="eastAsia" w:ascii="Times New Roman" w:hAnsi="Times New Roman" w:cs="Times New Roman"/>
                <w:color w:val="auto"/>
                <w:kern w:val="0"/>
                <w:sz w:val="24"/>
                <w:szCs w:val="24"/>
                <w:highlight w:val="none"/>
              </w:rPr>
              <w:t>试行</w:t>
            </w:r>
            <w:r>
              <w:rPr>
                <w:rFonts w:ascii="Times New Roman" w:hAnsi="Times New Roman" w:cs="Times New Roman"/>
                <w:color w:val="auto"/>
                <w:kern w:val="0"/>
                <w:sz w:val="24"/>
                <w:szCs w:val="24"/>
                <w:highlight w:val="none"/>
              </w:rPr>
              <w:t>）</w:t>
            </w: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rPr>
              <w:t>和</w:t>
            </w: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rPr>
              <w:t>项目</w:t>
            </w:r>
            <w:r>
              <w:rPr>
                <w:rFonts w:ascii="Times New Roman" w:hAnsi="Times New Roman" w:cs="Times New Roman"/>
                <w:color w:val="auto"/>
                <w:kern w:val="0"/>
                <w:sz w:val="24"/>
                <w:szCs w:val="24"/>
                <w:highlight w:val="none"/>
              </w:rPr>
              <w:t>环评</w:t>
            </w:r>
            <w:r>
              <w:rPr>
                <w:rFonts w:hint="eastAsia" w:ascii="Times New Roman" w:hAnsi="Times New Roman" w:cs="Times New Roman"/>
                <w:color w:val="auto"/>
                <w:kern w:val="0"/>
                <w:sz w:val="24"/>
                <w:szCs w:val="24"/>
                <w:highlight w:val="none"/>
              </w:rPr>
              <w:t>“三线</w:t>
            </w:r>
            <w:r>
              <w:rPr>
                <w:rFonts w:ascii="Times New Roman" w:hAnsi="Times New Roman" w:cs="Times New Roman"/>
                <w:color w:val="auto"/>
                <w:kern w:val="0"/>
                <w:sz w:val="24"/>
                <w:szCs w:val="24"/>
                <w:highlight w:val="none"/>
              </w:rPr>
              <w:t>一单</w:t>
            </w:r>
            <w:r>
              <w:rPr>
                <w:rFonts w:hint="eastAsia" w:ascii="Times New Roman" w:hAnsi="Times New Roman" w:cs="Times New Roman"/>
                <w:color w:val="auto"/>
                <w:kern w:val="0"/>
                <w:sz w:val="24"/>
                <w:szCs w:val="24"/>
                <w:highlight w:val="none"/>
              </w:rPr>
              <w:t>”符合性</w:t>
            </w:r>
            <w:r>
              <w:rPr>
                <w:rFonts w:ascii="Times New Roman" w:hAnsi="Times New Roman" w:cs="Times New Roman"/>
                <w:color w:val="auto"/>
                <w:kern w:val="0"/>
                <w:sz w:val="24"/>
                <w:szCs w:val="24"/>
                <w:highlight w:val="none"/>
              </w:rPr>
              <w:t>分析技术要点（</w:t>
            </w:r>
            <w:r>
              <w:rPr>
                <w:rFonts w:hint="eastAsia" w:ascii="Times New Roman" w:hAnsi="Times New Roman" w:cs="Times New Roman"/>
                <w:color w:val="auto"/>
                <w:kern w:val="0"/>
                <w:sz w:val="24"/>
                <w:szCs w:val="24"/>
                <w:highlight w:val="none"/>
              </w:rPr>
              <w:t>试行</w:t>
            </w:r>
            <w:r>
              <w:rPr>
                <w:rFonts w:ascii="Times New Roman" w:hAnsi="Times New Roman" w:cs="Times New Roman"/>
                <w:color w:val="auto"/>
                <w:kern w:val="0"/>
                <w:sz w:val="24"/>
                <w:szCs w:val="24"/>
                <w:highlight w:val="none"/>
              </w:rPr>
              <w:t>）</w:t>
            </w: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rPr>
              <w:t>的</w:t>
            </w:r>
            <w:r>
              <w:rPr>
                <w:rFonts w:ascii="Times New Roman" w:hAnsi="Times New Roman" w:cs="Times New Roman"/>
                <w:color w:val="auto"/>
                <w:kern w:val="0"/>
                <w:sz w:val="24"/>
                <w:szCs w:val="24"/>
                <w:highlight w:val="none"/>
              </w:rPr>
              <w:t>通知</w:t>
            </w:r>
            <w:r>
              <w:rPr>
                <w:rFonts w:hint="eastAsia" w:ascii="Times New Roman" w:hAnsi="Times New Roman" w:cs="Times New Roman"/>
                <w:color w:val="auto"/>
                <w:kern w:val="0"/>
                <w:sz w:val="24"/>
                <w:szCs w:val="24"/>
                <w:highlight w:val="none"/>
              </w:rPr>
              <w:t>》（川</w:t>
            </w:r>
            <w:r>
              <w:rPr>
                <w:rFonts w:ascii="Times New Roman" w:hAnsi="Times New Roman" w:cs="Times New Roman"/>
                <w:color w:val="auto"/>
                <w:kern w:val="0"/>
                <w:sz w:val="24"/>
                <w:szCs w:val="24"/>
                <w:highlight w:val="none"/>
              </w:rPr>
              <w:t>环办函〔</w:t>
            </w:r>
            <w:r>
              <w:rPr>
                <w:rFonts w:hint="eastAsia" w:ascii="Times New Roman" w:hAnsi="Times New Roman" w:cs="Times New Roman"/>
                <w:color w:val="auto"/>
                <w:kern w:val="0"/>
                <w:sz w:val="24"/>
                <w:szCs w:val="24"/>
                <w:highlight w:val="none"/>
              </w:rPr>
              <w:t>2021</w:t>
            </w:r>
            <w:r>
              <w:rPr>
                <w:rFonts w:ascii="Times New Roman" w:hAnsi="Times New Roman" w:cs="Times New Roman"/>
                <w:color w:val="auto"/>
                <w:kern w:val="0"/>
                <w:sz w:val="24"/>
                <w:szCs w:val="24"/>
                <w:highlight w:val="none"/>
              </w:rPr>
              <w:t>〕469</w:t>
            </w:r>
            <w:r>
              <w:rPr>
                <w:rFonts w:hint="eastAsia" w:ascii="Times New Roman" w:hAnsi="Times New Roman" w:cs="Times New Roman"/>
                <w:color w:val="auto"/>
                <w:kern w:val="0"/>
                <w:sz w:val="24"/>
                <w:szCs w:val="24"/>
                <w:highlight w:val="none"/>
              </w:rPr>
              <w:t>号</w:t>
            </w:r>
            <w:r>
              <w:rPr>
                <w:rFonts w:ascii="Times New Roman" w:hAnsi="Times New Roman" w:cs="Times New Roman"/>
                <w:color w:val="auto"/>
                <w:kern w:val="0"/>
                <w:sz w:val="24"/>
                <w:szCs w:val="24"/>
                <w:highlight w:val="none"/>
              </w:rPr>
              <w:t>）</w:t>
            </w:r>
            <w:r>
              <w:rPr>
                <w:rFonts w:hint="eastAsia" w:ascii="Times New Roman" w:hAnsi="Times New Roman" w:cs="Times New Roman"/>
                <w:color w:val="auto"/>
                <w:kern w:val="0"/>
                <w:sz w:val="24"/>
                <w:szCs w:val="24"/>
                <w:highlight w:val="none"/>
              </w:rPr>
              <w:t>，</w:t>
            </w:r>
            <w:r>
              <w:rPr>
                <w:rFonts w:ascii="Times New Roman" w:hAnsi="Times New Roman" w:cs="Times New Roman"/>
                <w:color w:val="auto"/>
                <w:kern w:val="0"/>
                <w:sz w:val="24"/>
                <w:szCs w:val="24"/>
                <w:highlight w:val="none"/>
              </w:rPr>
              <w:t>本项目与区域</w:t>
            </w:r>
            <w:r>
              <w:rPr>
                <w:rFonts w:hint="eastAsia" w:ascii="Times New Roman" w:hAnsi="Times New Roman" w:cs="Times New Roman"/>
                <w:color w:val="auto"/>
                <w:kern w:val="0"/>
                <w:sz w:val="24"/>
                <w:szCs w:val="24"/>
                <w:highlight w:val="none"/>
              </w:rPr>
              <w:t>“</w:t>
            </w:r>
            <w:r>
              <w:rPr>
                <w:rFonts w:hint="eastAsia" w:ascii="Times New Roman" w:hAnsi="Times New Roman" w:cs="Times New Roman"/>
                <w:color w:val="auto"/>
                <w:kern w:val="0"/>
                <w:sz w:val="24"/>
                <w:szCs w:val="24"/>
                <w:highlight w:val="none"/>
                <w:lang w:val="en-US" w:eastAsia="zh-CN"/>
              </w:rPr>
              <w:t>生态环境分区管控</w:t>
            </w:r>
            <w:r>
              <w:rPr>
                <w:rFonts w:hint="eastAsia" w:ascii="Times New Roman" w:hAnsi="Times New Roman" w:cs="Times New Roman"/>
                <w:color w:val="auto"/>
                <w:kern w:val="0"/>
                <w:sz w:val="24"/>
                <w:szCs w:val="24"/>
                <w:highlight w:val="none"/>
              </w:rPr>
              <w:t>”符合性</w:t>
            </w:r>
            <w:r>
              <w:rPr>
                <w:rFonts w:ascii="Times New Roman" w:hAnsi="Times New Roman" w:cs="Times New Roman"/>
                <w:color w:val="auto"/>
                <w:kern w:val="0"/>
                <w:sz w:val="24"/>
                <w:szCs w:val="24"/>
                <w:highlight w:val="none"/>
              </w:rPr>
              <w:t>分析</w:t>
            </w:r>
            <w:r>
              <w:rPr>
                <w:rFonts w:hint="eastAsia" w:ascii="Times New Roman" w:hAnsi="Times New Roman" w:cs="Times New Roman"/>
                <w:color w:val="auto"/>
                <w:kern w:val="0"/>
                <w:sz w:val="24"/>
                <w:szCs w:val="24"/>
                <w:highlight w:val="none"/>
              </w:rPr>
              <w:t>如下</w:t>
            </w:r>
            <w:r>
              <w:rPr>
                <w:rFonts w:ascii="Times New Roman" w:hAnsi="Times New Roman" w:cs="Times New Roman"/>
                <w:color w:val="auto"/>
                <w:kern w:val="0"/>
                <w:sz w:val="24"/>
                <w:szCs w:val="24"/>
                <w:highlight w:val="none"/>
              </w:rPr>
              <w:t>：</w:t>
            </w:r>
          </w:p>
          <w:p w14:paraId="37D8F5F9">
            <w:pPr>
              <w:spacing w:line="360" w:lineRule="auto"/>
              <w:ind w:firstLine="480" w:firstLineChars="200"/>
              <w:rPr>
                <w:rFonts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（1）环境管控单元</w:t>
            </w:r>
          </w:p>
          <w:p w14:paraId="767995A3">
            <w:pPr>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highlight w:val="none"/>
              </w:rPr>
              <w:t>根据</w:t>
            </w:r>
            <w:r>
              <w:rPr>
                <w:rFonts w:hint="eastAsia" w:ascii="Times New Roman" w:hAnsi="Times New Roman" w:cs="Times New Roman"/>
                <w:color w:val="auto"/>
                <w:kern w:val="0"/>
                <w:sz w:val="24"/>
                <w:highlight w:val="none"/>
                <w:lang w:val="en-US" w:eastAsia="zh-CN"/>
              </w:rPr>
              <w:t>阿坝州</w:t>
            </w:r>
            <w:r>
              <w:rPr>
                <w:rFonts w:hint="eastAsia" w:ascii="Times New Roman" w:hAnsi="Times New Roman" w:cs="Times New Roman"/>
                <w:color w:val="auto"/>
                <w:sz w:val="24"/>
                <w:highlight w:val="none"/>
                <w:lang w:val="en-US" w:eastAsia="zh-CN"/>
              </w:rPr>
              <w:t>人民政府办公室</w:t>
            </w: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关于印发2023年生态环境分区管控动态更新成果的通知</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的（</w:t>
            </w:r>
            <w:r>
              <w:rPr>
                <w:rFonts w:hint="eastAsia" w:ascii="Times New Roman" w:hAnsi="Times New Roman" w:cs="Times New Roman"/>
                <w:color w:val="auto"/>
                <w:sz w:val="24"/>
                <w:highlight w:val="none"/>
                <w:lang w:val="en-US" w:eastAsia="zh-CN"/>
              </w:rPr>
              <w:t>阿府发</w:t>
            </w:r>
            <w:r>
              <w:rPr>
                <w:rFonts w:hint="default" w:ascii="Times New Roman" w:hAnsi="Times New Roman" w:eastAsia="宋体" w:cs="Times New Roman"/>
                <w:color w:val="auto"/>
                <w:sz w:val="24"/>
                <w:highlight w:val="none"/>
                <w:lang w:val="en-US" w:eastAsia="zh-CN"/>
              </w:rPr>
              <w:t>〔2024〕</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号</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kern w:val="0"/>
                <w:sz w:val="24"/>
                <w:highlight w:val="none"/>
              </w:rPr>
              <w:t>可知，本项目所在位置为城镇重点管控单元。</w:t>
            </w:r>
          </w:p>
          <w:p w14:paraId="76AF4B55">
            <w:pPr>
              <w:spacing w:line="360" w:lineRule="auto"/>
              <w:ind w:firstLine="480" w:firstLineChars="200"/>
              <w:rPr>
                <w:rFonts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根据四川政务服务网“生态环境分区管控符合性分析”查询结果，本项目共涉及</w:t>
            </w:r>
            <w:r>
              <w:rPr>
                <w:rFonts w:hint="eastAsia" w:ascii="Times New Roman" w:hAnsi="Times New Roman" w:cs="Times New Roman"/>
                <w:color w:val="auto"/>
                <w:kern w:val="0"/>
                <w:sz w:val="24"/>
                <w:szCs w:val="24"/>
                <w:highlight w:val="none"/>
                <w:lang w:val="en-US" w:eastAsia="zh-CN"/>
              </w:rPr>
              <w:t>7</w:t>
            </w:r>
            <w:r>
              <w:rPr>
                <w:rFonts w:hint="eastAsia" w:ascii="Times New Roman" w:hAnsi="Times New Roman" w:cs="Times New Roman"/>
                <w:color w:val="auto"/>
                <w:kern w:val="0"/>
                <w:sz w:val="24"/>
                <w:szCs w:val="24"/>
                <w:highlight w:val="none"/>
              </w:rPr>
              <w:t>个环境管控单元，查询截图如下：</w:t>
            </w:r>
          </w:p>
          <w:p w14:paraId="7F11FC6E">
            <w:pPr>
              <w:jc w:val="center"/>
              <w:rPr>
                <w:color w:val="auto"/>
                <w:highlight w:val="none"/>
              </w:rPr>
            </w:pPr>
            <w:r>
              <w:rPr>
                <w:color w:val="auto"/>
              </w:rPr>
              <w:drawing>
                <wp:inline distT="0" distB="0" distL="114300" distR="114300">
                  <wp:extent cx="5267325" cy="3401060"/>
                  <wp:effectExtent l="0" t="0" r="0" b="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6"/>
                          <a:srcRect t="53446"/>
                          <a:stretch>
                            <a:fillRect/>
                          </a:stretch>
                        </pic:blipFill>
                        <pic:spPr>
                          <a:xfrm>
                            <a:off x="0" y="0"/>
                            <a:ext cx="5267325" cy="3401060"/>
                          </a:xfrm>
                          <a:prstGeom prst="rect">
                            <a:avLst/>
                          </a:prstGeom>
                          <a:noFill/>
                          <a:ln>
                            <a:noFill/>
                          </a:ln>
                        </pic:spPr>
                      </pic:pic>
                    </a:graphicData>
                  </a:graphic>
                </wp:inline>
              </w:drawing>
            </w:r>
          </w:p>
          <w:p w14:paraId="02901F25">
            <w:pPr>
              <w:pStyle w:val="118"/>
              <w:bidi w:val="0"/>
              <w:rPr>
                <w:color w:val="auto"/>
              </w:rPr>
            </w:pPr>
            <w:r>
              <w:rPr>
                <w:color w:val="auto"/>
              </w:rPr>
              <w:t>项目</w:t>
            </w:r>
            <w:r>
              <w:rPr>
                <w:rFonts w:hint="eastAsia"/>
                <w:color w:val="auto"/>
              </w:rPr>
              <w:t>“生态环境分区管控</w:t>
            </w:r>
            <w:r>
              <w:rPr>
                <w:color w:val="auto"/>
              </w:rPr>
              <w:t>符合性分析</w:t>
            </w:r>
            <w:r>
              <w:rPr>
                <w:rFonts w:hint="eastAsia"/>
                <w:color w:val="auto"/>
              </w:rPr>
              <w:t>”</w:t>
            </w:r>
            <w:r>
              <w:rPr>
                <w:color w:val="auto"/>
              </w:rPr>
              <w:t>查询结果</w:t>
            </w:r>
          </w:p>
          <w:p w14:paraId="44A6DB93">
            <w:pPr>
              <w:spacing w:line="360" w:lineRule="auto"/>
              <w:ind w:firstLine="480" w:firstLineChars="200"/>
              <w:rPr>
                <w:rFonts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本项目涉及的环境管控单元见下表。</w:t>
            </w:r>
          </w:p>
          <w:p w14:paraId="04B8FBB4">
            <w:pPr>
              <w:pStyle w:val="113"/>
              <w:bidi w:val="0"/>
              <w:rPr>
                <w:color w:val="auto"/>
              </w:rPr>
            </w:pPr>
            <w:r>
              <w:rPr>
                <w:rFonts w:hint="eastAsia"/>
                <w:color w:val="auto"/>
              </w:rPr>
              <w:t>本项目涉及的环境管控单元类别一览表</w:t>
            </w:r>
          </w:p>
          <w:tbl>
            <w:tblPr>
              <w:tblStyle w:val="41"/>
              <w:tblW w:w="49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907"/>
              <w:gridCol w:w="1854"/>
              <w:gridCol w:w="1400"/>
              <w:gridCol w:w="1121"/>
              <w:gridCol w:w="1705"/>
            </w:tblGrid>
            <w:tr w14:paraId="01658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vAlign w:val="center"/>
                </w:tcPr>
                <w:p w14:paraId="06BC4B2E">
                  <w:pPr>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序号</w:t>
                  </w:r>
                </w:p>
              </w:tc>
              <w:tc>
                <w:tcPr>
                  <w:tcW w:w="1074" w:type="pct"/>
                  <w:tcBorders>
                    <w:tl2br w:val="nil"/>
                    <w:tr2bl w:val="nil"/>
                  </w:tcBorders>
                  <w:vAlign w:val="center"/>
                </w:tcPr>
                <w:p w14:paraId="4B7509FF">
                  <w:pPr>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涉及环境要素管控分区名称</w:t>
                  </w:r>
                </w:p>
              </w:tc>
              <w:tc>
                <w:tcPr>
                  <w:tcW w:w="1044" w:type="pct"/>
                  <w:tcBorders>
                    <w:tl2br w:val="nil"/>
                    <w:tr2bl w:val="nil"/>
                  </w:tcBorders>
                  <w:vAlign w:val="center"/>
                </w:tcPr>
                <w:p w14:paraId="7DBBF916">
                  <w:pPr>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涉及环境要素管控分区编码</w:t>
                  </w:r>
                </w:p>
              </w:tc>
              <w:tc>
                <w:tcPr>
                  <w:tcW w:w="788" w:type="pct"/>
                  <w:tcBorders>
                    <w:tl2br w:val="nil"/>
                    <w:tr2bl w:val="nil"/>
                  </w:tcBorders>
                  <w:vAlign w:val="center"/>
                </w:tcPr>
                <w:p w14:paraId="28C2B940">
                  <w:pPr>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行政区划</w:t>
                  </w:r>
                </w:p>
              </w:tc>
              <w:tc>
                <w:tcPr>
                  <w:tcW w:w="631" w:type="pct"/>
                  <w:tcBorders>
                    <w:tl2br w:val="nil"/>
                    <w:tr2bl w:val="nil"/>
                  </w:tcBorders>
                  <w:vAlign w:val="center"/>
                </w:tcPr>
                <w:p w14:paraId="09B2BEA2">
                  <w:pPr>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环境要素类型</w:t>
                  </w:r>
                </w:p>
              </w:tc>
              <w:tc>
                <w:tcPr>
                  <w:tcW w:w="960" w:type="pct"/>
                  <w:tcBorders>
                    <w:tl2br w:val="nil"/>
                    <w:tr2bl w:val="nil"/>
                  </w:tcBorders>
                  <w:vAlign w:val="center"/>
                </w:tcPr>
                <w:p w14:paraId="503A4D8B">
                  <w:pPr>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环境要素细类</w:t>
                  </w:r>
                </w:p>
              </w:tc>
            </w:tr>
            <w:tr w14:paraId="5724F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tcBorders>
                    <w:tl2br w:val="nil"/>
                    <w:tr2bl w:val="nil"/>
                  </w:tcBorders>
                  <w:vAlign w:val="center"/>
                </w:tcPr>
                <w:p w14:paraId="15257707">
                  <w:pPr>
                    <w:pStyle w:val="89"/>
                    <w:widowControl/>
                    <w:spacing w:line="240" w:lineRule="auto"/>
                    <w:ind w:firstLine="0" w:firstLineChars="0"/>
                    <w:jc w:val="center"/>
                    <w:rPr>
                      <w:rFonts w:hint="default"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1</w:t>
                  </w:r>
                </w:p>
              </w:tc>
              <w:tc>
                <w:tcPr>
                  <w:tcW w:w="1074" w:type="pct"/>
                  <w:tcBorders>
                    <w:tl2br w:val="nil"/>
                    <w:tr2bl w:val="nil"/>
                  </w:tcBorders>
                  <w:vAlign w:val="center"/>
                </w:tcPr>
                <w:p w14:paraId="7FAF0A41">
                  <w:pPr>
                    <w:pStyle w:val="89"/>
                    <w:widowControl/>
                    <w:spacing w:line="240" w:lineRule="auto"/>
                    <w:ind w:firstLine="0" w:firstLineChars="0"/>
                    <w:jc w:val="center"/>
                    <w:rPr>
                      <w:rFonts w:hint="default"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马尔康市城镇空间</w:t>
                  </w:r>
                </w:p>
              </w:tc>
              <w:tc>
                <w:tcPr>
                  <w:tcW w:w="1044" w:type="pct"/>
                  <w:tcBorders>
                    <w:tl2br w:val="nil"/>
                    <w:tr2bl w:val="nil"/>
                  </w:tcBorders>
                  <w:vAlign w:val="center"/>
                </w:tcPr>
                <w:p w14:paraId="079F8CEF">
                  <w:pPr>
                    <w:pStyle w:val="89"/>
                    <w:widowControl/>
                    <w:spacing w:line="240" w:lineRule="auto"/>
                    <w:ind w:firstLine="0" w:firstLineChars="0"/>
                    <w:jc w:val="center"/>
                    <w:rPr>
                      <w:rFonts w:hint="default"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ZH51320120001</w:t>
                  </w:r>
                </w:p>
              </w:tc>
              <w:tc>
                <w:tcPr>
                  <w:tcW w:w="788" w:type="pct"/>
                  <w:tcBorders>
                    <w:tl2br w:val="nil"/>
                    <w:tr2bl w:val="nil"/>
                  </w:tcBorders>
                  <w:vAlign w:val="center"/>
                </w:tcPr>
                <w:p w14:paraId="27C4ECFF">
                  <w:pPr>
                    <w:pStyle w:val="89"/>
                    <w:widowControl/>
                    <w:spacing w:line="240" w:lineRule="auto"/>
                    <w:ind w:firstLine="0" w:firstLineChars="0"/>
                    <w:jc w:val="center"/>
                    <w:rPr>
                      <w:rFonts w:hint="eastAsia"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阿坝藏族羌族自治州</w:t>
                  </w:r>
                </w:p>
              </w:tc>
              <w:tc>
                <w:tcPr>
                  <w:tcW w:w="631" w:type="pct"/>
                  <w:tcBorders>
                    <w:tl2br w:val="nil"/>
                    <w:tr2bl w:val="nil"/>
                  </w:tcBorders>
                  <w:vAlign w:val="center"/>
                </w:tcPr>
                <w:p w14:paraId="7B83E2F8">
                  <w:pPr>
                    <w:pStyle w:val="89"/>
                    <w:widowControl/>
                    <w:spacing w:line="240" w:lineRule="auto"/>
                    <w:ind w:firstLine="0" w:firstLineChars="0"/>
                    <w:jc w:val="center"/>
                    <w:rPr>
                      <w:rFonts w:hint="default"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w:t>
                  </w:r>
                </w:p>
              </w:tc>
              <w:tc>
                <w:tcPr>
                  <w:tcW w:w="960" w:type="pct"/>
                  <w:tcBorders>
                    <w:tl2br w:val="nil"/>
                    <w:tr2bl w:val="nil"/>
                  </w:tcBorders>
                  <w:vAlign w:val="center"/>
                </w:tcPr>
                <w:p w14:paraId="38969C54">
                  <w:pPr>
                    <w:pStyle w:val="89"/>
                    <w:widowControl/>
                    <w:spacing w:line="240" w:lineRule="auto"/>
                    <w:ind w:firstLine="0" w:firstLineChars="0"/>
                    <w:jc w:val="center"/>
                    <w:rPr>
                      <w:rFonts w:hint="default"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重点管控单元</w:t>
                  </w:r>
                </w:p>
              </w:tc>
            </w:tr>
            <w:tr w14:paraId="550F1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tcBorders>
                    <w:tl2br w:val="nil"/>
                    <w:tr2bl w:val="nil"/>
                  </w:tcBorders>
                  <w:vAlign w:val="center"/>
                </w:tcPr>
                <w:p w14:paraId="0ABBF943">
                  <w:pPr>
                    <w:pStyle w:val="89"/>
                    <w:widowControl/>
                    <w:spacing w:line="240" w:lineRule="auto"/>
                    <w:ind w:firstLine="0" w:firstLineChars="0"/>
                    <w:jc w:val="center"/>
                    <w:rPr>
                      <w:rFonts w:hint="eastAsia"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2</w:t>
                  </w:r>
                </w:p>
              </w:tc>
              <w:tc>
                <w:tcPr>
                  <w:tcW w:w="1074" w:type="pct"/>
                  <w:tcBorders>
                    <w:tl2br w:val="nil"/>
                    <w:tr2bl w:val="nil"/>
                  </w:tcBorders>
                  <w:vAlign w:val="center"/>
                </w:tcPr>
                <w:p w14:paraId="046F3F63">
                  <w:pPr>
                    <w:pStyle w:val="89"/>
                    <w:widowControl/>
                    <w:spacing w:line="240" w:lineRule="auto"/>
                    <w:ind w:firstLine="0" w:firstLineChars="0"/>
                    <w:jc w:val="center"/>
                    <w:rPr>
                      <w:rFonts w:hint="default"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马尔康市其他区域</w:t>
                  </w:r>
                </w:p>
              </w:tc>
              <w:tc>
                <w:tcPr>
                  <w:tcW w:w="1044" w:type="pct"/>
                  <w:tcBorders>
                    <w:tl2br w:val="nil"/>
                    <w:tr2bl w:val="nil"/>
                  </w:tcBorders>
                  <w:vAlign w:val="center"/>
                </w:tcPr>
                <w:p w14:paraId="3AFC72C4">
                  <w:pPr>
                    <w:pStyle w:val="89"/>
                    <w:widowControl/>
                    <w:spacing w:line="240" w:lineRule="auto"/>
                    <w:ind w:firstLine="0" w:firstLineChars="0"/>
                    <w:jc w:val="center"/>
                    <w:rPr>
                      <w:rFonts w:hint="default"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YS5132013110001</w:t>
                  </w:r>
                </w:p>
              </w:tc>
              <w:tc>
                <w:tcPr>
                  <w:tcW w:w="788" w:type="pct"/>
                  <w:tcBorders>
                    <w:tl2br w:val="nil"/>
                    <w:tr2bl w:val="nil"/>
                  </w:tcBorders>
                  <w:vAlign w:val="center"/>
                </w:tcPr>
                <w:p w14:paraId="5CE05B58">
                  <w:pPr>
                    <w:pStyle w:val="89"/>
                    <w:widowControl/>
                    <w:spacing w:line="240" w:lineRule="auto"/>
                    <w:ind w:firstLine="0" w:firstLineChars="0"/>
                    <w:jc w:val="center"/>
                    <w:rPr>
                      <w:rFonts w:hint="default"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阿坝藏族羌族自治州</w:t>
                  </w:r>
                </w:p>
              </w:tc>
              <w:tc>
                <w:tcPr>
                  <w:tcW w:w="631" w:type="pct"/>
                  <w:tcBorders>
                    <w:tl2br w:val="nil"/>
                    <w:tr2bl w:val="nil"/>
                  </w:tcBorders>
                  <w:vAlign w:val="center"/>
                </w:tcPr>
                <w:p w14:paraId="0AA9B96A">
                  <w:pPr>
                    <w:pStyle w:val="89"/>
                    <w:widowControl/>
                    <w:spacing w:line="240" w:lineRule="auto"/>
                    <w:ind w:firstLine="0" w:firstLineChars="0"/>
                    <w:jc w:val="center"/>
                    <w:rPr>
                      <w:rFonts w:hint="default"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生态</w:t>
                  </w:r>
                </w:p>
              </w:tc>
              <w:tc>
                <w:tcPr>
                  <w:tcW w:w="960" w:type="pct"/>
                  <w:tcBorders>
                    <w:tl2br w:val="nil"/>
                    <w:tr2bl w:val="nil"/>
                  </w:tcBorders>
                  <w:vAlign w:val="center"/>
                </w:tcPr>
                <w:p w14:paraId="53B47517">
                  <w:pPr>
                    <w:pStyle w:val="89"/>
                    <w:widowControl/>
                    <w:spacing w:line="240" w:lineRule="auto"/>
                    <w:ind w:firstLine="0" w:firstLineChars="0"/>
                    <w:jc w:val="center"/>
                    <w:rPr>
                      <w:rFonts w:hint="default"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一般管控区</w:t>
                  </w:r>
                </w:p>
              </w:tc>
            </w:tr>
            <w:tr w14:paraId="40481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tcBorders>
                    <w:tl2br w:val="nil"/>
                    <w:tr2bl w:val="nil"/>
                  </w:tcBorders>
                  <w:vAlign w:val="center"/>
                </w:tcPr>
                <w:p w14:paraId="7BB9083F">
                  <w:pPr>
                    <w:pStyle w:val="89"/>
                    <w:widowControl/>
                    <w:spacing w:line="240" w:lineRule="auto"/>
                    <w:ind w:firstLine="0" w:firstLineChars="0"/>
                    <w:jc w:val="center"/>
                    <w:rPr>
                      <w:rFonts w:hint="eastAsia"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3</w:t>
                  </w:r>
                </w:p>
              </w:tc>
              <w:tc>
                <w:tcPr>
                  <w:tcW w:w="1074" w:type="pct"/>
                  <w:tcBorders>
                    <w:tl2br w:val="nil"/>
                    <w:tr2bl w:val="nil"/>
                  </w:tcBorders>
                  <w:vAlign w:val="center"/>
                </w:tcPr>
                <w:p w14:paraId="34F7F4AF">
                  <w:pPr>
                    <w:pStyle w:val="89"/>
                    <w:widowControl/>
                    <w:spacing w:line="240" w:lineRule="auto"/>
                    <w:ind w:firstLine="0" w:firstLineChars="0"/>
                    <w:jc w:val="center"/>
                    <w:rPr>
                      <w:rFonts w:hint="default"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梭磨河-红原县、马尔康市-小水沟-控制单元</w:t>
                  </w:r>
                </w:p>
              </w:tc>
              <w:tc>
                <w:tcPr>
                  <w:tcW w:w="1044" w:type="pct"/>
                  <w:tcBorders>
                    <w:tl2br w:val="nil"/>
                    <w:tr2bl w:val="nil"/>
                  </w:tcBorders>
                  <w:vAlign w:val="center"/>
                </w:tcPr>
                <w:p w14:paraId="335E0F82">
                  <w:pPr>
                    <w:pStyle w:val="89"/>
                    <w:widowControl/>
                    <w:spacing w:line="240" w:lineRule="auto"/>
                    <w:ind w:firstLine="0" w:firstLineChars="0"/>
                    <w:jc w:val="center"/>
                    <w:rPr>
                      <w:rFonts w:hint="default" w:ascii="Times New Roman" w:hAnsi="Times New Roman" w:eastAsia="宋体" w:cs="Times New Roman"/>
                      <w:bCs/>
                      <w:color w:val="auto"/>
                      <w:sz w:val="21"/>
                      <w:highlight w:val="none"/>
                    </w:rPr>
                  </w:pPr>
                  <w:r>
                    <w:rPr>
                      <w:rFonts w:hint="default" w:ascii="Times New Roman" w:hAnsi="Times New Roman" w:eastAsia="宋体" w:cs="Times New Roman"/>
                      <w:bCs/>
                      <w:color w:val="auto"/>
                      <w:sz w:val="21"/>
                      <w:highlight w:val="none"/>
                      <w:lang w:val="en-US" w:eastAsia="zh-CN"/>
                    </w:rPr>
                    <w:t>YS5132012220001</w:t>
                  </w:r>
                </w:p>
              </w:tc>
              <w:tc>
                <w:tcPr>
                  <w:tcW w:w="788" w:type="pct"/>
                  <w:tcBorders>
                    <w:tl2br w:val="nil"/>
                    <w:tr2bl w:val="nil"/>
                  </w:tcBorders>
                  <w:vAlign w:val="center"/>
                </w:tcPr>
                <w:p w14:paraId="5C1119CF">
                  <w:pPr>
                    <w:pStyle w:val="89"/>
                    <w:widowControl/>
                    <w:spacing w:line="240" w:lineRule="auto"/>
                    <w:ind w:firstLine="0" w:firstLineChars="0"/>
                    <w:jc w:val="center"/>
                    <w:rPr>
                      <w:rFonts w:hint="default" w:ascii="Times New Roman" w:hAnsi="Times New Roman" w:eastAsia="宋体" w:cs="Times New Roman"/>
                      <w:bCs/>
                      <w:color w:val="auto"/>
                      <w:sz w:val="21"/>
                      <w:highlight w:val="none"/>
                    </w:rPr>
                  </w:pPr>
                  <w:r>
                    <w:rPr>
                      <w:rFonts w:hint="eastAsia" w:eastAsia="宋体" w:cs="Times New Roman"/>
                      <w:bCs/>
                      <w:color w:val="auto"/>
                      <w:sz w:val="21"/>
                      <w:highlight w:val="none"/>
                      <w:lang w:val="en-US" w:eastAsia="zh-CN"/>
                    </w:rPr>
                    <w:t>阿坝藏族羌族自治州</w:t>
                  </w:r>
                </w:p>
              </w:tc>
              <w:tc>
                <w:tcPr>
                  <w:tcW w:w="631" w:type="pct"/>
                  <w:tcBorders>
                    <w:tl2br w:val="nil"/>
                    <w:tr2bl w:val="nil"/>
                  </w:tcBorders>
                  <w:vAlign w:val="center"/>
                </w:tcPr>
                <w:p w14:paraId="6789B6E8">
                  <w:pPr>
                    <w:pStyle w:val="89"/>
                    <w:widowControl/>
                    <w:spacing w:line="240" w:lineRule="auto"/>
                    <w:ind w:firstLine="0" w:firstLineChars="0"/>
                    <w:jc w:val="center"/>
                    <w:rPr>
                      <w:rFonts w:hint="default"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水</w:t>
                  </w:r>
                </w:p>
              </w:tc>
              <w:tc>
                <w:tcPr>
                  <w:tcW w:w="960" w:type="pct"/>
                  <w:tcBorders>
                    <w:tl2br w:val="nil"/>
                    <w:tr2bl w:val="nil"/>
                  </w:tcBorders>
                  <w:vAlign w:val="center"/>
                </w:tcPr>
                <w:p w14:paraId="3DE3DF9A">
                  <w:pPr>
                    <w:pStyle w:val="89"/>
                    <w:widowControl/>
                    <w:spacing w:line="240" w:lineRule="auto"/>
                    <w:ind w:firstLine="0" w:firstLineChars="0"/>
                    <w:jc w:val="center"/>
                    <w:rPr>
                      <w:rFonts w:hint="default" w:ascii="Times New Roman" w:hAnsi="Times New Roman" w:eastAsia="宋体" w:cs="Times New Roman"/>
                      <w:bCs/>
                      <w:color w:val="auto"/>
                      <w:sz w:val="21"/>
                      <w:highlight w:val="none"/>
                    </w:rPr>
                  </w:pPr>
                  <w:r>
                    <w:rPr>
                      <w:rFonts w:hint="default" w:ascii="Times New Roman" w:hAnsi="Times New Roman" w:eastAsia="宋体" w:cs="Times New Roman"/>
                      <w:bCs/>
                      <w:color w:val="auto"/>
                      <w:sz w:val="21"/>
                      <w:highlight w:val="none"/>
                      <w:lang w:val="en-US" w:eastAsia="zh-CN"/>
                    </w:rPr>
                    <w:t>水环境城镇生活污染重点管控区</w:t>
                  </w:r>
                </w:p>
              </w:tc>
            </w:tr>
            <w:tr w14:paraId="312F2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tcBorders>
                    <w:tl2br w:val="nil"/>
                    <w:tr2bl w:val="nil"/>
                  </w:tcBorders>
                  <w:vAlign w:val="center"/>
                </w:tcPr>
                <w:p w14:paraId="6F21A13D">
                  <w:pPr>
                    <w:pStyle w:val="89"/>
                    <w:widowControl/>
                    <w:spacing w:line="240" w:lineRule="auto"/>
                    <w:ind w:firstLine="0" w:firstLineChars="0"/>
                    <w:jc w:val="center"/>
                    <w:rPr>
                      <w:rFonts w:hint="eastAsia"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4</w:t>
                  </w:r>
                </w:p>
              </w:tc>
              <w:tc>
                <w:tcPr>
                  <w:tcW w:w="1074" w:type="pct"/>
                  <w:tcBorders>
                    <w:tl2br w:val="nil"/>
                    <w:tr2bl w:val="nil"/>
                  </w:tcBorders>
                  <w:vAlign w:val="center"/>
                </w:tcPr>
                <w:p w14:paraId="30F59050">
                  <w:pPr>
                    <w:pStyle w:val="89"/>
                    <w:widowControl/>
                    <w:spacing w:line="240" w:lineRule="auto"/>
                    <w:ind w:firstLine="0" w:firstLineChars="0"/>
                    <w:jc w:val="center"/>
                    <w:rPr>
                      <w:rFonts w:hint="default"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马尔康市城镇集中建设区</w:t>
                  </w:r>
                </w:p>
              </w:tc>
              <w:tc>
                <w:tcPr>
                  <w:tcW w:w="1044" w:type="pct"/>
                  <w:tcBorders>
                    <w:tl2br w:val="nil"/>
                    <w:tr2bl w:val="nil"/>
                  </w:tcBorders>
                  <w:vAlign w:val="center"/>
                </w:tcPr>
                <w:p w14:paraId="76085197">
                  <w:pPr>
                    <w:pStyle w:val="89"/>
                    <w:widowControl/>
                    <w:spacing w:line="240" w:lineRule="auto"/>
                    <w:ind w:firstLine="0" w:firstLineChars="0"/>
                    <w:jc w:val="center"/>
                    <w:rPr>
                      <w:rFonts w:hint="default" w:ascii="Times New Roman" w:hAnsi="Times New Roman" w:eastAsia="宋体" w:cs="Times New Roman"/>
                      <w:bCs/>
                      <w:color w:val="auto"/>
                      <w:sz w:val="21"/>
                      <w:highlight w:val="none"/>
                    </w:rPr>
                  </w:pPr>
                  <w:r>
                    <w:rPr>
                      <w:rFonts w:hint="default" w:ascii="Times New Roman" w:hAnsi="Times New Roman" w:eastAsia="宋体" w:cs="Times New Roman"/>
                      <w:bCs/>
                      <w:color w:val="auto"/>
                      <w:sz w:val="21"/>
                      <w:highlight w:val="none"/>
                      <w:lang w:val="en-US" w:eastAsia="zh-CN"/>
                    </w:rPr>
                    <w:t>YS5132012340001</w:t>
                  </w:r>
                </w:p>
              </w:tc>
              <w:tc>
                <w:tcPr>
                  <w:tcW w:w="788" w:type="pct"/>
                  <w:tcBorders>
                    <w:tl2br w:val="nil"/>
                    <w:tr2bl w:val="nil"/>
                  </w:tcBorders>
                  <w:vAlign w:val="center"/>
                </w:tcPr>
                <w:p w14:paraId="6AC2D611">
                  <w:pPr>
                    <w:pStyle w:val="89"/>
                    <w:widowControl/>
                    <w:spacing w:line="240" w:lineRule="auto"/>
                    <w:ind w:firstLine="0" w:firstLineChars="0"/>
                    <w:jc w:val="center"/>
                    <w:rPr>
                      <w:rFonts w:hint="default" w:ascii="Times New Roman" w:hAnsi="Times New Roman" w:eastAsia="宋体" w:cs="Times New Roman"/>
                      <w:bCs/>
                      <w:color w:val="auto"/>
                      <w:sz w:val="21"/>
                      <w:highlight w:val="none"/>
                    </w:rPr>
                  </w:pPr>
                  <w:r>
                    <w:rPr>
                      <w:rFonts w:hint="eastAsia" w:eastAsia="宋体" w:cs="Times New Roman"/>
                      <w:bCs/>
                      <w:color w:val="auto"/>
                      <w:sz w:val="21"/>
                      <w:highlight w:val="none"/>
                      <w:lang w:val="en-US" w:eastAsia="zh-CN"/>
                    </w:rPr>
                    <w:t>阿坝藏族羌族自治州</w:t>
                  </w:r>
                </w:p>
              </w:tc>
              <w:tc>
                <w:tcPr>
                  <w:tcW w:w="631" w:type="pct"/>
                  <w:tcBorders>
                    <w:tl2br w:val="nil"/>
                    <w:tr2bl w:val="nil"/>
                  </w:tcBorders>
                  <w:vAlign w:val="center"/>
                </w:tcPr>
                <w:p w14:paraId="3AD9960F">
                  <w:pPr>
                    <w:pStyle w:val="89"/>
                    <w:widowControl/>
                    <w:spacing w:line="240" w:lineRule="auto"/>
                    <w:ind w:firstLine="0" w:firstLineChars="0"/>
                    <w:jc w:val="center"/>
                    <w:rPr>
                      <w:rFonts w:hint="eastAsia"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大气</w:t>
                  </w:r>
                </w:p>
              </w:tc>
              <w:tc>
                <w:tcPr>
                  <w:tcW w:w="960" w:type="pct"/>
                  <w:tcBorders>
                    <w:tl2br w:val="nil"/>
                    <w:tr2bl w:val="nil"/>
                  </w:tcBorders>
                  <w:vAlign w:val="center"/>
                </w:tcPr>
                <w:p w14:paraId="4AF91011">
                  <w:pPr>
                    <w:pStyle w:val="89"/>
                    <w:widowControl/>
                    <w:spacing w:line="240" w:lineRule="auto"/>
                    <w:ind w:firstLine="0" w:firstLineChars="0"/>
                    <w:jc w:val="center"/>
                    <w:rPr>
                      <w:rFonts w:hint="default"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大气环境受体敏感重点管控区</w:t>
                  </w:r>
                </w:p>
              </w:tc>
            </w:tr>
            <w:tr w14:paraId="6205F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tcBorders>
                    <w:tl2br w:val="nil"/>
                    <w:tr2bl w:val="nil"/>
                  </w:tcBorders>
                  <w:vAlign w:val="center"/>
                </w:tcPr>
                <w:p w14:paraId="35AFC06A">
                  <w:pPr>
                    <w:pStyle w:val="89"/>
                    <w:widowControl/>
                    <w:spacing w:line="240" w:lineRule="auto"/>
                    <w:ind w:firstLine="0" w:firstLineChars="0"/>
                    <w:jc w:val="center"/>
                    <w:rPr>
                      <w:rFonts w:hint="eastAsia"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5</w:t>
                  </w:r>
                </w:p>
              </w:tc>
              <w:tc>
                <w:tcPr>
                  <w:tcW w:w="1074" w:type="pct"/>
                  <w:tcBorders>
                    <w:tl2br w:val="nil"/>
                    <w:tr2bl w:val="nil"/>
                  </w:tcBorders>
                  <w:vAlign w:val="center"/>
                </w:tcPr>
                <w:p w14:paraId="566483ED">
                  <w:pPr>
                    <w:pStyle w:val="89"/>
                    <w:widowControl/>
                    <w:spacing w:line="240" w:lineRule="auto"/>
                    <w:ind w:firstLine="0" w:firstLineChars="0"/>
                    <w:jc w:val="center"/>
                    <w:rPr>
                      <w:rFonts w:hint="default"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马尔康市自然资源一般管控区</w:t>
                  </w:r>
                </w:p>
              </w:tc>
              <w:tc>
                <w:tcPr>
                  <w:tcW w:w="1044" w:type="pct"/>
                  <w:tcBorders>
                    <w:tl2br w:val="nil"/>
                    <w:tr2bl w:val="nil"/>
                  </w:tcBorders>
                  <w:vAlign w:val="center"/>
                </w:tcPr>
                <w:p w14:paraId="49A6A43A">
                  <w:pPr>
                    <w:pStyle w:val="89"/>
                    <w:widowControl/>
                    <w:spacing w:line="240" w:lineRule="auto"/>
                    <w:ind w:firstLine="0" w:firstLineChars="0"/>
                    <w:jc w:val="center"/>
                    <w:rPr>
                      <w:rFonts w:hint="default"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YS5132013510001</w:t>
                  </w:r>
                </w:p>
              </w:tc>
              <w:tc>
                <w:tcPr>
                  <w:tcW w:w="788" w:type="pct"/>
                  <w:tcBorders>
                    <w:tl2br w:val="nil"/>
                    <w:tr2bl w:val="nil"/>
                  </w:tcBorders>
                  <w:vAlign w:val="center"/>
                </w:tcPr>
                <w:p w14:paraId="44672DD8">
                  <w:pPr>
                    <w:pStyle w:val="89"/>
                    <w:widowControl/>
                    <w:spacing w:line="240" w:lineRule="auto"/>
                    <w:ind w:firstLine="0" w:firstLineChars="0"/>
                    <w:jc w:val="center"/>
                    <w:rPr>
                      <w:rFonts w:hint="default" w:ascii="Times New Roman" w:hAnsi="Times New Roman" w:eastAsia="宋体" w:cs="Times New Roman"/>
                      <w:bCs/>
                      <w:color w:val="auto"/>
                      <w:sz w:val="21"/>
                      <w:highlight w:val="none"/>
                    </w:rPr>
                  </w:pPr>
                  <w:r>
                    <w:rPr>
                      <w:rFonts w:hint="eastAsia" w:eastAsia="宋体" w:cs="Times New Roman"/>
                      <w:bCs/>
                      <w:color w:val="auto"/>
                      <w:sz w:val="21"/>
                      <w:highlight w:val="none"/>
                      <w:lang w:val="en-US" w:eastAsia="zh-CN"/>
                    </w:rPr>
                    <w:t>阿坝藏族羌族自治州</w:t>
                  </w:r>
                </w:p>
              </w:tc>
              <w:tc>
                <w:tcPr>
                  <w:tcW w:w="631" w:type="pct"/>
                  <w:tcBorders>
                    <w:tl2br w:val="nil"/>
                    <w:tr2bl w:val="nil"/>
                  </w:tcBorders>
                  <w:vAlign w:val="center"/>
                </w:tcPr>
                <w:p w14:paraId="1EA17622">
                  <w:pPr>
                    <w:pStyle w:val="89"/>
                    <w:widowControl/>
                    <w:spacing w:line="240" w:lineRule="auto"/>
                    <w:ind w:firstLine="0" w:firstLineChars="0"/>
                    <w:jc w:val="center"/>
                    <w:rPr>
                      <w:rFonts w:hint="default"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自然资源</w:t>
                  </w:r>
                </w:p>
              </w:tc>
              <w:tc>
                <w:tcPr>
                  <w:tcW w:w="960" w:type="pct"/>
                  <w:tcBorders>
                    <w:tl2br w:val="nil"/>
                    <w:tr2bl w:val="nil"/>
                  </w:tcBorders>
                  <w:vAlign w:val="center"/>
                </w:tcPr>
                <w:p w14:paraId="7822F923">
                  <w:pPr>
                    <w:pStyle w:val="89"/>
                    <w:widowControl/>
                    <w:spacing w:line="240" w:lineRule="auto"/>
                    <w:ind w:firstLine="0" w:firstLineChars="0"/>
                    <w:jc w:val="center"/>
                    <w:rPr>
                      <w:rFonts w:hint="default"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自然资源一般管控区</w:t>
                  </w:r>
                </w:p>
              </w:tc>
            </w:tr>
            <w:tr w14:paraId="1AED22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tcBorders>
                    <w:tl2br w:val="nil"/>
                    <w:tr2bl w:val="nil"/>
                  </w:tcBorders>
                  <w:vAlign w:val="center"/>
                </w:tcPr>
                <w:p w14:paraId="370C13F4">
                  <w:pPr>
                    <w:pStyle w:val="89"/>
                    <w:widowControl/>
                    <w:spacing w:line="240" w:lineRule="auto"/>
                    <w:ind w:firstLine="0" w:firstLineChars="0"/>
                    <w:jc w:val="center"/>
                    <w:rPr>
                      <w:rFonts w:hint="eastAsia" w:ascii="Times New Roman" w:hAnsi="Times New Roman" w:eastAsia="宋体" w:cs="Times New Roman"/>
                      <w:bCs/>
                      <w:color w:val="auto"/>
                      <w:sz w:val="21"/>
                      <w:highlight w:val="none"/>
                      <w:lang w:val="en-US" w:eastAsia="zh-CN"/>
                    </w:rPr>
                  </w:pPr>
                  <w:r>
                    <w:rPr>
                      <w:rFonts w:hint="eastAsia" w:eastAsia="宋体" w:cs="Times New Roman"/>
                      <w:color w:val="auto"/>
                      <w:sz w:val="21"/>
                      <w:highlight w:val="none"/>
                      <w:lang w:val="en-US" w:eastAsia="zh-CN"/>
                    </w:rPr>
                    <w:t>6</w:t>
                  </w:r>
                </w:p>
              </w:tc>
              <w:tc>
                <w:tcPr>
                  <w:tcW w:w="1074" w:type="pct"/>
                  <w:tcBorders>
                    <w:tl2br w:val="nil"/>
                    <w:tr2bl w:val="nil"/>
                  </w:tcBorders>
                  <w:vAlign w:val="center"/>
                </w:tcPr>
                <w:p w14:paraId="6236A1B1">
                  <w:pPr>
                    <w:pStyle w:val="89"/>
                    <w:widowControl/>
                    <w:spacing w:line="240" w:lineRule="auto"/>
                    <w:ind w:firstLine="0" w:firstLineChars="0"/>
                    <w:jc w:val="center"/>
                    <w:rPr>
                      <w:rFonts w:hint="default"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马尔康市自然资源重点管控区</w:t>
                  </w:r>
                </w:p>
              </w:tc>
              <w:tc>
                <w:tcPr>
                  <w:tcW w:w="1044" w:type="pct"/>
                  <w:tcBorders>
                    <w:tl2br w:val="nil"/>
                    <w:tr2bl w:val="nil"/>
                  </w:tcBorders>
                  <w:vAlign w:val="center"/>
                </w:tcPr>
                <w:p w14:paraId="3BAB374E">
                  <w:pPr>
                    <w:pStyle w:val="89"/>
                    <w:widowControl/>
                    <w:spacing w:line="240" w:lineRule="auto"/>
                    <w:ind w:firstLine="0" w:firstLineChars="0"/>
                    <w:jc w:val="center"/>
                    <w:rPr>
                      <w:rFonts w:hint="default"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YS5132012550001</w:t>
                  </w:r>
                </w:p>
              </w:tc>
              <w:tc>
                <w:tcPr>
                  <w:tcW w:w="788" w:type="pct"/>
                  <w:tcBorders>
                    <w:tl2br w:val="nil"/>
                    <w:tr2bl w:val="nil"/>
                  </w:tcBorders>
                  <w:vAlign w:val="center"/>
                </w:tcPr>
                <w:p w14:paraId="764A5BF0">
                  <w:pPr>
                    <w:pStyle w:val="89"/>
                    <w:widowControl/>
                    <w:spacing w:line="240" w:lineRule="auto"/>
                    <w:ind w:firstLine="0" w:firstLineChars="0"/>
                    <w:jc w:val="center"/>
                    <w:rPr>
                      <w:rFonts w:hint="default" w:ascii="Times New Roman" w:hAnsi="Times New Roman" w:eastAsia="宋体" w:cs="Times New Roman"/>
                      <w:bCs/>
                      <w:color w:val="auto"/>
                      <w:sz w:val="21"/>
                      <w:highlight w:val="none"/>
                    </w:rPr>
                  </w:pPr>
                  <w:r>
                    <w:rPr>
                      <w:rFonts w:hint="eastAsia" w:eastAsia="宋体" w:cs="Times New Roman"/>
                      <w:bCs/>
                      <w:color w:val="auto"/>
                      <w:sz w:val="21"/>
                      <w:highlight w:val="none"/>
                      <w:lang w:val="en-US" w:eastAsia="zh-CN"/>
                    </w:rPr>
                    <w:t>阿坝藏族羌族自治州</w:t>
                  </w:r>
                </w:p>
              </w:tc>
              <w:tc>
                <w:tcPr>
                  <w:tcW w:w="631" w:type="pct"/>
                  <w:tcBorders>
                    <w:tl2br w:val="nil"/>
                    <w:tr2bl w:val="nil"/>
                  </w:tcBorders>
                  <w:vAlign w:val="center"/>
                </w:tcPr>
                <w:p w14:paraId="1896A04D">
                  <w:pPr>
                    <w:pStyle w:val="89"/>
                    <w:widowControl/>
                    <w:spacing w:line="240" w:lineRule="auto"/>
                    <w:ind w:firstLine="0" w:firstLineChars="0"/>
                    <w:jc w:val="center"/>
                    <w:rPr>
                      <w:rFonts w:hint="default" w:ascii="Times New Roman" w:hAnsi="Times New Roman" w:eastAsia="宋体" w:cs="Times New Roman"/>
                      <w:bCs/>
                      <w:color w:val="auto"/>
                      <w:sz w:val="21"/>
                      <w:highlight w:val="none"/>
                      <w:lang w:val="en-US" w:eastAsia="zh-CN"/>
                    </w:rPr>
                  </w:pPr>
                  <w:r>
                    <w:rPr>
                      <w:rFonts w:hint="eastAsia" w:eastAsia="宋体" w:cs="Times New Roman"/>
                      <w:bCs/>
                      <w:color w:val="auto"/>
                      <w:sz w:val="21"/>
                      <w:highlight w:val="none"/>
                      <w:lang w:val="en-US" w:eastAsia="zh-CN"/>
                    </w:rPr>
                    <w:t>自然资源</w:t>
                  </w:r>
                </w:p>
              </w:tc>
              <w:tc>
                <w:tcPr>
                  <w:tcW w:w="960" w:type="pct"/>
                  <w:tcBorders>
                    <w:tl2br w:val="nil"/>
                    <w:tr2bl w:val="nil"/>
                  </w:tcBorders>
                  <w:vAlign w:val="center"/>
                </w:tcPr>
                <w:p w14:paraId="1641849A">
                  <w:pPr>
                    <w:pStyle w:val="89"/>
                    <w:widowControl/>
                    <w:spacing w:line="240" w:lineRule="auto"/>
                    <w:ind w:firstLine="0" w:firstLineChars="0"/>
                    <w:jc w:val="center"/>
                    <w:rPr>
                      <w:rFonts w:hint="default" w:ascii="Times New Roman" w:hAnsi="Times New Roman" w:eastAsia="宋体" w:cs="Times New Roman"/>
                      <w:bCs/>
                      <w:color w:val="auto"/>
                      <w:sz w:val="21"/>
                      <w:highlight w:val="none"/>
                    </w:rPr>
                  </w:pPr>
                  <w:r>
                    <w:rPr>
                      <w:rFonts w:hint="eastAsia" w:eastAsia="宋体" w:cs="Times New Roman"/>
                      <w:bCs/>
                      <w:color w:val="auto"/>
                      <w:sz w:val="21"/>
                      <w:highlight w:val="none"/>
                      <w:lang w:val="en-US" w:eastAsia="zh-CN"/>
                    </w:rPr>
                    <w:t>自然资源重点管控区</w:t>
                  </w:r>
                </w:p>
              </w:tc>
            </w:tr>
            <w:tr w14:paraId="6928CC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vAlign w:val="center"/>
                </w:tcPr>
                <w:p w14:paraId="2AEAC195">
                  <w:pPr>
                    <w:pStyle w:val="89"/>
                    <w:widowControl/>
                    <w:spacing w:line="240" w:lineRule="auto"/>
                    <w:ind w:firstLine="0" w:firstLineChars="0"/>
                    <w:jc w:val="center"/>
                    <w:rPr>
                      <w:rFonts w:hint="eastAsia"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7</w:t>
                  </w:r>
                </w:p>
              </w:tc>
              <w:tc>
                <w:tcPr>
                  <w:tcW w:w="1074" w:type="pct"/>
                  <w:tcBorders>
                    <w:tl2br w:val="nil"/>
                    <w:tr2bl w:val="nil"/>
                  </w:tcBorders>
                  <w:vAlign w:val="center"/>
                </w:tcPr>
                <w:p w14:paraId="3726F8E5">
                  <w:pPr>
                    <w:pStyle w:val="89"/>
                    <w:widowControl/>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马尔康市城镇开发边界</w:t>
                  </w:r>
                </w:p>
              </w:tc>
              <w:tc>
                <w:tcPr>
                  <w:tcW w:w="1044" w:type="pct"/>
                  <w:tcBorders>
                    <w:tl2br w:val="nil"/>
                    <w:tr2bl w:val="nil"/>
                  </w:tcBorders>
                  <w:vAlign w:val="center"/>
                </w:tcPr>
                <w:p w14:paraId="4E09B1BF">
                  <w:pPr>
                    <w:pStyle w:val="89"/>
                    <w:widowControl/>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YS5132012530001</w:t>
                  </w:r>
                </w:p>
              </w:tc>
              <w:tc>
                <w:tcPr>
                  <w:tcW w:w="788" w:type="pct"/>
                  <w:tcBorders>
                    <w:tl2br w:val="nil"/>
                    <w:tr2bl w:val="nil"/>
                  </w:tcBorders>
                  <w:vAlign w:val="center"/>
                </w:tcPr>
                <w:p w14:paraId="7F2B7A20">
                  <w:pPr>
                    <w:pStyle w:val="89"/>
                    <w:widowControl/>
                    <w:spacing w:line="240" w:lineRule="auto"/>
                    <w:ind w:firstLine="0" w:firstLineChars="0"/>
                    <w:jc w:val="center"/>
                    <w:rPr>
                      <w:rFonts w:hint="default" w:ascii="Times New Roman" w:hAnsi="Times New Roman" w:eastAsia="宋体" w:cs="Times New Roman"/>
                      <w:color w:val="auto"/>
                      <w:sz w:val="21"/>
                      <w:highlight w:val="none"/>
                    </w:rPr>
                  </w:pPr>
                  <w:r>
                    <w:rPr>
                      <w:rFonts w:hint="eastAsia" w:eastAsia="宋体" w:cs="Times New Roman"/>
                      <w:bCs/>
                      <w:color w:val="auto"/>
                      <w:sz w:val="21"/>
                      <w:highlight w:val="none"/>
                      <w:lang w:val="en-US" w:eastAsia="zh-CN"/>
                    </w:rPr>
                    <w:t>阿坝藏族羌族自治州</w:t>
                  </w:r>
                </w:p>
              </w:tc>
              <w:tc>
                <w:tcPr>
                  <w:tcW w:w="631" w:type="pct"/>
                  <w:tcBorders>
                    <w:tl2br w:val="nil"/>
                    <w:tr2bl w:val="nil"/>
                  </w:tcBorders>
                  <w:vAlign w:val="center"/>
                </w:tcPr>
                <w:p w14:paraId="636DBF18">
                  <w:pPr>
                    <w:pStyle w:val="89"/>
                    <w:widowControl/>
                    <w:spacing w:line="240" w:lineRule="auto"/>
                    <w:ind w:firstLine="0" w:firstLineChars="0"/>
                    <w:jc w:val="center"/>
                    <w:rPr>
                      <w:rFonts w:hint="default" w:ascii="Times New Roman" w:hAnsi="Times New Roman" w:eastAsia="宋体" w:cs="Times New Roman"/>
                      <w:color w:val="auto"/>
                      <w:sz w:val="21"/>
                      <w:highlight w:val="none"/>
                    </w:rPr>
                  </w:pPr>
                  <w:r>
                    <w:rPr>
                      <w:rFonts w:hint="eastAsia" w:eastAsia="宋体" w:cs="Times New Roman"/>
                      <w:bCs/>
                      <w:color w:val="auto"/>
                      <w:sz w:val="21"/>
                      <w:highlight w:val="none"/>
                      <w:lang w:val="en-US" w:eastAsia="zh-CN"/>
                    </w:rPr>
                    <w:t>自然资源</w:t>
                  </w:r>
                </w:p>
              </w:tc>
              <w:tc>
                <w:tcPr>
                  <w:tcW w:w="960" w:type="pct"/>
                  <w:tcBorders>
                    <w:tl2br w:val="nil"/>
                    <w:tr2bl w:val="nil"/>
                  </w:tcBorders>
                  <w:vAlign w:val="center"/>
                </w:tcPr>
                <w:p w14:paraId="1FF13515">
                  <w:pPr>
                    <w:pStyle w:val="89"/>
                    <w:widowControl/>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土地资源重点管控区</w:t>
                  </w:r>
                </w:p>
              </w:tc>
            </w:tr>
          </w:tbl>
          <w:p w14:paraId="0F63F06D">
            <w:pPr>
              <w:spacing w:line="360" w:lineRule="auto"/>
              <w:ind w:firstLine="480" w:firstLineChars="200"/>
              <w:rPr>
                <w:rFonts w:ascii="Times New Roman" w:hAnsi="Times New Roman" w:cs="Times New Roman"/>
                <w:color w:val="auto"/>
                <w:kern w:val="0"/>
                <w:sz w:val="24"/>
                <w:szCs w:val="24"/>
                <w:highlight w:val="none"/>
              </w:rPr>
            </w:pPr>
            <w:r>
              <w:rPr>
                <w:rFonts w:hint="eastAsia" w:ascii="Times New Roman" w:hAnsi="Times New Roman" w:eastAsia="宋体" w:cs="Times New Roman"/>
                <w:color w:val="auto"/>
                <w:sz w:val="24"/>
                <w:szCs w:val="24"/>
                <w:highlight w:val="none"/>
              </w:rPr>
              <w:t>本项目位于</w:t>
            </w:r>
            <w:r>
              <w:rPr>
                <w:rFonts w:hint="eastAsia" w:ascii="Times New Roman" w:hAnsi="Times New Roman" w:eastAsia="宋体" w:cs="Times New Roman"/>
                <w:color w:val="auto"/>
                <w:sz w:val="24"/>
                <w:szCs w:val="24"/>
                <w:highlight w:val="none"/>
                <w:lang w:val="en-US" w:eastAsia="zh-CN"/>
              </w:rPr>
              <w:t>马尔康市城镇空间</w:t>
            </w:r>
            <w:r>
              <w:rPr>
                <w:rFonts w:hint="eastAsia" w:ascii="Times New Roman" w:hAnsi="Times New Roman" w:eastAsia="宋体" w:cs="Times New Roman"/>
                <w:color w:val="auto"/>
                <w:sz w:val="24"/>
                <w:szCs w:val="24"/>
                <w:highlight w:val="none"/>
              </w:rPr>
              <w:t>重点管控单元（管控单元名称：</w:t>
            </w:r>
            <w:r>
              <w:rPr>
                <w:rFonts w:hint="eastAsia" w:ascii="Times New Roman" w:hAnsi="Times New Roman" w:eastAsia="宋体" w:cs="Times New Roman"/>
                <w:color w:val="auto"/>
                <w:sz w:val="24"/>
                <w:szCs w:val="24"/>
                <w:highlight w:val="none"/>
                <w:lang w:val="en-US" w:eastAsia="zh-CN"/>
              </w:rPr>
              <w:t>马尔康市</w:t>
            </w:r>
            <w:r>
              <w:rPr>
                <w:rFonts w:hint="eastAsia" w:ascii="Times New Roman" w:hAnsi="Times New Roman" w:eastAsia="宋体" w:cs="Times New Roman"/>
                <w:color w:val="auto"/>
                <w:sz w:val="24"/>
                <w:szCs w:val="24"/>
                <w:highlight w:val="none"/>
              </w:rPr>
              <w:t>城镇空间，管控单元编号：</w:t>
            </w:r>
            <w:r>
              <w:rPr>
                <w:rFonts w:hint="eastAsia" w:ascii="Times New Roman" w:hAnsi="Times New Roman" w:eastAsia="宋体" w:cs="Times New Roman"/>
                <w:color w:val="auto"/>
                <w:sz w:val="24"/>
                <w:szCs w:val="24"/>
                <w:highlight w:val="none"/>
                <w:lang w:val="en-US" w:eastAsia="zh-CN"/>
              </w:rPr>
              <w:t>ZH51078120001</w:t>
            </w:r>
            <w:r>
              <w:rPr>
                <w:rFonts w:hint="eastAsia" w:ascii="Times New Roman" w:hAnsi="Times New Roman" w:eastAsia="宋体" w:cs="Times New Roman"/>
                <w:color w:val="auto"/>
                <w:sz w:val="24"/>
                <w:szCs w:val="24"/>
                <w:highlight w:val="none"/>
              </w:rPr>
              <w:t>）项目与管控单元相对位置如下图所示。</w:t>
            </w:r>
          </w:p>
          <w:p w14:paraId="45B66266">
            <w:pPr>
              <w:spacing w:line="360" w:lineRule="auto"/>
              <w:jc w:val="center"/>
              <w:rPr>
                <w:rFonts w:hint="eastAsia" w:ascii="Helvetica" w:hAnsi="Helvetica" w:eastAsia="宋体"/>
                <w:color w:val="auto"/>
                <w:sz w:val="24"/>
                <w:szCs w:val="24"/>
                <w:highlight w:val="none"/>
                <w:lang w:eastAsia="zh-CN"/>
              </w:rPr>
            </w:pPr>
            <w:r>
              <w:rPr>
                <w:rFonts w:hint="eastAsia" w:ascii="Helvetica" w:hAnsi="Helvetica" w:eastAsia="宋体"/>
                <w:color w:val="auto"/>
                <w:sz w:val="24"/>
                <w:szCs w:val="24"/>
                <w:highlight w:val="none"/>
                <w:lang w:eastAsia="zh-CN"/>
              </w:rPr>
              <w:drawing>
                <wp:inline distT="0" distB="0" distL="114300" distR="114300">
                  <wp:extent cx="5645785" cy="2566035"/>
                  <wp:effectExtent l="0" t="0" r="12065" b="5715"/>
                  <wp:docPr id="26" name="图片 26"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地图"/>
                          <pic:cNvPicPr>
                            <a:picLocks noChangeAspect="1"/>
                          </pic:cNvPicPr>
                        </pic:nvPicPr>
                        <pic:blipFill>
                          <a:blip r:embed="rId7"/>
                          <a:stretch>
                            <a:fillRect/>
                          </a:stretch>
                        </pic:blipFill>
                        <pic:spPr>
                          <a:xfrm>
                            <a:off x="0" y="0"/>
                            <a:ext cx="5645785" cy="2566035"/>
                          </a:xfrm>
                          <a:prstGeom prst="rect">
                            <a:avLst/>
                          </a:prstGeom>
                        </pic:spPr>
                      </pic:pic>
                    </a:graphicData>
                  </a:graphic>
                </wp:inline>
              </w:drawing>
            </w:r>
          </w:p>
          <w:p w14:paraId="03D69232">
            <w:pPr>
              <w:pStyle w:val="118"/>
              <w:bidi w:val="0"/>
              <w:rPr>
                <w:color w:val="auto"/>
              </w:rPr>
            </w:pPr>
            <w:r>
              <w:rPr>
                <w:color w:val="auto"/>
              </w:rPr>
              <w:t>项目与所在区域管控单元相对位置关系图</w:t>
            </w:r>
          </w:p>
          <w:p w14:paraId="664BBA88">
            <w:pPr>
              <w:spacing w:line="360" w:lineRule="auto"/>
              <w:jc w:val="center"/>
              <w:rPr>
                <w:rFonts w:ascii="Times New Roman" w:hAnsi="Times New Roman" w:cs="Times New Roman"/>
                <w:color w:val="auto"/>
                <w:kern w:val="0"/>
                <w:sz w:val="24"/>
                <w:szCs w:val="24"/>
                <w:highlight w:val="none"/>
              </w:rPr>
            </w:pPr>
            <w:r>
              <w:rPr>
                <w:rFonts w:ascii="宋体" w:hAnsi="宋体" w:eastAsia="宋体" w:cs="宋体"/>
                <w:color w:val="auto"/>
                <w:sz w:val="24"/>
                <w:szCs w:val="24"/>
              </w:rPr>
              <w:drawing>
                <wp:inline distT="0" distB="0" distL="114300" distR="114300">
                  <wp:extent cx="304800" cy="304800"/>
                  <wp:effectExtent l="0" t="0" r="0" b="0"/>
                  <wp:docPr id="28"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color w:val="auto"/>
                <w:sz w:val="24"/>
                <w:szCs w:val="24"/>
              </w:rPr>
              <w:drawing>
                <wp:inline distT="0" distB="0" distL="114300" distR="114300">
                  <wp:extent cx="304800" cy="304800"/>
                  <wp:effectExtent l="0" t="0" r="0" b="0"/>
                  <wp:docPr id="29"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color w:val="auto"/>
                <w:sz w:val="24"/>
                <w:szCs w:val="24"/>
              </w:rPr>
              <w:drawing>
                <wp:inline distT="0" distB="0" distL="114300" distR="114300">
                  <wp:extent cx="5610225" cy="3829050"/>
                  <wp:effectExtent l="0" t="0" r="9525" b="0"/>
                  <wp:docPr id="30"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descr="IMG_256"/>
                          <pic:cNvPicPr>
                            <a:picLocks noChangeAspect="1"/>
                          </pic:cNvPicPr>
                        </pic:nvPicPr>
                        <pic:blipFill>
                          <a:blip r:embed="rId9"/>
                          <a:stretch>
                            <a:fillRect/>
                          </a:stretch>
                        </pic:blipFill>
                        <pic:spPr>
                          <a:xfrm>
                            <a:off x="0" y="0"/>
                            <a:ext cx="5610225" cy="3829050"/>
                          </a:xfrm>
                          <a:prstGeom prst="rect">
                            <a:avLst/>
                          </a:prstGeom>
                          <a:noFill/>
                          <a:ln w="9525">
                            <a:noFill/>
                          </a:ln>
                        </pic:spPr>
                      </pic:pic>
                    </a:graphicData>
                  </a:graphic>
                </wp:inline>
              </w:drawing>
            </w:r>
            <w:r>
              <w:rPr>
                <w:rFonts w:ascii="Times New Roman" w:hAnsi="Times New Roman" w:cs="Times New Roman"/>
                <w:color w:val="auto"/>
                <w:kern w:val="0"/>
                <w:szCs w:val="21"/>
                <w:highlight w:val="none"/>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1125220</wp:posOffset>
                      </wp:positionV>
                      <wp:extent cx="887730" cy="307975"/>
                      <wp:effectExtent l="514350" t="6350" r="7620" b="1343025"/>
                      <wp:wrapNone/>
                      <wp:docPr id="10" name="线形标注 1 10"/>
                      <wp:cNvGraphicFramePr/>
                      <a:graphic xmlns:a="http://schemas.openxmlformats.org/drawingml/2006/main">
                        <a:graphicData uri="http://schemas.microsoft.com/office/word/2010/wordprocessingShape">
                          <wps:wsp>
                            <wps:cNvSpPr/>
                            <wps:spPr>
                              <a:xfrm>
                                <a:off x="0" y="0"/>
                                <a:ext cx="887730" cy="307975"/>
                              </a:xfrm>
                              <a:prstGeom prst="borderCallout1">
                                <a:avLst>
                                  <a:gd name="adj1" fmla="val 18750"/>
                                  <a:gd name="adj2" fmla="val -8333"/>
                                  <a:gd name="adj3" fmla="val 531147"/>
                                  <a:gd name="adj4" fmla="val -57224"/>
                                </a:avLst>
                              </a:prstGeom>
                              <a:solidFill>
                                <a:schemeClr val="bg1"/>
                              </a:solid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05E17">
                                  <w:pPr>
                                    <w:jc w:val="center"/>
                                    <w:rPr>
                                      <w:color w:val="FF0000"/>
                                    </w:rPr>
                                  </w:pPr>
                                  <w:r>
                                    <w:rPr>
                                      <w:rFonts w:hint="eastAsia"/>
                                      <w:color w:val="FF0000"/>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198pt;margin-top:88.6pt;height:24.25pt;width:69.9pt;z-index:251659264;v-text-anchor:middle;mso-width-relative:page;mso-height-relative:page;" fillcolor="#FFFFFF [3212]" filled="t" stroked="t" coordsize="21600,21600" o:gfxdata="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Kto363ZAAAACwEA&#10;AA8AAAAAAAAAAQAgAAAAIgAAAGRycy9kb3ducmV2LnhtbFBLAQIUABQAAAAIAIdO4kBUjQGuxAIA&#10;AK0FAAAOAAAAAAAAAAEAIAAAACgBAABkcnMvZTJvRG9jLnhtbFBLBQYAAAAABgAGAFkBAABeBgAA&#10;AAA=&#10;" adj="-12360,114728,-1800,4050">
                      <v:fill on="t" focussize="0,0"/>
                      <v:stroke weight="1pt" color="#00FFFF [3204]" miterlimit="8" joinstyle="miter"/>
                      <v:imagedata o:title=""/>
                      <o:lock v:ext="edit" aspectratio="f"/>
                      <v:textbox>
                        <w:txbxContent>
                          <w:p w14:paraId="40105E17">
                            <w:pPr>
                              <w:jc w:val="center"/>
                              <w:rPr>
                                <w:color w:val="FF0000"/>
                              </w:rPr>
                            </w:pPr>
                            <w:r>
                              <w:rPr>
                                <w:rFonts w:hint="eastAsia"/>
                                <w:color w:val="FF0000"/>
                              </w:rPr>
                              <w:t>本项目位置</w:t>
                            </w:r>
                          </w:p>
                        </w:txbxContent>
                      </v:textbox>
                    </v:shape>
                  </w:pict>
                </mc:Fallback>
              </mc:AlternateContent>
            </w:r>
          </w:p>
          <w:p w14:paraId="3EAEF239">
            <w:pPr>
              <w:pStyle w:val="118"/>
              <w:bidi w:val="0"/>
              <w:rPr>
                <w:color w:val="auto"/>
              </w:rPr>
            </w:pPr>
            <w:r>
              <w:rPr>
                <w:rFonts w:hint="eastAsia"/>
                <w:color w:val="auto"/>
                <w:lang w:val="en-US" w:eastAsia="zh-CN"/>
              </w:rPr>
              <w:t>阿坝州</w:t>
            </w:r>
            <w:r>
              <w:rPr>
                <w:color w:val="auto"/>
              </w:rPr>
              <w:t>环境管控单元分布图</w:t>
            </w:r>
          </w:p>
          <w:p w14:paraId="2F18747A">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w:t>
            </w:r>
            <w:r>
              <w:rPr>
                <w:rFonts w:ascii="Times New Roman" w:hAnsi="Times New Roman" w:eastAsia="宋体" w:cs="Times New Roman"/>
                <w:color w:val="auto"/>
                <w:sz w:val="24"/>
                <w:szCs w:val="24"/>
                <w:highlight w:val="none"/>
              </w:rPr>
              <w:t>生态环境管控要求符合</w:t>
            </w:r>
            <w:r>
              <w:rPr>
                <w:rFonts w:hint="eastAsia" w:ascii="Times New Roman" w:hAnsi="Times New Roman" w:eastAsia="宋体" w:cs="Times New Roman"/>
                <w:color w:val="auto"/>
                <w:sz w:val="24"/>
                <w:szCs w:val="24"/>
                <w:highlight w:val="none"/>
              </w:rPr>
              <w:t>性分析</w:t>
            </w:r>
          </w:p>
          <w:p w14:paraId="7DD43F9D">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据上述可知，本项目位于城镇重点管控单元区域，重点管控单元的管控要求为：针对环境质量是否达标以及经济社会发展水平等因素制定差别化生态环境准入要求，对环境质量不达标区域提出污染物削减量的比例要求，对环境质量达标区域，提出允许排放量建议指标。</w:t>
            </w:r>
            <w:r>
              <w:rPr>
                <w:rFonts w:hint="default" w:ascii="Times New Roman" w:hAnsi="Times New Roman" w:cs="Times New Roman"/>
                <w:color w:val="auto"/>
                <w:kern w:val="0"/>
                <w:sz w:val="24"/>
                <w:highlight w:val="none"/>
              </w:rPr>
              <w:t>根据</w:t>
            </w:r>
            <w:r>
              <w:rPr>
                <w:rFonts w:hint="eastAsia" w:ascii="Times New Roman" w:hAnsi="Times New Roman" w:cs="Times New Roman"/>
                <w:color w:val="auto"/>
                <w:kern w:val="0"/>
                <w:sz w:val="24"/>
                <w:highlight w:val="none"/>
                <w:lang w:val="en-US" w:eastAsia="zh-CN"/>
              </w:rPr>
              <w:t>阿坝州</w:t>
            </w:r>
            <w:r>
              <w:rPr>
                <w:rFonts w:hint="eastAsia" w:ascii="Times New Roman" w:hAnsi="Times New Roman" w:cs="Times New Roman"/>
                <w:color w:val="auto"/>
                <w:sz w:val="24"/>
                <w:highlight w:val="none"/>
                <w:lang w:val="en-US" w:eastAsia="zh-CN"/>
              </w:rPr>
              <w:t>人民政府办公室</w:t>
            </w: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关于印发2023年生态环境分区管控动态更新成果的通知</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的（</w:t>
            </w:r>
            <w:r>
              <w:rPr>
                <w:rFonts w:hint="eastAsia" w:ascii="Times New Roman" w:hAnsi="Times New Roman" w:cs="Times New Roman"/>
                <w:color w:val="auto"/>
                <w:sz w:val="24"/>
                <w:highlight w:val="none"/>
                <w:lang w:val="en-US" w:eastAsia="zh-CN"/>
              </w:rPr>
              <w:t>阿府发</w:t>
            </w:r>
            <w:r>
              <w:rPr>
                <w:rFonts w:hint="default" w:ascii="Times New Roman" w:hAnsi="Times New Roman" w:eastAsia="宋体" w:cs="Times New Roman"/>
                <w:color w:val="auto"/>
                <w:sz w:val="24"/>
                <w:highlight w:val="none"/>
                <w:lang w:val="en-US" w:eastAsia="zh-CN"/>
              </w:rPr>
              <w:t>〔2024〕</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号</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可知</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阿坝州</w:t>
            </w:r>
            <w:r>
              <w:rPr>
                <w:rFonts w:ascii="Times New Roman" w:hAnsi="Times New Roman" w:eastAsia="宋体" w:cs="Times New Roman"/>
                <w:color w:val="auto"/>
                <w:sz w:val="24"/>
                <w:szCs w:val="24"/>
                <w:highlight w:val="none"/>
              </w:rPr>
              <w:t>生态环境管控总体要求如下表所述</w:t>
            </w:r>
            <w:r>
              <w:rPr>
                <w:rFonts w:hint="eastAsia" w:ascii="Times New Roman" w:hAnsi="Times New Roman" w:eastAsia="宋体" w:cs="Times New Roman"/>
                <w:color w:val="auto"/>
                <w:sz w:val="24"/>
                <w:szCs w:val="24"/>
                <w:highlight w:val="none"/>
              </w:rPr>
              <w:t>。</w:t>
            </w:r>
          </w:p>
          <w:p w14:paraId="2EFA10D9">
            <w:pPr>
              <w:pStyle w:val="113"/>
              <w:bidi w:val="0"/>
              <w:rPr>
                <w:color w:val="auto"/>
              </w:rPr>
            </w:pPr>
            <w:r>
              <w:rPr>
                <w:color w:val="auto"/>
              </w:rPr>
              <w:t>本项目与</w:t>
            </w:r>
            <w:r>
              <w:rPr>
                <w:rFonts w:hint="eastAsia"/>
                <w:color w:val="auto"/>
                <w:lang w:val="en-US" w:eastAsia="zh-CN"/>
              </w:rPr>
              <w:t>阿坝州</w:t>
            </w:r>
            <w:r>
              <w:rPr>
                <w:color w:val="auto"/>
              </w:rPr>
              <w:t>生态环境管控要求分析一览表</w:t>
            </w:r>
          </w:p>
          <w:tbl>
            <w:tblPr>
              <w:tblStyle w:val="4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5281"/>
              <w:gridCol w:w="1692"/>
              <w:gridCol w:w="944"/>
            </w:tblGrid>
            <w:tr w14:paraId="4D5817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pct"/>
                  <w:tcBorders>
                    <w:tl2br w:val="nil"/>
                    <w:tr2bl w:val="nil"/>
                  </w:tcBorders>
                  <w:vAlign w:val="center"/>
                </w:tcPr>
                <w:p w14:paraId="38284E9B">
                  <w:pPr>
                    <w:pStyle w:val="89"/>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区域</w:t>
                  </w:r>
                </w:p>
              </w:tc>
              <w:tc>
                <w:tcPr>
                  <w:tcW w:w="2960" w:type="pct"/>
                  <w:tcBorders>
                    <w:tl2br w:val="nil"/>
                    <w:tr2bl w:val="nil"/>
                  </w:tcBorders>
                  <w:vAlign w:val="center"/>
                </w:tcPr>
                <w:p w14:paraId="6E8F0DF6">
                  <w:pPr>
                    <w:pStyle w:val="89"/>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管控要求</w:t>
                  </w:r>
                </w:p>
              </w:tc>
              <w:tc>
                <w:tcPr>
                  <w:tcW w:w="948" w:type="pct"/>
                  <w:tcBorders>
                    <w:tl2br w:val="nil"/>
                    <w:tr2bl w:val="nil"/>
                  </w:tcBorders>
                  <w:vAlign w:val="center"/>
                </w:tcPr>
                <w:p w14:paraId="4FF05CBF">
                  <w:pPr>
                    <w:pStyle w:val="89"/>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w:t>
                  </w:r>
                </w:p>
              </w:tc>
              <w:tc>
                <w:tcPr>
                  <w:tcW w:w="529" w:type="pct"/>
                  <w:tcBorders>
                    <w:tl2br w:val="nil"/>
                    <w:tr2bl w:val="nil"/>
                  </w:tcBorders>
                  <w:vAlign w:val="center"/>
                </w:tcPr>
                <w:p w14:paraId="47C7ADE2">
                  <w:pPr>
                    <w:pStyle w:val="89"/>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6AEDE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pct"/>
                  <w:tcBorders>
                    <w:tl2br w:val="nil"/>
                    <w:tr2bl w:val="nil"/>
                  </w:tcBorders>
                  <w:vAlign w:val="center"/>
                </w:tcPr>
                <w:p w14:paraId="5D808075">
                  <w:pPr>
                    <w:pStyle w:val="89"/>
                    <w:widowControl/>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eastAsia" w:eastAsia="宋体" w:cs="Times New Roman"/>
                      <w:bCs/>
                      <w:color w:val="auto"/>
                      <w:sz w:val="21"/>
                      <w:szCs w:val="21"/>
                      <w:highlight w:val="none"/>
                      <w:lang w:val="en-US" w:eastAsia="zh-CN"/>
                    </w:rPr>
                    <w:t>阿坝州</w:t>
                  </w:r>
                </w:p>
              </w:tc>
              <w:tc>
                <w:tcPr>
                  <w:tcW w:w="2960" w:type="pct"/>
                  <w:tcBorders>
                    <w:tl2br w:val="nil"/>
                    <w:tr2bl w:val="nil"/>
                  </w:tcBorders>
                  <w:vAlign w:val="center"/>
                </w:tcPr>
                <w:p w14:paraId="249FCEC4">
                  <w:pPr>
                    <w:pStyle w:val="89"/>
                    <w:widowControl/>
                    <w:numPr>
                      <w:ilvl w:val="0"/>
                      <w:numId w:val="12"/>
                    </w:numPr>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加强</w:t>
                  </w:r>
                  <w:r>
                    <w:rPr>
                      <w:rFonts w:hint="eastAsia"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山水林田湖草沙</w:t>
                  </w:r>
                  <w:r>
                    <w:rPr>
                      <w:rFonts w:hint="eastAsia"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系统治理，重点推进若尔盖县等区域退化草原的生态治理与恢复，巩固提高水源涵养、生物多样性及水土保持等生态系统功能，增强生态系统固碳能力。</w:t>
                  </w:r>
                </w:p>
                <w:p w14:paraId="0F86E458">
                  <w:pPr>
                    <w:pStyle w:val="89"/>
                    <w:widowControl/>
                    <w:numPr>
                      <w:ilvl w:val="0"/>
                      <w:numId w:val="12"/>
                    </w:numPr>
                    <w:spacing w:line="240" w:lineRule="auto"/>
                    <w:ind w:left="0" w:leftChars="0"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加强矿产资源合理开发利用，推进绿色矿山建设，鼓励尾矿综合利用</w:t>
                  </w:r>
                  <w:r>
                    <w:rPr>
                      <w:rFonts w:hint="eastAsia" w:eastAsia="宋体" w:cs="Times New Roman"/>
                      <w:bCs/>
                      <w:color w:val="auto"/>
                      <w:sz w:val="21"/>
                      <w:szCs w:val="21"/>
                      <w:highlight w:val="none"/>
                      <w:lang w:eastAsia="zh-CN"/>
                    </w:rPr>
                    <w:t>。</w:t>
                  </w:r>
                </w:p>
                <w:p w14:paraId="48CF247A">
                  <w:pPr>
                    <w:pStyle w:val="89"/>
                    <w:widowControl/>
                    <w:numPr>
                      <w:ilvl w:val="0"/>
                      <w:numId w:val="12"/>
                    </w:numPr>
                    <w:spacing w:line="240" w:lineRule="auto"/>
                    <w:ind w:left="0" w:leftChars="0"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合理引导控制生态旅游开发活动和规模，实现生态价值转换。</w:t>
                  </w:r>
                </w:p>
                <w:p w14:paraId="79F9B8D9">
                  <w:pPr>
                    <w:pStyle w:val="89"/>
                    <w:widowControl/>
                    <w:numPr>
                      <w:ilvl w:val="0"/>
                      <w:numId w:val="0"/>
                    </w:numPr>
                    <w:spacing w:line="240" w:lineRule="auto"/>
                    <w:ind w:left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r>
                    <w:rPr>
                      <w:rFonts w:hint="eastAsia"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合理引导控制畜牧业发展规模，严格落实草畜平衡、禁牧休牧及划区轮牧制度。</w:t>
                  </w:r>
                </w:p>
                <w:p w14:paraId="19D51474">
                  <w:pPr>
                    <w:pStyle w:val="89"/>
                    <w:widowControl/>
                    <w:spacing w:line="240" w:lineRule="auto"/>
                    <w:ind w:firstLine="0" w:firstLineChars="0"/>
                    <w:jc w:val="left"/>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5.优化重大工程项目选址选线，加强建设过程中的环境管理</w:t>
                  </w:r>
                  <w:r>
                    <w:rPr>
                      <w:rFonts w:hint="eastAsia" w:eastAsia="宋体" w:cs="Times New Roman"/>
                      <w:bCs/>
                      <w:color w:val="auto"/>
                      <w:sz w:val="21"/>
                      <w:szCs w:val="21"/>
                      <w:highlight w:val="none"/>
                      <w:lang w:eastAsia="zh-CN"/>
                    </w:rPr>
                    <w:t>。</w:t>
                  </w:r>
                </w:p>
                <w:p w14:paraId="309D543A">
                  <w:pPr>
                    <w:pStyle w:val="89"/>
                    <w:widowControl/>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eastAsia"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rPr>
                    <w:t>严把岷江流域项目环境准入门槛，加快推进岷江沿岸产业布局调整，产控沿江现有工业污染物排放和环境风险，保障饮用水源安全。</w:t>
                  </w:r>
                </w:p>
                <w:p w14:paraId="05DA52F3">
                  <w:pPr>
                    <w:pStyle w:val="89"/>
                    <w:widowControl/>
                    <w:spacing w:line="240" w:lineRule="auto"/>
                    <w:ind w:firstLine="0" w:firstLineChars="0"/>
                    <w:jc w:val="left"/>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7.提高能源资源利用效率，加强水电行业管理，落实小水电整改要求</w:t>
                  </w:r>
                  <w:r>
                    <w:rPr>
                      <w:rFonts w:hint="eastAsia" w:eastAsia="宋体" w:cs="Times New Roman"/>
                      <w:bCs/>
                      <w:color w:val="auto"/>
                      <w:sz w:val="21"/>
                      <w:szCs w:val="21"/>
                      <w:highlight w:val="none"/>
                      <w:lang w:eastAsia="zh-CN"/>
                    </w:rPr>
                    <w:t>。</w:t>
                  </w:r>
                </w:p>
                <w:p w14:paraId="69C6B87E">
                  <w:pPr>
                    <w:pStyle w:val="89"/>
                    <w:widowControl/>
                    <w:spacing w:line="240" w:lineRule="auto"/>
                    <w:ind w:firstLine="0" w:firstLineChars="0"/>
                    <w:jc w:val="left"/>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8.补齐城乡生活污水、生活垃圾处理设施短板，推进城乡环境综合整治</w:t>
                  </w:r>
                  <w:r>
                    <w:rPr>
                      <w:rFonts w:hint="eastAsia" w:eastAsia="宋体" w:cs="Times New Roman"/>
                      <w:bCs/>
                      <w:color w:val="auto"/>
                      <w:sz w:val="21"/>
                      <w:szCs w:val="21"/>
                      <w:highlight w:val="none"/>
                      <w:lang w:eastAsia="zh-CN"/>
                    </w:rPr>
                    <w:t>。</w:t>
                  </w:r>
                </w:p>
              </w:tc>
              <w:tc>
                <w:tcPr>
                  <w:tcW w:w="948" w:type="pct"/>
                  <w:tcBorders>
                    <w:tl2br w:val="nil"/>
                    <w:tr2bl w:val="nil"/>
                  </w:tcBorders>
                  <w:vAlign w:val="center"/>
                </w:tcPr>
                <w:p w14:paraId="11245F89">
                  <w:pPr>
                    <w:pStyle w:val="89"/>
                    <w:widowControl/>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本项目为马尔康市第二中学实验楼建设项目，项目用水量较少，产生实验清洗废水和实验辅助废水进入酸碱中和池中和后，依托已建预处理处理后排入市政污水管网。</w:t>
                  </w:r>
                </w:p>
              </w:tc>
              <w:tc>
                <w:tcPr>
                  <w:tcW w:w="529" w:type="pct"/>
                  <w:tcBorders>
                    <w:tl2br w:val="nil"/>
                    <w:tr2bl w:val="nil"/>
                  </w:tcBorders>
                  <w:vAlign w:val="center"/>
                </w:tcPr>
                <w:p w14:paraId="7D0EF1FE">
                  <w:pPr>
                    <w:pStyle w:val="89"/>
                    <w:widowControl/>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bl>
          <w:p w14:paraId="56FB8885">
            <w:pPr>
              <w:pStyle w:val="113"/>
              <w:bidi w:val="0"/>
              <w:rPr>
                <w:color w:val="auto"/>
              </w:rPr>
            </w:pPr>
            <w:r>
              <w:rPr>
                <w:color w:val="auto"/>
              </w:rPr>
              <w:t>本项目与</w:t>
            </w:r>
            <w:r>
              <w:rPr>
                <w:rFonts w:hint="eastAsia"/>
                <w:color w:val="auto"/>
                <w:lang w:val="en-US" w:eastAsia="zh-CN"/>
              </w:rPr>
              <w:t>马尔康市</w:t>
            </w:r>
            <w:r>
              <w:rPr>
                <w:color w:val="auto"/>
              </w:rPr>
              <w:t>生态环境管控要求分析一览表</w:t>
            </w:r>
          </w:p>
          <w:tbl>
            <w:tblPr>
              <w:tblStyle w:val="4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5281"/>
              <w:gridCol w:w="1692"/>
              <w:gridCol w:w="944"/>
            </w:tblGrid>
            <w:tr w14:paraId="145A7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pct"/>
                  <w:tcBorders>
                    <w:tl2br w:val="nil"/>
                    <w:tr2bl w:val="nil"/>
                  </w:tcBorders>
                  <w:vAlign w:val="center"/>
                </w:tcPr>
                <w:p w14:paraId="1F8EFAFC">
                  <w:pPr>
                    <w:pStyle w:val="89"/>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区域</w:t>
                  </w:r>
                </w:p>
              </w:tc>
              <w:tc>
                <w:tcPr>
                  <w:tcW w:w="2960" w:type="pct"/>
                  <w:tcBorders>
                    <w:tl2br w:val="nil"/>
                    <w:tr2bl w:val="nil"/>
                  </w:tcBorders>
                  <w:vAlign w:val="center"/>
                </w:tcPr>
                <w:p w14:paraId="3F6AA8B6">
                  <w:pPr>
                    <w:pStyle w:val="89"/>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管控要求</w:t>
                  </w:r>
                </w:p>
              </w:tc>
              <w:tc>
                <w:tcPr>
                  <w:tcW w:w="948" w:type="pct"/>
                  <w:tcBorders>
                    <w:tl2br w:val="nil"/>
                    <w:tr2bl w:val="nil"/>
                  </w:tcBorders>
                  <w:vAlign w:val="center"/>
                </w:tcPr>
                <w:p w14:paraId="1C58128E">
                  <w:pPr>
                    <w:pStyle w:val="89"/>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w:t>
                  </w:r>
                </w:p>
              </w:tc>
              <w:tc>
                <w:tcPr>
                  <w:tcW w:w="529" w:type="pct"/>
                  <w:tcBorders>
                    <w:tl2br w:val="nil"/>
                    <w:tr2bl w:val="nil"/>
                  </w:tcBorders>
                  <w:vAlign w:val="center"/>
                </w:tcPr>
                <w:p w14:paraId="6AF98DA9">
                  <w:pPr>
                    <w:pStyle w:val="89"/>
                    <w:widowControl/>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159258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pct"/>
                  <w:tcBorders>
                    <w:tl2br w:val="nil"/>
                    <w:tr2bl w:val="nil"/>
                  </w:tcBorders>
                  <w:vAlign w:val="center"/>
                </w:tcPr>
                <w:p w14:paraId="184E3220">
                  <w:pPr>
                    <w:pStyle w:val="89"/>
                    <w:widowControl/>
                    <w:spacing w:line="240" w:lineRule="auto"/>
                    <w:ind w:firstLine="0" w:firstLineChars="0"/>
                    <w:jc w:val="center"/>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马尔康市</w:t>
                  </w:r>
                </w:p>
              </w:tc>
              <w:tc>
                <w:tcPr>
                  <w:tcW w:w="2960" w:type="pct"/>
                  <w:tcBorders>
                    <w:tl2br w:val="nil"/>
                    <w:tr2bl w:val="nil"/>
                  </w:tcBorders>
                  <w:vAlign w:val="center"/>
                </w:tcPr>
                <w:p w14:paraId="1339C09B">
                  <w:pPr>
                    <w:pStyle w:val="89"/>
                    <w:widowControl/>
                    <w:spacing w:line="240" w:lineRule="auto"/>
                    <w:ind w:firstLine="0" w:firstLineChars="0"/>
                    <w:jc w:val="lef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1.推进生态保护与修复，加强生物多样性功能区建设，强化茶堡河等小流域的水土流失治理。</w:t>
                  </w:r>
                </w:p>
                <w:p w14:paraId="31E9380E">
                  <w:pPr>
                    <w:pStyle w:val="89"/>
                    <w:widowControl/>
                    <w:spacing w:line="240" w:lineRule="auto"/>
                    <w:ind w:firstLine="0" w:firstLineChars="0"/>
                    <w:jc w:val="lef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2.合理开发民族、民俗旅游资源，大力发展红色文化旅游。</w:t>
                  </w:r>
                </w:p>
                <w:p w14:paraId="21BCCB59">
                  <w:pPr>
                    <w:pStyle w:val="89"/>
                    <w:widowControl/>
                    <w:spacing w:line="240" w:lineRule="auto"/>
                    <w:ind w:firstLine="0" w:firstLineChars="0"/>
                    <w:jc w:val="lef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3.加强水电行业管理，落实小水电整改要求。</w:t>
                  </w:r>
                </w:p>
                <w:p w14:paraId="577CA631">
                  <w:pPr>
                    <w:pStyle w:val="89"/>
                    <w:widowControl/>
                    <w:spacing w:line="240" w:lineRule="auto"/>
                    <w:ind w:firstLine="0" w:firstLineChars="0"/>
                    <w:jc w:val="lef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4.规范锂矿开发活动，推进绿色矿山建设，鼓励尾矿综合利用。</w:t>
                  </w:r>
                </w:p>
                <w:p w14:paraId="4E1A9AB4">
                  <w:pPr>
                    <w:pStyle w:val="89"/>
                    <w:widowControl/>
                    <w:spacing w:line="240" w:lineRule="auto"/>
                    <w:ind w:firstLine="0" w:firstLineChars="0"/>
                    <w:jc w:val="lef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5.补齐城乡生活污水、生活垃圾处理设施短板，推进城乡环境综合整治。</w:t>
                  </w:r>
                </w:p>
              </w:tc>
              <w:tc>
                <w:tcPr>
                  <w:tcW w:w="948" w:type="pct"/>
                  <w:tcBorders>
                    <w:tl2br w:val="nil"/>
                    <w:tr2bl w:val="nil"/>
                  </w:tcBorders>
                  <w:vAlign w:val="center"/>
                </w:tcPr>
                <w:p w14:paraId="6CB2605D">
                  <w:pPr>
                    <w:pStyle w:val="89"/>
                    <w:widowControl/>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本项目为马尔康市第二中学实验楼建设项目，项目用水量较少，产生实验清洗废水和实验辅助废水进入酸碱中和池中和后，依托已建预处理处理后排入市政污水管网。</w:t>
                  </w:r>
                </w:p>
              </w:tc>
              <w:tc>
                <w:tcPr>
                  <w:tcW w:w="529" w:type="pct"/>
                  <w:tcBorders>
                    <w:tl2br w:val="nil"/>
                    <w:tr2bl w:val="nil"/>
                  </w:tcBorders>
                  <w:vAlign w:val="center"/>
                </w:tcPr>
                <w:p w14:paraId="59AAAD2C">
                  <w:pPr>
                    <w:pStyle w:val="89"/>
                    <w:widowControl/>
                    <w:spacing w:line="240" w:lineRule="auto"/>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符合</w:t>
                  </w:r>
                </w:p>
              </w:tc>
            </w:tr>
          </w:tbl>
          <w:p w14:paraId="38D71337">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综上所述，本项目的建设符合</w:t>
            </w:r>
            <w:r>
              <w:rPr>
                <w:rFonts w:hint="eastAsia" w:ascii="Times New Roman" w:hAnsi="Times New Roman" w:eastAsia="宋体" w:cs="Times New Roman"/>
                <w:color w:val="auto"/>
                <w:sz w:val="24"/>
                <w:szCs w:val="24"/>
                <w:highlight w:val="none"/>
                <w:lang w:val="en-US" w:eastAsia="zh-CN"/>
              </w:rPr>
              <w:t>阿坝州</w:t>
            </w:r>
            <w:r>
              <w:rPr>
                <w:rFonts w:hint="eastAsia" w:ascii="Times New Roman" w:hAnsi="Times New Roman" w:eastAsia="宋体" w:cs="Times New Roman"/>
                <w:color w:val="auto"/>
                <w:sz w:val="24"/>
                <w:szCs w:val="24"/>
                <w:highlight w:val="none"/>
              </w:rPr>
              <w:t>及</w:t>
            </w:r>
            <w:r>
              <w:rPr>
                <w:rFonts w:hint="eastAsia" w:ascii="Times New Roman" w:hAnsi="Times New Roman" w:eastAsia="宋体" w:cs="Times New Roman"/>
                <w:color w:val="auto"/>
                <w:sz w:val="24"/>
                <w:szCs w:val="24"/>
                <w:highlight w:val="none"/>
                <w:lang w:val="en-US" w:eastAsia="zh-CN"/>
              </w:rPr>
              <w:t>马尔康市</w:t>
            </w:r>
            <w:r>
              <w:rPr>
                <w:rFonts w:hint="eastAsia" w:ascii="Times New Roman" w:hAnsi="Times New Roman" w:eastAsia="宋体" w:cs="Times New Roman"/>
                <w:color w:val="auto"/>
                <w:sz w:val="24"/>
                <w:szCs w:val="24"/>
                <w:highlight w:val="none"/>
              </w:rPr>
              <w:t>的生态环境管控要求。</w:t>
            </w:r>
          </w:p>
          <w:p w14:paraId="1D3DC0F5">
            <w:pPr>
              <w:spacing w:line="360" w:lineRule="auto"/>
              <w:ind w:firstLine="480" w:firstLineChars="200"/>
              <w:rPr>
                <w:rFonts w:ascii="Times New Roman" w:hAnsi="Times New Roman" w:eastAsia="宋体" w:cs="Times New Roman"/>
                <w:color w:val="auto"/>
                <w:sz w:val="24"/>
                <w:szCs w:val="24"/>
                <w:highlight w:val="none"/>
              </w:rPr>
            </w:pPr>
          </w:p>
          <w:p w14:paraId="5D6C975F">
            <w:pPr>
              <w:rPr>
                <w:color w:val="auto"/>
                <w:highlight w:val="none"/>
              </w:rPr>
            </w:pPr>
          </w:p>
        </w:tc>
      </w:tr>
    </w:tbl>
    <w:p w14:paraId="762F24DF">
      <w:pPr>
        <w:rPr>
          <w:color w:val="auto"/>
          <w:highlight w:val="none"/>
        </w:rPr>
        <w:sectPr>
          <w:footerReference r:id="rId4" w:type="default"/>
          <w:pgSz w:w="11906" w:h="16838"/>
          <w:pgMar w:top="1440" w:right="1080" w:bottom="1440" w:left="1080" w:header="851" w:footer="992" w:gutter="0"/>
          <w:pgBorders>
            <w:top w:val="none" w:sz="0" w:space="0"/>
            <w:left w:val="none" w:sz="0" w:space="0"/>
            <w:bottom w:val="none" w:sz="0" w:space="0"/>
            <w:right w:val="none" w:sz="0" w:space="0"/>
          </w:pgBorders>
          <w:pgNumType w:start="1"/>
          <w:cols w:space="425" w:num="1"/>
          <w:docGrid w:type="lines" w:linePitch="312" w:charSpace="0"/>
        </w:sectPr>
      </w:pP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3460"/>
      </w:tblGrid>
      <w:tr w14:paraId="5563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9" w:hRule="atLeast"/>
        </w:trPr>
        <w:tc>
          <w:tcPr>
            <w:tcW w:w="252" w:type="pct"/>
            <w:vAlign w:val="center"/>
          </w:tcPr>
          <w:p w14:paraId="39D4BC64">
            <w:pPr>
              <w:jc w:val="center"/>
              <w:rPr>
                <w:rFonts w:ascii="黑体" w:hAnsi="黑体" w:eastAsia="黑体"/>
                <w:b/>
                <w:color w:val="auto"/>
                <w:sz w:val="24"/>
                <w:szCs w:val="24"/>
                <w:highlight w:val="none"/>
              </w:rPr>
            </w:pPr>
            <w:r>
              <w:rPr>
                <w:rFonts w:ascii="Times New Roman" w:hAnsi="Times New Roman" w:cs="Times New Roman"/>
                <w:color w:val="auto"/>
                <w:sz w:val="24"/>
                <w:szCs w:val="24"/>
                <w:highlight w:val="none"/>
              </w:rPr>
              <w:t>其他符合性分析</w:t>
            </w:r>
          </w:p>
        </w:tc>
        <w:tc>
          <w:tcPr>
            <w:tcW w:w="4748" w:type="pct"/>
          </w:tcPr>
          <w:p w14:paraId="12605866">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本项目与涉及的环境管控单元符合性分析如下表所示。</w:t>
            </w:r>
          </w:p>
          <w:p w14:paraId="654F988E">
            <w:pPr>
              <w:pStyle w:val="113"/>
              <w:bidi w:val="0"/>
              <w:rPr>
                <w:color w:val="auto"/>
              </w:rPr>
            </w:pPr>
            <w:r>
              <w:rPr>
                <w:rFonts w:hint="eastAsia"/>
                <w:color w:val="auto"/>
              </w:rPr>
              <w:t>本项目与所涉及的环境管控单元符合性分析一览表</w:t>
            </w:r>
          </w:p>
          <w:tbl>
            <w:tblPr>
              <w:tblStyle w:val="41"/>
              <w:tblW w:w="496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669"/>
              <w:gridCol w:w="1568"/>
              <w:gridCol w:w="5846"/>
              <w:gridCol w:w="3000"/>
              <w:gridCol w:w="1045"/>
            </w:tblGrid>
            <w:tr w14:paraId="5193C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0" w:type="pct"/>
                  <w:gridSpan w:val="4"/>
                  <w:tcBorders>
                    <w:tl2br w:val="nil"/>
                    <w:tr2bl w:val="nil"/>
                  </w:tcBorders>
                  <w:vAlign w:val="center"/>
                </w:tcPr>
                <w:p w14:paraId="6A12FF55">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highlight w:val="none"/>
                      <w:lang w:val="en-US" w:eastAsia="zh-CN"/>
                    </w:rPr>
                    <w:t>生态环境分区管控</w:t>
                  </w:r>
                  <w:r>
                    <w:rPr>
                      <w:rFonts w:hint="default" w:ascii="Times New Roman" w:hAnsi="Times New Roman" w:eastAsia="宋体" w:cs="Times New Roman"/>
                      <w:b/>
                      <w:bCs/>
                      <w:color w:val="auto"/>
                      <w:szCs w:val="21"/>
                      <w:highlight w:val="none"/>
                    </w:rPr>
                    <w:t>”的具体要求</w:t>
                  </w:r>
                </w:p>
              </w:tc>
              <w:tc>
                <w:tcPr>
                  <w:tcW w:w="1141" w:type="pct"/>
                  <w:vMerge w:val="restart"/>
                  <w:tcBorders>
                    <w:tl2br w:val="nil"/>
                    <w:tr2bl w:val="nil"/>
                  </w:tcBorders>
                  <w:vAlign w:val="center"/>
                </w:tcPr>
                <w:p w14:paraId="20D1BEE7">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项目对应情况</w:t>
                  </w:r>
                </w:p>
              </w:tc>
              <w:tc>
                <w:tcPr>
                  <w:tcW w:w="397" w:type="pct"/>
                  <w:vMerge w:val="restart"/>
                  <w:tcBorders>
                    <w:tl2br w:val="nil"/>
                    <w:tr2bl w:val="nil"/>
                  </w:tcBorders>
                  <w:shd w:val="clear" w:color="auto" w:fill="auto"/>
                  <w:vAlign w:val="center"/>
                </w:tcPr>
                <w:p w14:paraId="2E30A0DE">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符合性</w:t>
                  </w:r>
                </w:p>
              </w:tc>
            </w:tr>
            <w:tr w14:paraId="6535D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6" w:type="pct"/>
                  <w:gridSpan w:val="3"/>
                  <w:tcBorders>
                    <w:tl2br w:val="nil"/>
                    <w:tr2bl w:val="nil"/>
                  </w:tcBorders>
                  <w:vAlign w:val="center"/>
                </w:tcPr>
                <w:p w14:paraId="257FA2D8">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2224" w:type="pct"/>
                  <w:tcBorders>
                    <w:tl2br w:val="nil"/>
                    <w:tr2bl w:val="nil"/>
                  </w:tcBorders>
                  <w:vAlign w:val="center"/>
                </w:tcPr>
                <w:p w14:paraId="4E879A29">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对应管控要求</w:t>
                  </w:r>
                </w:p>
              </w:tc>
              <w:tc>
                <w:tcPr>
                  <w:tcW w:w="1141" w:type="pct"/>
                  <w:vMerge w:val="continue"/>
                  <w:tcBorders>
                    <w:tl2br w:val="nil"/>
                    <w:tr2bl w:val="nil"/>
                  </w:tcBorders>
                  <w:vAlign w:val="center"/>
                </w:tcPr>
                <w:p w14:paraId="1411AF78">
                  <w:pPr>
                    <w:jc w:val="center"/>
                    <w:rPr>
                      <w:rFonts w:hint="default" w:ascii="Times New Roman" w:hAnsi="Times New Roman" w:eastAsia="宋体" w:cs="Times New Roman"/>
                      <w:color w:val="auto"/>
                      <w:szCs w:val="21"/>
                      <w:highlight w:val="none"/>
                    </w:rPr>
                  </w:pPr>
                </w:p>
              </w:tc>
              <w:tc>
                <w:tcPr>
                  <w:tcW w:w="397" w:type="pct"/>
                  <w:vMerge w:val="continue"/>
                  <w:tcBorders>
                    <w:tl2br w:val="nil"/>
                    <w:tr2bl w:val="nil"/>
                  </w:tcBorders>
                  <w:shd w:val="clear" w:color="auto" w:fill="auto"/>
                  <w:vAlign w:val="center"/>
                </w:tcPr>
                <w:p w14:paraId="591B7D9E">
                  <w:pPr>
                    <w:jc w:val="center"/>
                    <w:rPr>
                      <w:rFonts w:hint="default" w:ascii="Times New Roman" w:hAnsi="Times New Roman" w:eastAsia="宋体" w:cs="Times New Roman"/>
                      <w:color w:val="auto"/>
                      <w:szCs w:val="21"/>
                      <w:highlight w:val="none"/>
                    </w:rPr>
                  </w:pPr>
                </w:p>
              </w:tc>
            </w:tr>
            <w:tr w14:paraId="1745C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restart"/>
                  <w:tcBorders>
                    <w:tl2br w:val="nil"/>
                    <w:tr2bl w:val="nil"/>
                  </w:tcBorders>
                  <w:vAlign w:val="center"/>
                </w:tcPr>
                <w:p w14:paraId="1E17E4FA">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ZH51320120001</w:t>
                  </w:r>
                </w:p>
                <w:p w14:paraId="6CD3E90C">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马尔康市城镇空间重点管控单元</w:t>
                  </w:r>
                </w:p>
              </w:tc>
              <w:tc>
                <w:tcPr>
                  <w:tcW w:w="254" w:type="pct"/>
                  <w:vMerge w:val="restart"/>
                  <w:tcBorders>
                    <w:tl2br w:val="nil"/>
                    <w:tr2bl w:val="nil"/>
                  </w:tcBorders>
                  <w:vAlign w:val="center"/>
                </w:tcPr>
                <w:p w14:paraId="2E147869">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市州</w:t>
                  </w:r>
                  <w:r>
                    <w:rPr>
                      <w:rFonts w:hint="default" w:ascii="Times New Roman" w:hAnsi="Times New Roman" w:eastAsia="宋体" w:cs="Times New Roman"/>
                      <w:color w:val="auto"/>
                      <w:szCs w:val="21"/>
                      <w:highlight w:val="none"/>
                    </w:rPr>
                    <w:t>普适性清单管控要求</w:t>
                  </w:r>
                </w:p>
              </w:tc>
              <w:tc>
                <w:tcPr>
                  <w:tcW w:w="596" w:type="pct"/>
                  <w:vMerge w:val="restart"/>
                  <w:tcBorders>
                    <w:tl2br w:val="nil"/>
                    <w:tr2bl w:val="nil"/>
                  </w:tcBorders>
                  <w:vAlign w:val="center"/>
                </w:tcPr>
                <w:p w14:paraId="2530649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空间布局约束</w:t>
                  </w:r>
                </w:p>
              </w:tc>
              <w:tc>
                <w:tcPr>
                  <w:tcW w:w="2224" w:type="pct"/>
                  <w:tcBorders>
                    <w:tl2br w:val="nil"/>
                    <w:tr2bl w:val="nil"/>
                  </w:tcBorders>
                  <w:vAlign w:val="center"/>
                </w:tcPr>
                <w:p w14:paraId="03599EC4">
                  <w:pPr>
                    <w:rPr>
                      <w:rFonts w:hint="default" w:ascii="Times New Roman" w:hAnsi="Times New Roman" w:eastAsia="宋体" w:cs="Times New Roman"/>
                      <w:b/>
                      <w:color w:val="auto"/>
                      <w:spacing w:val="-11"/>
                      <w:kern w:val="0"/>
                      <w:szCs w:val="21"/>
                      <w:highlight w:val="none"/>
                    </w:rPr>
                  </w:pPr>
                  <w:r>
                    <w:rPr>
                      <w:rFonts w:hint="default" w:ascii="Times New Roman" w:hAnsi="Times New Roman" w:eastAsia="宋体" w:cs="Times New Roman"/>
                      <w:b/>
                      <w:color w:val="auto"/>
                      <w:spacing w:val="-11"/>
                      <w:kern w:val="0"/>
                      <w:szCs w:val="21"/>
                      <w:highlight w:val="none"/>
                    </w:rPr>
                    <w:t>禁止开发建设活动的要求：</w:t>
                  </w:r>
                </w:p>
                <w:p w14:paraId="54512170">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 xml:space="preserve">禁止在长江干支流岸线一公里范围内新建、扩建化工园区和化工项目；禁止在长江重要支流岸线一公里范围内新建、改建、扩建尾矿库（以提升安全、生态环境保护水平为目的的改建除外）。 </w:t>
                  </w:r>
                </w:p>
                <w:p w14:paraId="3F8897E7">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 xml:space="preserve">-禁止在河道、湖泊管理范围内建设妨碍行洪的建筑物、构筑物，倾倒垃圾、渣土，从事影响河势稳定、危害河岸堤防安全和其他妨碍河道行洪的活动。禁止在行洪河道内种植阻碍行洪的林木和高秆作物。 </w:t>
                  </w:r>
                </w:p>
                <w:p w14:paraId="49DB0CF3">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-严格执行相关行业企业布局选址要求，禁止在居民区、学校、医疗和养老机构等周边新建有色金属冶炼、焦化、化工、铅蓄电池制造等行业企业，有序搬迁或依法关闭对土壤造成严重污染的现有企业。</w:t>
                  </w:r>
                </w:p>
              </w:tc>
              <w:tc>
                <w:tcPr>
                  <w:tcW w:w="1141" w:type="pct"/>
                  <w:tcBorders>
                    <w:tl2br w:val="nil"/>
                    <w:tr2bl w:val="nil"/>
                  </w:tcBorders>
                  <w:vAlign w:val="center"/>
                </w:tcPr>
                <w:p w14:paraId="1FB4793F">
                  <w:pPr>
                    <w:numPr>
                      <w:ilvl w:val="0"/>
                      <w:numId w:val="0"/>
                    </w:num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本项目为马尔康第二中学实验楼建设项目，不属于化工项目、尾矿库项目，不属于妨碍河道行洪的活动。</w:t>
                  </w:r>
                </w:p>
              </w:tc>
              <w:tc>
                <w:tcPr>
                  <w:tcW w:w="397" w:type="pct"/>
                  <w:tcBorders>
                    <w:tl2br w:val="nil"/>
                    <w:tr2bl w:val="nil"/>
                  </w:tcBorders>
                  <w:shd w:val="clear" w:color="auto" w:fill="auto"/>
                  <w:vAlign w:val="center"/>
                </w:tcPr>
                <w:p w14:paraId="1FBAC7E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528E0A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19018B73">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0EFB1275">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1C66E634">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6A4F949D">
                  <w:pPr>
                    <w:rPr>
                      <w:rFonts w:hint="default" w:ascii="Times New Roman" w:hAnsi="Times New Roman" w:eastAsia="宋体" w:cs="Times New Roman"/>
                      <w:b/>
                      <w:color w:val="auto"/>
                      <w:spacing w:val="-11"/>
                      <w:kern w:val="0"/>
                      <w:szCs w:val="21"/>
                      <w:highlight w:val="none"/>
                    </w:rPr>
                  </w:pPr>
                  <w:r>
                    <w:rPr>
                      <w:rFonts w:hint="default" w:ascii="Times New Roman" w:hAnsi="Times New Roman" w:eastAsia="宋体" w:cs="Times New Roman"/>
                      <w:b/>
                      <w:color w:val="auto"/>
                      <w:spacing w:val="-11"/>
                      <w:kern w:val="0"/>
                      <w:szCs w:val="21"/>
                      <w:highlight w:val="none"/>
                    </w:rPr>
                    <w:t>限制开发建设活动的要求：</w:t>
                  </w:r>
                </w:p>
                <w:p w14:paraId="1B801DB2">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 xml:space="preserve">-新建工业企业原则上都应在工业园区内建设并符合相关规划。 </w:t>
                  </w:r>
                </w:p>
                <w:p w14:paraId="267FE9A3">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 xml:space="preserve">-对不符合国土空间规划的现有工业企业，污染物排放总量及环境风险水平只降不增，引导企业适时搬迁进入对口园区。 </w:t>
                  </w:r>
                </w:p>
                <w:p w14:paraId="2BFEF78F">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 xml:space="preserve">-严格控制在城镇空间范围内新布设工业园区。若新布局工业园区，应符合阿坝州国土空间规划，并结合区域环境特点、三线成果、园区产业类别，充分论证选址的环境合理性。 </w:t>
                  </w:r>
                </w:p>
                <w:p w14:paraId="504C60DF">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 xml:space="preserve">-长江干流及主要支流重点管控岸线：严禁非法采砂。严格落实禁采区、可采区、保留区和禁采期管理措施，加强对非法采砂行为的监督执法 </w:t>
                  </w:r>
                </w:p>
                <w:p w14:paraId="4886C7BE">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-禁止在长江流域水土流失严重、生态脆弱的区域开展可能造成水土流失的生产建设活动。确因国家发展战略和国计民生需要建设的，应当经科学论证，并依法办理审批手续。</w:t>
                  </w:r>
                </w:p>
              </w:tc>
              <w:tc>
                <w:tcPr>
                  <w:tcW w:w="1141" w:type="pct"/>
                  <w:tcBorders>
                    <w:tl2br w:val="nil"/>
                    <w:tr2bl w:val="nil"/>
                  </w:tcBorders>
                  <w:vAlign w:val="center"/>
                </w:tcPr>
                <w:p w14:paraId="156DD8F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本项目不涉及</w:t>
                  </w:r>
                </w:p>
              </w:tc>
              <w:tc>
                <w:tcPr>
                  <w:tcW w:w="397" w:type="pct"/>
                  <w:tcBorders>
                    <w:tl2br w:val="nil"/>
                    <w:tr2bl w:val="nil"/>
                  </w:tcBorders>
                  <w:shd w:val="clear" w:color="auto" w:fill="auto"/>
                  <w:vAlign w:val="center"/>
                </w:tcPr>
                <w:p w14:paraId="48B67FD9">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符合</w:t>
                  </w:r>
                </w:p>
              </w:tc>
            </w:tr>
            <w:tr w14:paraId="10C4D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0202FBDE">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0B5B85CD">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5526E865">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07794AC2">
                  <w:pPr>
                    <w:rPr>
                      <w:rFonts w:hint="default" w:ascii="Times New Roman" w:hAnsi="Times New Roman" w:eastAsia="宋体" w:cs="Times New Roman"/>
                      <w:b/>
                      <w:color w:val="auto"/>
                      <w:spacing w:val="-11"/>
                      <w:kern w:val="0"/>
                      <w:szCs w:val="21"/>
                      <w:highlight w:val="none"/>
                    </w:rPr>
                  </w:pPr>
                  <w:r>
                    <w:rPr>
                      <w:rFonts w:hint="default" w:ascii="Times New Roman" w:hAnsi="Times New Roman" w:eastAsia="宋体" w:cs="Times New Roman"/>
                      <w:b/>
                      <w:color w:val="auto"/>
                      <w:spacing w:val="-11"/>
                      <w:kern w:val="0"/>
                      <w:szCs w:val="21"/>
                      <w:highlight w:val="none"/>
                    </w:rPr>
                    <w:t>不符合空间布局要求活动的退出要求：</w:t>
                  </w:r>
                </w:p>
                <w:p w14:paraId="3E799930">
                  <w:pPr>
                    <w:numPr>
                      <w:ilvl w:val="0"/>
                      <w:numId w:val="13"/>
                    </w:numP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按照相关规划和要求，清理整顿非法采砂、非法码头，全面清除不合规码头。</w:t>
                  </w:r>
                </w:p>
                <w:p w14:paraId="2C879BCF">
                  <w:pPr>
                    <w:numPr>
                      <w:ilvl w:val="0"/>
                      <w:numId w:val="0"/>
                    </w:num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长江干流及主要支流重点管控岸线：岸线1公里范围内不准新增化工园区，依法淘汰取缔违法违规工业园区。</w:t>
                  </w:r>
                </w:p>
                <w:p w14:paraId="0D764B69">
                  <w:pP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有序搬迁或依法关闭对土壤造成严重污染的现有企业。</w:t>
                  </w:r>
                </w:p>
                <w:p w14:paraId="3AE5DF32">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4</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到2025年，城镇人口密集区现有不符合安全和卫生防护距离要求的危险化学品生产企业搬迁进入规范化工园区或关闭退出。划和园区定位。</w:t>
                  </w:r>
                </w:p>
                <w:p w14:paraId="25FCB4CE">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5</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加快现有高污染或</w:t>
                  </w:r>
                  <w:r>
                    <w:rPr>
                      <w:rFonts w:hint="eastAsia" w:ascii="Times New Roman" w:hAnsi="Times New Roman" w:eastAsia="宋体" w:cs="Times New Roman"/>
                      <w:color w:val="auto"/>
                      <w:szCs w:val="21"/>
                      <w:highlight w:val="none"/>
                      <w:lang w:val="en-US" w:eastAsia="zh-CN"/>
                    </w:rPr>
                    <w:t>高风险产品生产企业“退城入园”进度，逐步退出环境敏感区。</w:t>
                  </w:r>
                </w:p>
              </w:tc>
              <w:tc>
                <w:tcPr>
                  <w:tcW w:w="1141" w:type="pct"/>
                  <w:tcBorders>
                    <w:tl2br w:val="nil"/>
                    <w:tr2bl w:val="nil"/>
                  </w:tcBorders>
                  <w:vAlign w:val="center"/>
                </w:tcPr>
                <w:p w14:paraId="275209C8">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本项目不涉及</w:t>
                  </w:r>
                </w:p>
              </w:tc>
              <w:tc>
                <w:tcPr>
                  <w:tcW w:w="397" w:type="pct"/>
                  <w:tcBorders>
                    <w:tl2br w:val="nil"/>
                    <w:tr2bl w:val="nil"/>
                  </w:tcBorders>
                  <w:shd w:val="clear" w:color="auto" w:fill="auto"/>
                  <w:vAlign w:val="center"/>
                </w:tcPr>
                <w:p w14:paraId="71DF6840">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符合</w:t>
                  </w:r>
                </w:p>
              </w:tc>
            </w:tr>
            <w:tr w14:paraId="3CD43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1A119856">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6C338C73">
                  <w:pPr>
                    <w:jc w:val="center"/>
                    <w:rPr>
                      <w:rFonts w:hint="default" w:ascii="Times New Roman" w:hAnsi="Times New Roman" w:eastAsia="宋体" w:cs="Times New Roman"/>
                      <w:color w:val="auto"/>
                      <w:szCs w:val="21"/>
                      <w:highlight w:val="none"/>
                    </w:rPr>
                  </w:pPr>
                </w:p>
              </w:tc>
              <w:tc>
                <w:tcPr>
                  <w:tcW w:w="596" w:type="pct"/>
                  <w:vMerge w:val="restart"/>
                  <w:tcBorders>
                    <w:tl2br w:val="nil"/>
                    <w:tr2bl w:val="nil"/>
                  </w:tcBorders>
                  <w:vAlign w:val="center"/>
                </w:tcPr>
                <w:p w14:paraId="5B3E936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污染物排放管控</w:t>
                  </w:r>
                </w:p>
              </w:tc>
              <w:tc>
                <w:tcPr>
                  <w:tcW w:w="2224" w:type="pct"/>
                  <w:tcBorders>
                    <w:tl2br w:val="nil"/>
                    <w:tr2bl w:val="nil"/>
                  </w:tcBorders>
                  <w:vAlign w:val="center"/>
                </w:tcPr>
                <w:p w14:paraId="11362E0D">
                  <w:pP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现有源提标升级改造：</w:t>
                  </w:r>
                </w:p>
                <w:p w14:paraId="60DA8B7B">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 xml:space="preserve">岷江流域处理规模大于1000吨/日的城镇生活污水处理厂出水水质严格执行《四川省岷江、沱江流域水污染物排放标准》（DB51/2311—2016）中的一般控制区排放要求，其中，确有环境容量且水环境质量达到或优于Ⅲ类地表水的区域，报经四川省生态环境厅核准后，可暂按GB 18918一级A标准执行。 </w:t>
                  </w:r>
                </w:p>
                <w:p w14:paraId="37AB8011">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-现有进水生化需氧量浓度低于100mg/L的城市污水处理厂，要围绕服务片区管网开展</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一厂一策</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 xml:space="preserve">系统化整治，所有新建管网应雨污分流。 </w:t>
                  </w:r>
                </w:p>
                <w:p w14:paraId="35850CF9">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-全面落实各类施工工地扬尘防控措施，重点、重大项目工地实现视频监控、可吸入颗粒物（PM</w:t>
                  </w:r>
                  <w:r>
                    <w:rPr>
                      <w:rFonts w:hint="default" w:ascii="Times New Roman" w:hAnsi="Times New Roman" w:eastAsia="宋体" w:cs="Times New Roman"/>
                      <w:color w:val="auto"/>
                      <w:highlight w:val="none"/>
                      <w:vertAlign w:val="subscript"/>
                      <w:lang w:val="en-US" w:eastAsia="zh-CN"/>
                    </w:rPr>
                    <w:t>10</w:t>
                  </w:r>
                  <w:r>
                    <w:rPr>
                      <w:rFonts w:hint="default" w:ascii="Times New Roman" w:hAnsi="Times New Roman" w:eastAsia="宋体" w:cs="Times New Roman"/>
                      <w:color w:val="auto"/>
                      <w:highlight w:val="none"/>
                      <w:lang w:val="en-US" w:eastAsia="zh-CN"/>
                    </w:rPr>
                    <w:t xml:space="preserve">）在线监测全覆盖。 </w:t>
                  </w:r>
                </w:p>
                <w:p w14:paraId="4049887E">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-有序开展城市生活源VOCs污染防治；全面推广房屋建筑和市政工程涉VOCs工序环节使用低VOCs含量涂料和胶粘剂；推进加油站按照《四川省加油站大气污染排放标准》要求安装油气处理装置。</w:t>
                  </w:r>
                </w:p>
                <w:p w14:paraId="71C9346C">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-加大新能源汽车在城市公交、出租汽车、城市配送、邮政快递、机场、铁路货场、重点地区港口等领域应用，地级以上城市清洁能源汽车在公共领域使用率显著提升，设区的市城市公交车基本实现新能源化</w:t>
                  </w:r>
                  <w:r>
                    <w:rPr>
                      <w:rFonts w:hint="eastAsia" w:ascii="Times New Roman" w:hAnsi="Times New Roman" w:eastAsia="宋体" w:cs="Times New Roman"/>
                      <w:color w:val="auto"/>
                      <w:highlight w:val="none"/>
                      <w:lang w:val="en-US" w:eastAsia="zh-CN"/>
                    </w:rPr>
                    <w:t>。</w:t>
                  </w:r>
                </w:p>
              </w:tc>
              <w:tc>
                <w:tcPr>
                  <w:tcW w:w="1141" w:type="pct"/>
                  <w:tcBorders>
                    <w:tl2br w:val="nil"/>
                    <w:tr2bl w:val="nil"/>
                  </w:tcBorders>
                  <w:vAlign w:val="center"/>
                </w:tcPr>
                <w:p w14:paraId="02700124">
                  <w:p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本项目实验废水经酸碱中和池中和后进入预处理池处理后经市政污水管网进入马尔康市城市生活污水处理厂处理后达到《城镇污水处理厂污染物排放标准》（GB18918-2002）</w:t>
                  </w:r>
                  <w:r>
                    <w:rPr>
                      <w:rFonts w:hint="default" w:ascii="Times New Roman" w:hAnsi="Times New Roman" w:cs="Times New Roman"/>
                      <w:color w:val="auto"/>
                      <w:szCs w:val="21"/>
                    </w:rPr>
                    <w:t>一级A</w:t>
                  </w:r>
                  <w:r>
                    <w:rPr>
                      <w:rFonts w:hint="default" w:ascii="Times New Roman" w:hAnsi="Times New Roman" w:eastAsia="宋体" w:cs="Times New Roman"/>
                      <w:color w:val="auto"/>
                      <w:kern w:val="0"/>
                      <w:szCs w:val="21"/>
                      <w:highlight w:val="none"/>
                      <w:lang w:val="en-US" w:eastAsia="zh-CN"/>
                    </w:rPr>
                    <w:t>后排放至梭磨河；本项目所在区域实行雨污分流；本项目在施工期将全面落实扬尘防控措施；本项目实验室使用酒精，将产生少量VOCs废气，废气经收集后排至室外经大气扩散后对区域环境质量影响较小</w:t>
                  </w: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2435FC2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15AC7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17802BB6">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723426D3">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2C298CAB">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7E16F484">
                  <w:pP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新增源等量或倍量替代：/</w:t>
                  </w:r>
                </w:p>
              </w:tc>
              <w:tc>
                <w:tcPr>
                  <w:tcW w:w="1141" w:type="pct"/>
                  <w:tcBorders>
                    <w:tl2br w:val="nil"/>
                    <w:tr2bl w:val="nil"/>
                  </w:tcBorders>
                  <w:vAlign w:val="center"/>
                </w:tcPr>
                <w:p w14:paraId="43BEC6FE">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19B617FB">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14:paraId="433E9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385" w:type="pct"/>
                  <w:vMerge w:val="continue"/>
                  <w:tcBorders>
                    <w:tl2br w:val="nil"/>
                    <w:tr2bl w:val="nil"/>
                  </w:tcBorders>
                  <w:vAlign w:val="center"/>
                </w:tcPr>
                <w:p w14:paraId="75A20FF6">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6E19753B">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4DFBB287">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6B1DA32A">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新增源排放标准限值：/</w:t>
                  </w:r>
                </w:p>
              </w:tc>
              <w:tc>
                <w:tcPr>
                  <w:tcW w:w="1141" w:type="pct"/>
                  <w:tcBorders>
                    <w:tl2br w:val="nil"/>
                    <w:tr2bl w:val="nil"/>
                  </w:tcBorders>
                  <w:vAlign w:val="center"/>
                </w:tcPr>
                <w:p w14:paraId="14DE00B9">
                  <w:p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0E07AB56">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14:paraId="20F271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572822F3">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05E76246">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2A8687BE">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7C4587B3">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污染物排放标准限值：/</w:t>
                  </w:r>
                </w:p>
              </w:tc>
              <w:tc>
                <w:tcPr>
                  <w:tcW w:w="1141" w:type="pct"/>
                  <w:tcBorders>
                    <w:tl2br w:val="nil"/>
                    <w:tr2bl w:val="nil"/>
                  </w:tcBorders>
                  <w:vAlign w:val="center"/>
                </w:tcPr>
                <w:p w14:paraId="469B924B">
                  <w:p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248E2BBA">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14:paraId="29AEC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5102A855">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50720241">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0A77CF68">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2EB9DE0E">
                  <w:pP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其他污染物排放管控要求：</w:t>
                  </w:r>
                </w:p>
                <w:p w14:paraId="059D6B12">
                  <w:pP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1.上一年度水环境质量未完成目标的，新建排放水污染的建设项目按照总量管控要求进行倍量削减替代。</w:t>
                  </w:r>
                </w:p>
                <w:p w14:paraId="0F6FE6FD">
                  <w:pP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2.上一年度空气质量年平均浓度不达标的城市，建设项目新增相关污染物按照总量管控要求进行倍量削减替代。从事机动车修理、印刷、服装干洗、研发等排放挥发性有机污染物的生产作业，应当按照有关技术规范进行综合治理。推广机动车维修企业使用水性、紫外光固化涂料，喷涂和补漆工序须在密闭喷漆室内进行，禁止露天和敞开式喷漆作业；包装印刷业必须使用符合环保要求的油墨。到2023年底，县级及以上城市设施能力基本满足生活污水处理需求，所有建制镇具备污水处理能力；城市市政雨污管网混错接改造更新及建制镇污水支线管网建设取得显著成效，生活污水收集效能明显提升，力争地级以上城市生活污水处理厂进水生化需氧量（BOD）浓度平均达105毫克每升、县级城市平均达90毫克每升。 </w:t>
                  </w:r>
                </w:p>
                <w:p w14:paraId="4C223488">
                  <w:pP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3.加强施工和建材行业扬尘监管，提高绿色施工水平，加强城市扬尘管控，建立扬尘控制责任制度。 </w:t>
                  </w:r>
                </w:p>
                <w:p w14:paraId="43F0798C">
                  <w:pP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4.2025年，县城（城市）生活垃圾无害化处理率达到95%，县城（城市）生活污水处理率达到90%。</w:t>
                  </w:r>
                </w:p>
                <w:p w14:paraId="6E72032B">
                  <w:pP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5.新建噪声敏感建筑物时，建设单位应全面执行绿色建筑标准，合理确定建筑物与交通干线等的防噪声距离，落实隔声减噪措施。 </w:t>
                  </w:r>
                </w:p>
                <w:p w14:paraId="3DC56520">
                  <w:pP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6.已竣工交付使用的住宅楼、商铺、办公楼等建筑物不得在午、夜间进行产噪装修作业，在其他时间进行装修作业的，应当采取噪声防治措施。</w:t>
                  </w:r>
                </w:p>
              </w:tc>
              <w:tc>
                <w:tcPr>
                  <w:tcW w:w="1141" w:type="pct"/>
                  <w:tcBorders>
                    <w:tl2br w:val="nil"/>
                    <w:tr2bl w:val="nil"/>
                  </w:tcBorders>
                  <w:vAlign w:val="center"/>
                </w:tcPr>
                <w:p w14:paraId="14240546">
                  <w:pPr>
                    <w:autoSpaceDE w:val="0"/>
                    <w:autoSpaceDN w:val="0"/>
                    <w:adjustRightInd w:val="0"/>
                    <w:jc w:val="left"/>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1、本项目所在区域上一年度水环境质量完成目标；</w:t>
                  </w:r>
                </w:p>
                <w:p w14:paraId="613E99B0">
                  <w:pPr>
                    <w:autoSpaceDE w:val="0"/>
                    <w:autoSpaceDN w:val="0"/>
                    <w:adjustRightInd w:val="0"/>
                    <w:jc w:val="left"/>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2、本项目所在区域上一年度环境空气质量年平均浓度达标；</w:t>
                  </w:r>
                </w:p>
                <w:p w14:paraId="2FB22ABC">
                  <w:pPr>
                    <w:autoSpaceDE w:val="0"/>
                    <w:autoSpaceDN w:val="0"/>
                    <w:adjustRightInd w:val="0"/>
                    <w:jc w:val="left"/>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3、本项目在施工期将全面落实扬尘防控措施；</w:t>
                  </w:r>
                </w:p>
                <w:p w14:paraId="1B6F1106">
                  <w:pPr>
                    <w:autoSpaceDE w:val="0"/>
                    <w:autoSpaceDN w:val="0"/>
                    <w:adjustRightInd w:val="0"/>
                    <w:jc w:val="left"/>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4、本项目产生生活垃圾经环卫部门统一收集处置，生活垃圾无害化处理率达到100%；本项目产生生活污水经预处理池处理后排入市政污水管网进入马尔康市城市生活污水处理厂处理后排放，生活污水处理率达到100%。</w:t>
                  </w:r>
                </w:p>
                <w:p w14:paraId="62F8DB12">
                  <w:pPr>
                    <w:autoSpaceDE w:val="0"/>
                    <w:autoSpaceDN w:val="0"/>
                    <w:adjustRightInd w:val="0"/>
                    <w:jc w:val="left"/>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5、本项目为学校实验楼建设项目，为噪声敏感建筑物，建设单位全面执行绿色建筑标准，项目南侧为达萨街三段，不属于交通干线；</w:t>
                  </w:r>
                </w:p>
                <w:p w14:paraId="00742B78">
                  <w:pPr>
                    <w:autoSpaceDE w:val="0"/>
                    <w:autoSpaceDN w:val="0"/>
                    <w:adjustRightInd w:val="0"/>
                    <w:jc w:val="left"/>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6、本项目施工期严格落实不在午、夜间进行产噪装修作业的规定。</w:t>
                  </w:r>
                </w:p>
              </w:tc>
              <w:tc>
                <w:tcPr>
                  <w:tcW w:w="397" w:type="pct"/>
                  <w:tcBorders>
                    <w:tl2br w:val="nil"/>
                    <w:tr2bl w:val="nil"/>
                  </w:tcBorders>
                  <w:shd w:val="clear" w:color="auto" w:fill="auto"/>
                  <w:vAlign w:val="center"/>
                </w:tcPr>
                <w:p w14:paraId="48947C5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符合</w:t>
                  </w:r>
                </w:p>
              </w:tc>
            </w:tr>
            <w:tr w14:paraId="03172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3840407F">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7BF5F0A8">
                  <w:pPr>
                    <w:jc w:val="center"/>
                    <w:rPr>
                      <w:rFonts w:hint="default" w:ascii="Times New Roman" w:hAnsi="Times New Roman" w:eastAsia="宋体" w:cs="Times New Roman"/>
                      <w:color w:val="auto"/>
                      <w:szCs w:val="21"/>
                      <w:highlight w:val="none"/>
                    </w:rPr>
                  </w:pPr>
                </w:p>
              </w:tc>
              <w:tc>
                <w:tcPr>
                  <w:tcW w:w="596" w:type="pct"/>
                  <w:vMerge w:val="restart"/>
                  <w:tcBorders>
                    <w:tl2br w:val="nil"/>
                    <w:tr2bl w:val="nil"/>
                  </w:tcBorders>
                  <w:vAlign w:val="center"/>
                </w:tcPr>
                <w:p w14:paraId="283153E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环境风险管控</w:t>
                  </w:r>
                </w:p>
              </w:tc>
              <w:tc>
                <w:tcPr>
                  <w:tcW w:w="2224" w:type="pct"/>
                  <w:tcBorders>
                    <w:tl2br w:val="nil"/>
                    <w:tr2bl w:val="nil"/>
                  </w:tcBorders>
                  <w:vAlign w:val="center"/>
                </w:tcPr>
                <w:p w14:paraId="43316046">
                  <w:pPr>
                    <w:pStyle w:val="19"/>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严格管控类农用地管控要求：/</w:t>
                  </w:r>
                </w:p>
              </w:tc>
              <w:tc>
                <w:tcPr>
                  <w:tcW w:w="1141" w:type="pct"/>
                  <w:tcBorders>
                    <w:tl2br w:val="nil"/>
                    <w:tr2bl w:val="nil"/>
                  </w:tcBorders>
                  <w:vAlign w:val="center"/>
                </w:tcPr>
                <w:p w14:paraId="0B8E104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397" w:type="pct"/>
                  <w:tcBorders>
                    <w:tl2br w:val="nil"/>
                    <w:tr2bl w:val="nil"/>
                  </w:tcBorders>
                  <w:shd w:val="clear" w:color="auto" w:fill="auto"/>
                  <w:vAlign w:val="center"/>
                </w:tcPr>
                <w:p w14:paraId="36249DDE">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w:t>
                  </w:r>
                </w:p>
              </w:tc>
            </w:tr>
            <w:tr w14:paraId="31CF3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03AA3A0F">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479060A4">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65CF91E1">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5F9FADF4">
                  <w:pPr>
                    <w:pStyle w:val="19"/>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安全利用类农用地管控要求：/</w:t>
                  </w:r>
                </w:p>
              </w:tc>
              <w:tc>
                <w:tcPr>
                  <w:tcW w:w="1141" w:type="pct"/>
                  <w:tcBorders>
                    <w:tl2br w:val="nil"/>
                    <w:tr2bl w:val="nil"/>
                  </w:tcBorders>
                  <w:vAlign w:val="center"/>
                </w:tcPr>
                <w:p w14:paraId="4660ACF1">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397" w:type="pct"/>
                  <w:tcBorders>
                    <w:tl2br w:val="nil"/>
                    <w:tr2bl w:val="nil"/>
                  </w:tcBorders>
                  <w:shd w:val="clear" w:color="auto" w:fill="auto"/>
                  <w:vAlign w:val="center"/>
                </w:tcPr>
                <w:p w14:paraId="7167A97C">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r w14:paraId="68475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3116C6AD">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3D30609B">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750A6F77">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12604B8A">
                  <w:pPr>
                    <w:pStyle w:val="19"/>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污染地块管控要求：/</w:t>
                  </w:r>
                </w:p>
              </w:tc>
              <w:tc>
                <w:tcPr>
                  <w:tcW w:w="1141" w:type="pct"/>
                  <w:tcBorders>
                    <w:tl2br w:val="nil"/>
                    <w:tr2bl w:val="nil"/>
                  </w:tcBorders>
                  <w:vAlign w:val="center"/>
                </w:tcPr>
                <w:p w14:paraId="02DFB92C">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397" w:type="pct"/>
                  <w:tcBorders>
                    <w:tl2br w:val="nil"/>
                    <w:tr2bl w:val="nil"/>
                  </w:tcBorders>
                  <w:shd w:val="clear" w:color="auto" w:fill="auto"/>
                  <w:vAlign w:val="center"/>
                </w:tcPr>
                <w:p w14:paraId="28F17342">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r w14:paraId="6CB96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65DEA31D">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468465FA">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7A93DD45">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292C2777">
                  <w:pPr>
                    <w:pStyle w:val="19"/>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园区环境风险防控要求：/</w:t>
                  </w:r>
                </w:p>
              </w:tc>
              <w:tc>
                <w:tcPr>
                  <w:tcW w:w="1141" w:type="pct"/>
                  <w:tcBorders>
                    <w:tl2br w:val="nil"/>
                    <w:tr2bl w:val="nil"/>
                  </w:tcBorders>
                  <w:vAlign w:val="center"/>
                </w:tcPr>
                <w:p w14:paraId="2AC35A3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397" w:type="pct"/>
                  <w:tcBorders>
                    <w:tl2br w:val="nil"/>
                    <w:tr2bl w:val="nil"/>
                  </w:tcBorders>
                  <w:shd w:val="clear" w:color="auto" w:fill="auto"/>
                  <w:vAlign w:val="center"/>
                </w:tcPr>
                <w:p w14:paraId="76356ADE">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r w14:paraId="578762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09420418">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01570D06">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5A2E249A">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60B44E00">
                  <w:pPr>
                    <w:pStyle w:val="19"/>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企业环境风险防控要求：/</w:t>
                  </w:r>
                </w:p>
              </w:tc>
              <w:tc>
                <w:tcPr>
                  <w:tcW w:w="1141" w:type="pct"/>
                  <w:tcBorders>
                    <w:tl2br w:val="nil"/>
                    <w:tr2bl w:val="nil"/>
                  </w:tcBorders>
                  <w:vAlign w:val="center"/>
                </w:tcPr>
                <w:p w14:paraId="5F94157F">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397" w:type="pct"/>
                  <w:tcBorders>
                    <w:tl2br w:val="nil"/>
                    <w:tr2bl w:val="nil"/>
                  </w:tcBorders>
                  <w:shd w:val="clear" w:color="auto" w:fill="auto"/>
                  <w:vAlign w:val="center"/>
                </w:tcPr>
                <w:p w14:paraId="72D1214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r w14:paraId="3C221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396235CA">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1558E34C">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5CA40186">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112B09CC">
                  <w:pPr>
                    <w:pStyle w:val="19"/>
                    <w:rPr>
                      <w:rFonts w:hint="default" w:ascii="Times New Roman" w:hAnsi="Times New Roman" w:cs="Times New Roman"/>
                      <w:color w:val="auto"/>
                      <w:szCs w:val="21"/>
                      <w:highlight w:val="none"/>
                      <w:lang w:val="en-US" w:eastAsia="zh-CN"/>
                    </w:rPr>
                  </w:pPr>
                  <w:r>
                    <w:rPr>
                      <w:rFonts w:hint="eastAsia" w:ascii="Times New Roman" w:hAnsi="Times New Roman" w:cs="Times New Roman"/>
                      <w:b/>
                      <w:bCs/>
                      <w:color w:val="auto"/>
                      <w:szCs w:val="21"/>
                      <w:highlight w:val="none"/>
                      <w:lang w:val="en-US" w:eastAsia="zh-CN"/>
                    </w:rPr>
                    <w:t>其他环境风险防控要求：</w:t>
                  </w:r>
                  <w:r>
                    <w:rPr>
                      <w:rFonts w:hint="eastAsia" w:ascii="Times New Roman" w:hAnsi="Times New Roman" w:cs="Times New Roman"/>
                      <w:color w:val="auto"/>
                      <w:szCs w:val="21"/>
                      <w:highlight w:val="none"/>
                      <w:lang w:val="en-US" w:eastAsia="zh-CN"/>
                    </w:rPr>
                    <w:t>对拟收回土地使用权的有色金属矿采选、有色金属冶炼等行业企业用地，以及用途拟变更为居住和商业、学校、医疗、养老机构等公共设施的上述企业用地，应按相关要求进行土壤环境状况调查评估，符合相应规划用地土壤环境质量要求的地块，方可进入用地程序。</w:t>
                  </w:r>
                </w:p>
              </w:tc>
              <w:tc>
                <w:tcPr>
                  <w:tcW w:w="1141" w:type="pct"/>
                  <w:tcBorders>
                    <w:tl2br w:val="nil"/>
                    <w:tr2bl w:val="nil"/>
                  </w:tcBorders>
                  <w:vAlign w:val="center"/>
                </w:tcPr>
                <w:p w14:paraId="773613E8">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本项目在马尔康市第二中学原有用地范围内进行实验楼的建设，所在地土壤环境质量满足要求。</w:t>
                  </w:r>
                </w:p>
              </w:tc>
              <w:tc>
                <w:tcPr>
                  <w:tcW w:w="397" w:type="pct"/>
                  <w:tcBorders>
                    <w:tl2br w:val="nil"/>
                    <w:tr2bl w:val="nil"/>
                  </w:tcBorders>
                  <w:shd w:val="clear" w:color="auto" w:fill="auto"/>
                  <w:vAlign w:val="center"/>
                </w:tcPr>
                <w:p w14:paraId="1DCDE931">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符合</w:t>
                  </w:r>
                </w:p>
              </w:tc>
            </w:tr>
            <w:tr w14:paraId="75847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7726D76C">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6279D5A6">
                  <w:pPr>
                    <w:jc w:val="center"/>
                    <w:rPr>
                      <w:rFonts w:hint="default" w:ascii="Times New Roman" w:hAnsi="Times New Roman" w:eastAsia="宋体" w:cs="Times New Roman"/>
                      <w:color w:val="auto"/>
                      <w:szCs w:val="21"/>
                      <w:highlight w:val="none"/>
                    </w:rPr>
                  </w:pPr>
                </w:p>
              </w:tc>
              <w:tc>
                <w:tcPr>
                  <w:tcW w:w="596" w:type="pct"/>
                  <w:vMerge w:val="restart"/>
                  <w:tcBorders>
                    <w:tl2br w:val="nil"/>
                    <w:tr2bl w:val="nil"/>
                  </w:tcBorders>
                  <w:vAlign w:val="center"/>
                </w:tcPr>
                <w:p w14:paraId="40A1FCA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资源开发利用效率</w:t>
                  </w:r>
                </w:p>
              </w:tc>
              <w:tc>
                <w:tcPr>
                  <w:tcW w:w="2224" w:type="pct"/>
                  <w:tcBorders>
                    <w:tl2br w:val="nil"/>
                    <w:tr2bl w:val="nil"/>
                  </w:tcBorders>
                  <w:vAlign w:val="center"/>
                </w:tcPr>
                <w:p w14:paraId="492B5F9A">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水资源利用效率要求：</w:t>
                  </w:r>
                  <w:r>
                    <w:rPr>
                      <w:rFonts w:hint="eastAsia" w:ascii="Times New Roman" w:hAnsi="Times New Roman" w:eastAsia="宋体" w:cs="Times New Roman"/>
                      <w:color w:val="auto"/>
                      <w:szCs w:val="21"/>
                      <w:highlight w:val="none"/>
                      <w:lang w:val="en-US" w:eastAsia="zh-CN"/>
                    </w:rPr>
                    <w:t>2025年全州用水总量不得超过3.4亿立方米。2035年全州用水总量不得超过3.5亿立方米。</w:t>
                  </w:r>
                </w:p>
              </w:tc>
              <w:tc>
                <w:tcPr>
                  <w:tcW w:w="1141" w:type="pct"/>
                  <w:tcBorders>
                    <w:tl2br w:val="nil"/>
                    <w:tr2bl w:val="nil"/>
                  </w:tcBorders>
                  <w:vAlign w:val="center"/>
                </w:tcPr>
                <w:p w14:paraId="3C2B19D6">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本项目用水量较少，年用水量为10.5804m</w:t>
                  </w:r>
                  <w:r>
                    <w:rPr>
                      <w:rFonts w:hint="eastAsia" w:ascii="Times New Roman" w:hAnsi="Times New Roman" w:eastAsia="宋体" w:cs="Times New Roman"/>
                      <w:color w:val="auto"/>
                      <w:kern w:val="0"/>
                      <w:szCs w:val="21"/>
                      <w:highlight w:val="none"/>
                      <w:vertAlign w:val="superscript"/>
                      <w:lang w:val="en-US" w:eastAsia="zh-CN"/>
                    </w:rPr>
                    <w:t>3</w:t>
                  </w:r>
                  <w:r>
                    <w:rPr>
                      <w:rFonts w:hint="eastAsia" w:ascii="Times New Roman" w:hAnsi="Times New Roman" w:eastAsia="宋体" w:cs="Times New Roman"/>
                      <w:color w:val="auto"/>
                      <w:kern w:val="0"/>
                      <w:szCs w:val="21"/>
                      <w:highlight w:val="none"/>
                      <w:vertAlign w:val="baseline"/>
                      <w:lang w:val="en-US" w:eastAsia="zh-CN"/>
                    </w:rPr>
                    <w:t>。</w:t>
                  </w:r>
                </w:p>
              </w:tc>
              <w:tc>
                <w:tcPr>
                  <w:tcW w:w="397" w:type="pct"/>
                  <w:tcBorders>
                    <w:tl2br w:val="nil"/>
                    <w:tr2bl w:val="nil"/>
                  </w:tcBorders>
                  <w:shd w:val="clear" w:color="auto" w:fill="auto"/>
                  <w:vAlign w:val="center"/>
                </w:tcPr>
                <w:p w14:paraId="292D473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2189E0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pct"/>
                  <w:vMerge w:val="continue"/>
                  <w:tcBorders>
                    <w:tl2br w:val="nil"/>
                    <w:tr2bl w:val="nil"/>
                  </w:tcBorders>
                  <w:vAlign w:val="center"/>
                </w:tcPr>
                <w:p w14:paraId="6C99C62B">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517A23D1">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25C02270">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3F247644">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地下水开采要求：</w:t>
                  </w:r>
                  <w:r>
                    <w:rPr>
                      <w:rFonts w:hint="eastAsia" w:ascii="Times New Roman" w:hAnsi="Times New Roman" w:eastAsia="宋体" w:cs="Times New Roman"/>
                      <w:color w:val="auto"/>
                      <w:szCs w:val="21"/>
                      <w:highlight w:val="none"/>
                      <w:lang w:val="en-US" w:eastAsia="zh-CN"/>
                    </w:rPr>
                    <w:t>/</w:t>
                  </w:r>
                </w:p>
              </w:tc>
              <w:tc>
                <w:tcPr>
                  <w:tcW w:w="1141" w:type="pct"/>
                  <w:tcBorders>
                    <w:tl2br w:val="nil"/>
                    <w:tr2bl w:val="nil"/>
                  </w:tcBorders>
                  <w:vAlign w:val="center"/>
                </w:tcPr>
                <w:p w14:paraId="64B4557A">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0FA9D7CB">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r w14:paraId="330D4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3CE5B284">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744D183E">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119CC700">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62DF52E8">
                  <w:pP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能源利用效率要求：</w:t>
                  </w:r>
                  <w:r>
                    <w:rPr>
                      <w:rFonts w:hint="eastAsia" w:ascii="Times New Roman" w:hAnsi="Times New Roman" w:eastAsia="宋体" w:cs="Times New Roman"/>
                      <w:color w:val="auto"/>
                      <w:szCs w:val="21"/>
                      <w:highlight w:val="none"/>
                      <w:lang w:val="en-US" w:eastAsia="zh-CN"/>
                    </w:rPr>
                    <w:t>全面淘汰每小时10蒸吨以下的燃煤锅炉；推进“煤改气”与“煤改电”。地级以上城市建成区禁止新建每小时20蒸吨以下燃煤锅炉；对20蒸吨及以上燃煤锅炉实施脱硫改造，建设高效脱硫设施；</w:t>
                  </w:r>
                </w:p>
                <w:p w14:paraId="6E185401">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到2035年，阿坝州全域能源消耗总量有效控制，能源结构不断优化，全州实现无煤化，优质能源达到100%，可再生能源及清洁能源占能源消费总量逐渐上升，全州SO</w:t>
                  </w:r>
                  <w:r>
                    <w:rPr>
                      <w:rFonts w:hint="eastAsia" w:ascii="Times New Roman" w:hAnsi="Times New Roman" w:eastAsia="宋体" w:cs="Times New Roman"/>
                      <w:color w:val="auto"/>
                      <w:szCs w:val="21"/>
                      <w:highlight w:val="none"/>
                      <w:vertAlign w:val="subscript"/>
                      <w:lang w:val="en-US" w:eastAsia="zh-CN"/>
                    </w:rPr>
                    <w:t>2</w:t>
                  </w:r>
                  <w:r>
                    <w:rPr>
                      <w:rFonts w:hint="eastAsia" w:ascii="Times New Roman" w:hAnsi="Times New Roman" w:eastAsia="宋体" w:cs="Times New Roman"/>
                      <w:color w:val="auto"/>
                      <w:szCs w:val="21"/>
                      <w:highlight w:val="none"/>
                      <w:lang w:val="en-US" w:eastAsia="zh-CN"/>
                    </w:rPr>
                    <w:t>、NOx等主要污染物排放总量持续降低。</w:t>
                  </w:r>
                </w:p>
              </w:tc>
              <w:tc>
                <w:tcPr>
                  <w:tcW w:w="1141" w:type="pct"/>
                  <w:tcBorders>
                    <w:tl2br w:val="nil"/>
                    <w:tr2bl w:val="nil"/>
                  </w:tcBorders>
                  <w:vAlign w:val="center"/>
                </w:tcPr>
                <w:p w14:paraId="61930273">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本项目不使用锅炉。</w:t>
                  </w:r>
                </w:p>
              </w:tc>
              <w:tc>
                <w:tcPr>
                  <w:tcW w:w="397" w:type="pct"/>
                  <w:tcBorders>
                    <w:tl2br w:val="nil"/>
                    <w:tr2bl w:val="nil"/>
                  </w:tcBorders>
                  <w:shd w:val="clear" w:color="auto" w:fill="auto"/>
                  <w:vAlign w:val="center"/>
                </w:tcPr>
                <w:p w14:paraId="0CBE3975">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14:paraId="3698A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79D6E2E5">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597BCBE5">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3A9E1421">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42088D5C">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其他资源利用效率要求：</w:t>
                  </w:r>
                  <w:r>
                    <w:rPr>
                      <w:rFonts w:hint="eastAsia" w:ascii="Times New Roman" w:hAnsi="Times New Roman" w:eastAsia="宋体" w:cs="Times New Roman"/>
                      <w:color w:val="auto"/>
                      <w:szCs w:val="21"/>
                      <w:highlight w:val="none"/>
                      <w:lang w:val="en-US" w:eastAsia="zh-CN"/>
                    </w:rPr>
                    <w:t>/</w:t>
                  </w:r>
                </w:p>
              </w:tc>
              <w:tc>
                <w:tcPr>
                  <w:tcW w:w="1141" w:type="pct"/>
                  <w:tcBorders>
                    <w:tl2br w:val="nil"/>
                    <w:tr2bl w:val="nil"/>
                  </w:tcBorders>
                  <w:vAlign w:val="center"/>
                </w:tcPr>
                <w:p w14:paraId="7F82F503">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593829AF">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14:paraId="1D0AA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0E4AC75E">
                  <w:pPr>
                    <w:jc w:val="center"/>
                    <w:rPr>
                      <w:rFonts w:hint="default" w:ascii="Times New Roman" w:hAnsi="Times New Roman" w:eastAsia="宋体" w:cs="Times New Roman"/>
                      <w:color w:val="auto"/>
                      <w:szCs w:val="21"/>
                      <w:highlight w:val="none"/>
                    </w:rPr>
                  </w:pPr>
                </w:p>
              </w:tc>
              <w:tc>
                <w:tcPr>
                  <w:tcW w:w="254" w:type="pct"/>
                  <w:vMerge w:val="restart"/>
                  <w:tcBorders>
                    <w:tl2br w:val="nil"/>
                    <w:tr2bl w:val="nil"/>
                  </w:tcBorders>
                  <w:vAlign w:val="center"/>
                </w:tcPr>
                <w:p w14:paraId="5F483383">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区县普适性清单</w:t>
                  </w:r>
                </w:p>
              </w:tc>
              <w:tc>
                <w:tcPr>
                  <w:tcW w:w="596" w:type="pct"/>
                  <w:vMerge w:val="restart"/>
                  <w:tcBorders>
                    <w:tl2br w:val="nil"/>
                    <w:tr2bl w:val="nil"/>
                  </w:tcBorders>
                  <w:vAlign w:val="center"/>
                </w:tcPr>
                <w:p w14:paraId="0C7002E4">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空间布局约束</w:t>
                  </w:r>
                </w:p>
              </w:tc>
              <w:tc>
                <w:tcPr>
                  <w:tcW w:w="2224" w:type="pct"/>
                  <w:tcBorders>
                    <w:tl2br w:val="nil"/>
                    <w:tr2bl w:val="nil"/>
                  </w:tcBorders>
                  <w:vAlign w:val="center"/>
                </w:tcPr>
                <w:p w14:paraId="0DE5389F">
                  <w:pP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禁止开发建设活动的要求：</w:t>
                  </w:r>
                </w:p>
                <w:p w14:paraId="641BFFDA">
                  <w:pP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禁止在长江干流岸线三公里范围内和重要支流岸线一公里范围内新建、改建、扩建尾矿库；但是以提升安全、生态环境保护水平为目的的改建除外。 </w:t>
                  </w:r>
                </w:p>
                <w:p w14:paraId="1D1FCDFE">
                  <w:pP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-禁止在长江流域河湖管理范围内倾倒、填埋、堆放、弃置、处理固体废物。 </w:t>
                  </w:r>
                </w:p>
                <w:p w14:paraId="3E0B625E">
                  <w:pP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-禁止在法律法规规定的禁采区内新建矿山；禁止土法采、选、冶严重污染环境的矿产资源。 </w:t>
                  </w:r>
                </w:p>
                <w:p w14:paraId="2E4F313B">
                  <w:pP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严格控制新建露天矿山建设项目，严格贯彻国发〔2018〕22号文件有关要求，重点区域原则上禁止新建露天矿山建设项目，国发〔2018〕22号文件下发前环境影响评价文件已经批复的重点区域露天矿山，确需建设的，在严格落实生态环境保护、矿产资源规划和绿色矿山建设行业标准等要求前提下可继续批准建设。其他区域新建露天矿山建设项目，也应严格执行生态环境保护、矿产资源规划和绿色矿山建设行业标准等要求。</w:t>
                  </w:r>
                </w:p>
              </w:tc>
              <w:tc>
                <w:tcPr>
                  <w:tcW w:w="1141" w:type="pct"/>
                  <w:tcBorders>
                    <w:tl2br w:val="nil"/>
                    <w:tr2bl w:val="nil"/>
                  </w:tcBorders>
                  <w:vAlign w:val="center"/>
                </w:tcPr>
                <w:p w14:paraId="500355F2">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本项目不涉及</w:t>
                  </w:r>
                </w:p>
              </w:tc>
              <w:tc>
                <w:tcPr>
                  <w:tcW w:w="397" w:type="pct"/>
                  <w:tcBorders>
                    <w:tl2br w:val="nil"/>
                    <w:tr2bl w:val="nil"/>
                  </w:tcBorders>
                  <w:shd w:val="clear" w:color="auto" w:fill="auto"/>
                  <w:vAlign w:val="center"/>
                </w:tcPr>
                <w:p w14:paraId="31FB62B5">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符合</w:t>
                  </w:r>
                </w:p>
              </w:tc>
            </w:tr>
            <w:tr w14:paraId="59C4A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65CB4B77">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4004FF49">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04CC62E6">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29B6B87B">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限制开发建设活动的要求：对四川省主体功能区划中的限制开发区域（重点生态功能区），严格保护具有水源涵养功能的自然植被，禁止过度放牧、无序采矿、毁林开荒，限制陡坡垦殖和超载过牧，禁止对野生动植物滥捕滥采。</w:t>
                  </w:r>
                </w:p>
              </w:tc>
              <w:tc>
                <w:tcPr>
                  <w:tcW w:w="1141" w:type="pct"/>
                  <w:tcBorders>
                    <w:tl2br w:val="nil"/>
                    <w:tr2bl w:val="nil"/>
                  </w:tcBorders>
                  <w:vAlign w:val="center"/>
                </w:tcPr>
                <w:p w14:paraId="0F225B18">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本项目不涉及</w:t>
                  </w:r>
                </w:p>
              </w:tc>
              <w:tc>
                <w:tcPr>
                  <w:tcW w:w="397" w:type="pct"/>
                  <w:tcBorders>
                    <w:tl2br w:val="nil"/>
                    <w:tr2bl w:val="nil"/>
                  </w:tcBorders>
                  <w:shd w:val="clear" w:color="auto" w:fill="auto"/>
                  <w:vAlign w:val="center"/>
                </w:tcPr>
                <w:p w14:paraId="23C975B1">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符合</w:t>
                  </w:r>
                </w:p>
              </w:tc>
            </w:tr>
            <w:tr w14:paraId="6E2EC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6C848ABA">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4D6D8E5C">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32A69147">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16E36652">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允许开发建设活动的要求：/</w:t>
                  </w:r>
                </w:p>
              </w:tc>
              <w:tc>
                <w:tcPr>
                  <w:tcW w:w="1141" w:type="pct"/>
                  <w:tcBorders>
                    <w:tl2br w:val="nil"/>
                    <w:tr2bl w:val="nil"/>
                  </w:tcBorders>
                  <w:vAlign w:val="center"/>
                </w:tcPr>
                <w:p w14:paraId="26504712">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57890FFD">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1C322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76E6E597">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6F3F8F12">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51D84451">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1D96E58B">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不符合空间布局约束要求：/</w:t>
                  </w:r>
                </w:p>
              </w:tc>
              <w:tc>
                <w:tcPr>
                  <w:tcW w:w="1141" w:type="pct"/>
                  <w:tcBorders>
                    <w:tl2br w:val="nil"/>
                    <w:tr2bl w:val="nil"/>
                  </w:tcBorders>
                  <w:vAlign w:val="center"/>
                </w:tcPr>
                <w:p w14:paraId="14E04D8F">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049F1A89">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53C9B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03FDB5DE">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6E9CD423">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25A219E9">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7D198E09">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其他空间布局约束要求：/</w:t>
                  </w:r>
                </w:p>
              </w:tc>
              <w:tc>
                <w:tcPr>
                  <w:tcW w:w="1141" w:type="pct"/>
                  <w:tcBorders>
                    <w:tl2br w:val="nil"/>
                    <w:tr2bl w:val="nil"/>
                  </w:tcBorders>
                  <w:vAlign w:val="center"/>
                </w:tcPr>
                <w:p w14:paraId="0CC5D8F5">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53D6D1A9">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7B86B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42CF1542">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572D111D">
                  <w:pPr>
                    <w:jc w:val="center"/>
                    <w:rPr>
                      <w:rFonts w:hint="default" w:ascii="Times New Roman" w:hAnsi="Times New Roman" w:eastAsia="宋体" w:cs="Times New Roman"/>
                      <w:color w:val="auto"/>
                      <w:szCs w:val="21"/>
                      <w:highlight w:val="none"/>
                    </w:rPr>
                  </w:pPr>
                </w:p>
              </w:tc>
              <w:tc>
                <w:tcPr>
                  <w:tcW w:w="596" w:type="pct"/>
                  <w:vMerge w:val="restart"/>
                  <w:tcBorders>
                    <w:tl2br w:val="nil"/>
                    <w:tr2bl w:val="nil"/>
                  </w:tcBorders>
                  <w:vAlign w:val="center"/>
                </w:tcPr>
                <w:p w14:paraId="75B5856D">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污染排放管控</w:t>
                  </w:r>
                </w:p>
              </w:tc>
              <w:tc>
                <w:tcPr>
                  <w:tcW w:w="2224" w:type="pct"/>
                  <w:tcBorders>
                    <w:tl2br w:val="nil"/>
                    <w:tr2bl w:val="nil"/>
                  </w:tcBorders>
                  <w:vAlign w:val="center"/>
                </w:tcPr>
                <w:p w14:paraId="213D0F4A">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现有源提标升级改造：/</w:t>
                  </w:r>
                </w:p>
              </w:tc>
              <w:tc>
                <w:tcPr>
                  <w:tcW w:w="1141" w:type="pct"/>
                  <w:tcBorders>
                    <w:tl2br w:val="nil"/>
                    <w:tr2bl w:val="nil"/>
                  </w:tcBorders>
                  <w:vAlign w:val="center"/>
                </w:tcPr>
                <w:p w14:paraId="426FE22D">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220C689D">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36C1A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56FD3F87">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630F0073">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6F53CF5B">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1B8DD3C4">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新增源等量或倍量替代：/</w:t>
                  </w:r>
                </w:p>
              </w:tc>
              <w:tc>
                <w:tcPr>
                  <w:tcW w:w="1141" w:type="pct"/>
                  <w:tcBorders>
                    <w:tl2br w:val="nil"/>
                    <w:tr2bl w:val="nil"/>
                  </w:tcBorders>
                  <w:vAlign w:val="center"/>
                </w:tcPr>
                <w:p w14:paraId="4AAA0656">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4E8062C7">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43304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23C0F104">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17B87F1D">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140D48A6">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170C1CE3">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新增源排放标准限值：/</w:t>
                  </w:r>
                </w:p>
              </w:tc>
              <w:tc>
                <w:tcPr>
                  <w:tcW w:w="1141" w:type="pct"/>
                  <w:tcBorders>
                    <w:tl2br w:val="nil"/>
                    <w:tr2bl w:val="nil"/>
                  </w:tcBorders>
                  <w:vAlign w:val="center"/>
                </w:tcPr>
                <w:p w14:paraId="5B3C214C">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676B40FC">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64DAF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4FCD2398">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4811DFA9">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25DFB428">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312396DD">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污染物排放绩效水平准入要求：/</w:t>
                  </w:r>
                </w:p>
              </w:tc>
              <w:tc>
                <w:tcPr>
                  <w:tcW w:w="1141" w:type="pct"/>
                  <w:tcBorders>
                    <w:tl2br w:val="nil"/>
                    <w:tr2bl w:val="nil"/>
                  </w:tcBorders>
                  <w:vAlign w:val="center"/>
                </w:tcPr>
                <w:p w14:paraId="4EE89A44">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4C0D72BF">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084B6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194842B4">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79E0F1BB">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2E2CD631">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793C27FA">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其他污染物排放管控要求：/</w:t>
                  </w:r>
                </w:p>
              </w:tc>
              <w:tc>
                <w:tcPr>
                  <w:tcW w:w="1141" w:type="pct"/>
                  <w:tcBorders>
                    <w:tl2br w:val="nil"/>
                    <w:tr2bl w:val="nil"/>
                  </w:tcBorders>
                  <w:vAlign w:val="center"/>
                </w:tcPr>
                <w:p w14:paraId="26468D44">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15C5FE0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48C85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5F33FFC0">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3CD70C1A">
                  <w:pPr>
                    <w:jc w:val="center"/>
                    <w:rPr>
                      <w:rFonts w:hint="default" w:ascii="Times New Roman" w:hAnsi="Times New Roman" w:eastAsia="宋体" w:cs="Times New Roman"/>
                      <w:color w:val="auto"/>
                      <w:szCs w:val="21"/>
                      <w:highlight w:val="none"/>
                    </w:rPr>
                  </w:pPr>
                </w:p>
              </w:tc>
              <w:tc>
                <w:tcPr>
                  <w:tcW w:w="596" w:type="pct"/>
                  <w:vMerge w:val="restart"/>
                  <w:tcBorders>
                    <w:tl2br w:val="nil"/>
                    <w:tr2bl w:val="nil"/>
                  </w:tcBorders>
                  <w:vAlign w:val="center"/>
                </w:tcPr>
                <w:p w14:paraId="554C02B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环境风险防控</w:t>
                  </w:r>
                </w:p>
              </w:tc>
              <w:tc>
                <w:tcPr>
                  <w:tcW w:w="2224" w:type="pct"/>
                  <w:tcBorders>
                    <w:tl2br w:val="nil"/>
                    <w:tr2bl w:val="nil"/>
                  </w:tcBorders>
                  <w:vAlign w:val="center"/>
                </w:tcPr>
                <w:p w14:paraId="1197AB8C">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严格管控类农用地管控要求：/</w:t>
                  </w:r>
                </w:p>
              </w:tc>
              <w:tc>
                <w:tcPr>
                  <w:tcW w:w="1141" w:type="pct"/>
                  <w:tcBorders>
                    <w:tl2br w:val="nil"/>
                    <w:tr2bl w:val="nil"/>
                  </w:tcBorders>
                  <w:vAlign w:val="center"/>
                </w:tcPr>
                <w:p w14:paraId="6C5A6348">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1F60FD6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0E9F8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426DE067">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1E4A5CA2">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4265F756">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01E53165">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安全利用类农用地管控要求：/</w:t>
                  </w:r>
                </w:p>
              </w:tc>
              <w:tc>
                <w:tcPr>
                  <w:tcW w:w="1141" w:type="pct"/>
                  <w:tcBorders>
                    <w:tl2br w:val="nil"/>
                    <w:tr2bl w:val="nil"/>
                  </w:tcBorders>
                  <w:vAlign w:val="center"/>
                </w:tcPr>
                <w:p w14:paraId="4CE60454">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11AECE9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6E605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3FDEA267">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317A6708">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407B58C6">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1B4593C9">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污染地块管控要求：/</w:t>
                  </w:r>
                </w:p>
              </w:tc>
              <w:tc>
                <w:tcPr>
                  <w:tcW w:w="1141" w:type="pct"/>
                  <w:tcBorders>
                    <w:tl2br w:val="nil"/>
                    <w:tr2bl w:val="nil"/>
                  </w:tcBorders>
                  <w:vAlign w:val="center"/>
                </w:tcPr>
                <w:p w14:paraId="186F3A08">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0ECF848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03823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3B9BA402">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5C81C629">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4EEA50C2">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11D2D877">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园区环境风险防控要求：/</w:t>
                  </w:r>
                </w:p>
              </w:tc>
              <w:tc>
                <w:tcPr>
                  <w:tcW w:w="1141" w:type="pct"/>
                  <w:tcBorders>
                    <w:tl2br w:val="nil"/>
                    <w:tr2bl w:val="nil"/>
                  </w:tcBorders>
                  <w:vAlign w:val="center"/>
                </w:tcPr>
                <w:p w14:paraId="41201491">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74EBADD9">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2BB09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594633C4">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61C72C94">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1BF98344">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0AF4BA3B">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企业环境风险防控要求：/</w:t>
                  </w:r>
                </w:p>
              </w:tc>
              <w:tc>
                <w:tcPr>
                  <w:tcW w:w="1141" w:type="pct"/>
                  <w:tcBorders>
                    <w:tl2br w:val="nil"/>
                    <w:tr2bl w:val="nil"/>
                  </w:tcBorders>
                  <w:vAlign w:val="center"/>
                </w:tcPr>
                <w:p w14:paraId="59935C9C">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0925698A">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3DC57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55499AF0">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4BA76A57">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23C23E8C">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7C49B936">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其他环境风险防控要求：/</w:t>
                  </w:r>
                </w:p>
              </w:tc>
              <w:tc>
                <w:tcPr>
                  <w:tcW w:w="1141" w:type="pct"/>
                  <w:tcBorders>
                    <w:tl2br w:val="nil"/>
                    <w:tr2bl w:val="nil"/>
                  </w:tcBorders>
                  <w:vAlign w:val="center"/>
                </w:tcPr>
                <w:p w14:paraId="5318C422">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2C86653A">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0613F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18285255">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5F5528EC">
                  <w:pPr>
                    <w:jc w:val="center"/>
                    <w:rPr>
                      <w:rFonts w:hint="default" w:ascii="Times New Roman" w:hAnsi="Times New Roman" w:eastAsia="宋体" w:cs="Times New Roman"/>
                      <w:color w:val="auto"/>
                      <w:szCs w:val="21"/>
                      <w:highlight w:val="none"/>
                    </w:rPr>
                  </w:pPr>
                </w:p>
              </w:tc>
              <w:tc>
                <w:tcPr>
                  <w:tcW w:w="596" w:type="pct"/>
                  <w:vMerge w:val="restart"/>
                  <w:tcBorders>
                    <w:tl2br w:val="nil"/>
                    <w:tr2bl w:val="nil"/>
                  </w:tcBorders>
                  <w:vAlign w:val="center"/>
                </w:tcPr>
                <w:p w14:paraId="205A4DD8">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资源开发效率要求</w:t>
                  </w:r>
                </w:p>
              </w:tc>
              <w:tc>
                <w:tcPr>
                  <w:tcW w:w="2224" w:type="pct"/>
                  <w:tcBorders>
                    <w:tl2br w:val="nil"/>
                    <w:tr2bl w:val="nil"/>
                  </w:tcBorders>
                  <w:vAlign w:val="center"/>
                </w:tcPr>
                <w:p w14:paraId="16817405">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水资源利用效率要求：/</w:t>
                  </w:r>
                </w:p>
              </w:tc>
              <w:tc>
                <w:tcPr>
                  <w:tcW w:w="1141" w:type="pct"/>
                  <w:tcBorders>
                    <w:tl2br w:val="nil"/>
                    <w:tr2bl w:val="nil"/>
                  </w:tcBorders>
                  <w:vAlign w:val="center"/>
                </w:tcPr>
                <w:p w14:paraId="6CD556CD">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70B3DD4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498FC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2C1AADBE">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55944FF8">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30EE0A1C">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6A6DD5D8">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地下水开采要求：/</w:t>
                  </w:r>
                </w:p>
              </w:tc>
              <w:tc>
                <w:tcPr>
                  <w:tcW w:w="1141" w:type="pct"/>
                  <w:tcBorders>
                    <w:tl2br w:val="nil"/>
                    <w:tr2bl w:val="nil"/>
                  </w:tcBorders>
                  <w:vAlign w:val="center"/>
                </w:tcPr>
                <w:p w14:paraId="13D956DB">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33B2DBB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43BC82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288FB7F4">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1FEAF23D">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449E13F8">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49934682">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能源利用效率要求：/</w:t>
                  </w:r>
                </w:p>
              </w:tc>
              <w:tc>
                <w:tcPr>
                  <w:tcW w:w="1141" w:type="pct"/>
                  <w:tcBorders>
                    <w:tl2br w:val="nil"/>
                    <w:tr2bl w:val="nil"/>
                  </w:tcBorders>
                  <w:vAlign w:val="center"/>
                </w:tcPr>
                <w:p w14:paraId="26A8F23C">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38CDF8B3">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70725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5FE84EE1">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223A6A57">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04235C84">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19F8D598">
                  <w:pP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其他资源利用效率要求：/</w:t>
                  </w:r>
                </w:p>
              </w:tc>
              <w:tc>
                <w:tcPr>
                  <w:tcW w:w="1141" w:type="pct"/>
                  <w:tcBorders>
                    <w:tl2br w:val="nil"/>
                    <w:tr2bl w:val="nil"/>
                  </w:tcBorders>
                  <w:vAlign w:val="center"/>
                </w:tcPr>
                <w:p w14:paraId="74481B09">
                  <w:pPr>
                    <w:numPr>
                      <w:ilvl w:val="0"/>
                      <w:numId w:val="0"/>
                    </w:numPr>
                    <w:autoSpaceDE w:val="0"/>
                    <w:autoSpaceDN w:val="0"/>
                    <w:adjustRightIn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10B1D2A0">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7C53F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385" w:type="pct"/>
                  <w:vMerge w:val="continue"/>
                  <w:tcBorders>
                    <w:tl2br w:val="nil"/>
                    <w:tr2bl w:val="nil"/>
                  </w:tcBorders>
                  <w:vAlign w:val="center"/>
                </w:tcPr>
                <w:p w14:paraId="5B3ABD4F">
                  <w:pPr>
                    <w:jc w:val="center"/>
                    <w:rPr>
                      <w:rFonts w:hint="default" w:ascii="Times New Roman" w:hAnsi="Times New Roman" w:eastAsia="宋体" w:cs="Times New Roman"/>
                      <w:color w:val="auto"/>
                      <w:szCs w:val="21"/>
                      <w:highlight w:val="none"/>
                    </w:rPr>
                  </w:pPr>
                </w:p>
              </w:tc>
              <w:tc>
                <w:tcPr>
                  <w:tcW w:w="254" w:type="pct"/>
                  <w:vMerge w:val="restart"/>
                  <w:tcBorders>
                    <w:tl2br w:val="nil"/>
                    <w:tr2bl w:val="nil"/>
                  </w:tcBorders>
                  <w:vAlign w:val="center"/>
                </w:tcPr>
                <w:p w14:paraId="394083C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单元级清单管控要求</w:t>
                  </w:r>
                </w:p>
              </w:tc>
              <w:tc>
                <w:tcPr>
                  <w:tcW w:w="596" w:type="pct"/>
                  <w:vMerge w:val="restart"/>
                  <w:tcBorders>
                    <w:tl2br w:val="nil"/>
                    <w:tr2bl w:val="nil"/>
                  </w:tcBorders>
                  <w:vAlign w:val="center"/>
                </w:tcPr>
                <w:p w14:paraId="51B4938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空间布局约束</w:t>
                  </w:r>
                </w:p>
              </w:tc>
              <w:tc>
                <w:tcPr>
                  <w:tcW w:w="2224" w:type="pct"/>
                  <w:tcBorders>
                    <w:tl2br w:val="nil"/>
                    <w:tr2bl w:val="nil"/>
                  </w:tcBorders>
                  <w:vAlign w:val="center"/>
                </w:tcPr>
                <w:p w14:paraId="4C6DF9DD">
                  <w:pP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禁止开发建设活动的要求：</w:t>
                  </w:r>
                </w:p>
                <w:p w14:paraId="7EAB3F5D">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禁止在长江干流岸线三公里范围内和重要支流岸线一公里范围内新建、改建、扩建尾矿库；但是以提升安全、生态环境保护水平为目的的改建除外。-禁止在长江流域河湖管理范围内倾倒、填埋、堆放、弃置、处理固体废物。</w:t>
                  </w:r>
                </w:p>
                <w:p w14:paraId="6B9AA534">
                  <w:pP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 xml:space="preserve">区内新建矿山；禁止土法采、选、冶严重污染环境的矿产资源。 </w:t>
                  </w:r>
                </w:p>
                <w:p w14:paraId="5A81D0F7">
                  <w:pP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严格控制新建露天矿山建设项目，严格贯彻国发〔2018〕22号文件有关要求，重点区域原则上禁止新建露天矿山建设项目，国发〔2018〕22号文件下发前环境影响评价文件已经批复的重点区域露天矿山，确需建设的，在严格落实生态环境保护、矿产资源规划和绿色矿山建设行业标准等要求前提下可继续批准建设。其他区域新建露天矿山建设项目，也应严格执行生态环境保护、矿产资源规划和绿色矿山建设行业标准等要求。</w:t>
                  </w:r>
                </w:p>
              </w:tc>
              <w:tc>
                <w:tcPr>
                  <w:tcW w:w="1141" w:type="pct"/>
                  <w:tcBorders>
                    <w:tl2br w:val="nil"/>
                    <w:tr2bl w:val="nil"/>
                  </w:tcBorders>
                  <w:vAlign w:val="center"/>
                </w:tcPr>
                <w:p w14:paraId="396861DA">
                  <w:pPr>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本项目不涉及</w:t>
                  </w:r>
                </w:p>
              </w:tc>
              <w:tc>
                <w:tcPr>
                  <w:tcW w:w="397" w:type="pct"/>
                  <w:tcBorders>
                    <w:tl2br w:val="nil"/>
                    <w:tr2bl w:val="nil"/>
                  </w:tcBorders>
                  <w:shd w:val="clear" w:color="auto" w:fill="auto"/>
                  <w:vAlign w:val="center"/>
                </w:tcPr>
                <w:p w14:paraId="27A2C0A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val="en-US" w:eastAsia="zh-CN"/>
                    </w:rPr>
                    <w:t>符合</w:t>
                  </w:r>
                </w:p>
              </w:tc>
            </w:tr>
            <w:tr w14:paraId="0AB151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385" w:type="pct"/>
                  <w:vMerge w:val="continue"/>
                  <w:tcBorders>
                    <w:tl2br w:val="nil"/>
                    <w:tr2bl w:val="nil"/>
                  </w:tcBorders>
                  <w:vAlign w:val="center"/>
                </w:tcPr>
                <w:p w14:paraId="1B366446">
                  <w:pPr>
                    <w:jc w:val="center"/>
                    <w:rPr>
                      <w:rFonts w:hint="default" w:ascii="Times New Roman" w:hAnsi="Times New Roman" w:eastAsia="宋体" w:cs="Times New Roman"/>
                      <w:color w:val="auto"/>
                    </w:rPr>
                  </w:pPr>
                </w:p>
              </w:tc>
              <w:tc>
                <w:tcPr>
                  <w:tcW w:w="254" w:type="pct"/>
                  <w:vMerge w:val="continue"/>
                  <w:tcBorders>
                    <w:tl2br w:val="nil"/>
                    <w:tr2bl w:val="nil"/>
                  </w:tcBorders>
                  <w:vAlign w:val="center"/>
                </w:tcPr>
                <w:p w14:paraId="46542E78">
                  <w:pPr>
                    <w:jc w:val="center"/>
                    <w:rPr>
                      <w:rFonts w:hint="default" w:ascii="Times New Roman" w:hAnsi="Times New Roman" w:eastAsia="宋体" w:cs="Times New Roman"/>
                      <w:color w:val="auto"/>
                    </w:rPr>
                  </w:pPr>
                </w:p>
              </w:tc>
              <w:tc>
                <w:tcPr>
                  <w:tcW w:w="596" w:type="pct"/>
                  <w:vMerge w:val="continue"/>
                  <w:tcBorders>
                    <w:tl2br w:val="nil"/>
                    <w:tr2bl w:val="nil"/>
                  </w:tcBorders>
                  <w:vAlign w:val="center"/>
                </w:tcPr>
                <w:p w14:paraId="77E73AAE">
                  <w:pPr>
                    <w:jc w:val="center"/>
                    <w:rPr>
                      <w:rFonts w:hint="default" w:ascii="Times New Roman" w:hAnsi="Times New Roman" w:eastAsia="宋体" w:cs="Times New Roman"/>
                      <w:color w:val="auto"/>
                    </w:rPr>
                  </w:pPr>
                </w:p>
              </w:tc>
              <w:tc>
                <w:tcPr>
                  <w:tcW w:w="2224" w:type="pct"/>
                  <w:tcBorders>
                    <w:tl2br w:val="nil"/>
                    <w:tr2bl w:val="nil"/>
                  </w:tcBorders>
                  <w:vAlign w:val="center"/>
                </w:tcPr>
                <w:p w14:paraId="0CA0D67D">
                  <w:pP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限制开发建设活动的要求：</w:t>
                  </w:r>
                </w:p>
                <w:p w14:paraId="66EA33B0">
                  <w:pP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对四川省主体功能区划中的限制开发区域（重点生态功能区），严格保护具有水源涵养功能的自然植被，禁止过度放牧、无序采矿、毁林开荒，限制陡坡垦殖和超载过牧，禁止对野生动植物滥捕滥采。</w:t>
                  </w:r>
                </w:p>
              </w:tc>
              <w:tc>
                <w:tcPr>
                  <w:tcW w:w="1141" w:type="pct"/>
                  <w:tcBorders>
                    <w:tl2br w:val="nil"/>
                    <w:tr2bl w:val="nil"/>
                  </w:tcBorders>
                  <w:vAlign w:val="center"/>
                </w:tcPr>
                <w:p w14:paraId="10CCBC11">
                  <w:pPr>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本项目不涉及</w:t>
                  </w:r>
                </w:p>
              </w:tc>
              <w:tc>
                <w:tcPr>
                  <w:tcW w:w="397" w:type="pct"/>
                  <w:tcBorders>
                    <w:tl2br w:val="nil"/>
                    <w:tr2bl w:val="nil"/>
                  </w:tcBorders>
                  <w:shd w:val="clear" w:color="auto" w:fill="auto"/>
                  <w:vAlign w:val="center"/>
                </w:tcPr>
                <w:p w14:paraId="6C73792F">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符合</w:t>
                  </w:r>
                </w:p>
              </w:tc>
            </w:tr>
            <w:tr w14:paraId="50571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85" w:type="pct"/>
                  <w:vMerge w:val="continue"/>
                  <w:tcBorders>
                    <w:tl2br w:val="nil"/>
                    <w:tr2bl w:val="nil"/>
                  </w:tcBorders>
                  <w:vAlign w:val="center"/>
                </w:tcPr>
                <w:p w14:paraId="0C34EA06">
                  <w:pPr>
                    <w:jc w:val="center"/>
                    <w:rPr>
                      <w:rFonts w:hint="default" w:ascii="Times New Roman" w:hAnsi="Times New Roman" w:eastAsia="宋体" w:cs="Times New Roman"/>
                      <w:color w:val="auto"/>
                      <w:kern w:val="0"/>
                      <w:szCs w:val="21"/>
                      <w:highlight w:val="none"/>
                    </w:rPr>
                  </w:pPr>
                </w:p>
              </w:tc>
              <w:tc>
                <w:tcPr>
                  <w:tcW w:w="254" w:type="pct"/>
                  <w:vMerge w:val="continue"/>
                  <w:tcBorders>
                    <w:tl2br w:val="nil"/>
                    <w:tr2bl w:val="nil"/>
                  </w:tcBorders>
                  <w:vAlign w:val="center"/>
                </w:tcPr>
                <w:p w14:paraId="6B84605B">
                  <w:pPr>
                    <w:jc w:val="center"/>
                    <w:rPr>
                      <w:rFonts w:hint="default" w:ascii="Times New Roman" w:hAnsi="Times New Roman" w:eastAsia="宋体" w:cs="Times New Roman"/>
                      <w:color w:val="auto"/>
                      <w:kern w:val="0"/>
                      <w:szCs w:val="21"/>
                      <w:highlight w:val="none"/>
                    </w:rPr>
                  </w:pPr>
                </w:p>
              </w:tc>
              <w:tc>
                <w:tcPr>
                  <w:tcW w:w="596" w:type="pct"/>
                  <w:vMerge w:val="continue"/>
                  <w:tcBorders>
                    <w:tl2br w:val="nil"/>
                    <w:tr2bl w:val="nil"/>
                  </w:tcBorders>
                  <w:vAlign w:val="center"/>
                </w:tcPr>
                <w:p w14:paraId="377BA111">
                  <w:pPr>
                    <w:jc w:val="center"/>
                    <w:rPr>
                      <w:rFonts w:hint="default" w:ascii="Times New Roman" w:hAnsi="Times New Roman" w:eastAsia="宋体" w:cs="Times New Roman"/>
                      <w:color w:val="auto"/>
                      <w:kern w:val="0"/>
                      <w:szCs w:val="21"/>
                      <w:highlight w:val="none"/>
                    </w:rPr>
                  </w:pPr>
                </w:p>
              </w:tc>
              <w:tc>
                <w:tcPr>
                  <w:tcW w:w="2224" w:type="pct"/>
                  <w:tcBorders>
                    <w:tl2br w:val="nil"/>
                    <w:tr2bl w:val="nil"/>
                  </w:tcBorders>
                  <w:vAlign w:val="center"/>
                </w:tcPr>
                <w:p w14:paraId="7AA7CB69">
                  <w:pPr>
                    <w:jc w:val="both"/>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b/>
                      <w:color w:val="auto"/>
                      <w:szCs w:val="21"/>
                      <w:highlight w:val="none"/>
                      <w:lang w:val="en-US" w:eastAsia="zh-CN"/>
                    </w:rPr>
                    <w:t>允许开发建设活动的要求</w:t>
                  </w:r>
                  <w:r>
                    <w:rPr>
                      <w:rFonts w:hint="default" w:ascii="Times New Roman" w:hAnsi="Times New Roman" w:eastAsia="宋体" w:cs="Times New Roman"/>
                      <w:b/>
                      <w:color w:val="auto"/>
                      <w:szCs w:val="21"/>
                      <w:highlight w:val="none"/>
                    </w:rPr>
                    <w:t>：</w:t>
                  </w:r>
                  <w:r>
                    <w:rPr>
                      <w:rStyle w:val="42"/>
                      <w:rFonts w:hint="eastAsia" w:eastAsia="宋体" w:cs="Times New Roman"/>
                      <w:b w:val="0"/>
                      <w:bCs w:val="0"/>
                      <w:color w:val="auto"/>
                      <w:kern w:val="2"/>
                      <w:sz w:val="21"/>
                      <w:szCs w:val="21"/>
                      <w:lang w:val="en-US" w:eastAsia="zh-CN" w:bidi="ar-SA"/>
                    </w:rPr>
                    <w:t>/</w:t>
                  </w:r>
                </w:p>
              </w:tc>
              <w:tc>
                <w:tcPr>
                  <w:tcW w:w="1141" w:type="pct"/>
                  <w:tcBorders>
                    <w:tl2br w:val="nil"/>
                    <w:tr2bl w:val="nil"/>
                  </w:tcBorders>
                  <w:vAlign w:val="center"/>
                </w:tcPr>
                <w:p w14:paraId="16369754">
                  <w:pPr>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1FBC3B6C">
                  <w:pPr>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w:t>
                  </w:r>
                </w:p>
              </w:tc>
            </w:tr>
            <w:tr w14:paraId="62CEF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85" w:type="pct"/>
                  <w:vMerge w:val="continue"/>
                  <w:tcBorders>
                    <w:tl2br w:val="nil"/>
                    <w:tr2bl w:val="nil"/>
                  </w:tcBorders>
                  <w:vAlign w:val="center"/>
                </w:tcPr>
                <w:p w14:paraId="7AADAACC">
                  <w:pPr>
                    <w:jc w:val="center"/>
                    <w:rPr>
                      <w:rFonts w:hint="default" w:ascii="Times New Roman" w:hAnsi="Times New Roman" w:eastAsia="宋体" w:cs="Times New Roman"/>
                      <w:color w:val="auto"/>
                      <w:kern w:val="0"/>
                      <w:szCs w:val="21"/>
                      <w:highlight w:val="none"/>
                    </w:rPr>
                  </w:pPr>
                </w:p>
              </w:tc>
              <w:tc>
                <w:tcPr>
                  <w:tcW w:w="254" w:type="pct"/>
                  <w:vMerge w:val="continue"/>
                  <w:tcBorders>
                    <w:tl2br w:val="nil"/>
                    <w:tr2bl w:val="nil"/>
                  </w:tcBorders>
                  <w:vAlign w:val="center"/>
                </w:tcPr>
                <w:p w14:paraId="4455C00D">
                  <w:pPr>
                    <w:jc w:val="center"/>
                    <w:rPr>
                      <w:rFonts w:hint="default" w:ascii="Times New Roman" w:hAnsi="Times New Roman" w:eastAsia="宋体" w:cs="Times New Roman"/>
                      <w:color w:val="auto"/>
                      <w:kern w:val="0"/>
                      <w:szCs w:val="21"/>
                      <w:highlight w:val="none"/>
                    </w:rPr>
                  </w:pPr>
                </w:p>
              </w:tc>
              <w:tc>
                <w:tcPr>
                  <w:tcW w:w="596" w:type="pct"/>
                  <w:vMerge w:val="continue"/>
                  <w:tcBorders>
                    <w:tl2br w:val="nil"/>
                    <w:tr2bl w:val="nil"/>
                  </w:tcBorders>
                  <w:vAlign w:val="center"/>
                </w:tcPr>
                <w:p w14:paraId="359994A2">
                  <w:pPr>
                    <w:jc w:val="center"/>
                    <w:rPr>
                      <w:rFonts w:hint="default" w:ascii="Times New Roman" w:hAnsi="Times New Roman" w:eastAsia="宋体" w:cs="Times New Roman"/>
                      <w:color w:val="auto"/>
                      <w:kern w:val="0"/>
                      <w:szCs w:val="21"/>
                      <w:highlight w:val="none"/>
                    </w:rPr>
                  </w:pPr>
                </w:p>
              </w:tc>
              <w:tc>
                <w:tcPr>
                  <w:tcW w:w="2224" w:type="pct"/>
                  <w:tcBorders>
                    <w:tl2br w:val="nil"/>
                    <w:tr2bl w:val="nil"/>
                  </w:tcBorders>
                  <w:vAlign w:val="center"/>
                </w:tcPr>
                <w:p w14:paraId="39EED481">
                  <w:pPr>
                    <w:pStyle w:val="96"/>
                    <w:widowControl/>
                    <w:shd w:val="clear" w:color="auto" w:fill="FFFFFF"/>
                    <w:spacing w:line="240" w:lineRule="auto"/>
                    <w:ind w:firstLine="0" w:firstLineChars="0"/>
                    <w:jc w:val="left"/>
                    <w:rPr>
                      <w:rStyle w:val="42"/>
                      <w:rFonts w:hint="default" w:eastAsia="宋体" w:cs="Times New Roman"/>
                      <w:color w:val="auto"/>
                      <w:kern w:val="2"/>
                      <w:sz w:val="21"/>
                      <w:szCs w:val="21"/>
                      <w:lang w:val="en-US" w:eastAsia="zh-CN" w:bidi="ar-SA"/>
                    </w:rPr>
                  </w:pPr>
                  <w:r>
                    <w:rPr>
                      <w:rStyle w:val="42"/>
                      <w:rFonts w:hint="eastAsia" w:eastAsia="宋体" w:cs="Times New Roman"/>
                      <w:b/>
                      <w:bCs/>
                      <w:color w:val="auto"/>
                      <w:kern w:val="2"/>
                      <w:sz w:val="21"/>
                      <w:szCs w:val="21"/>
                      <w:lang w:val="en-US" w:eastAsia="zh-CN" w:bidi="ar-SA"/>
                    </w:rPr>
                    <w:t>不符合空间布局要求活动的退出要求</w:t>
                  </w:r>
                  <w:r>
                    <w:rPr>
                      <w:rStyle w:val="42"/>
                      <w:rFonts w:hint="eastAsia" w:eastAsia="宋体" w:cs="Times New Roman"/>
                      <w:color w:val="auto"/>
                      <w:kern w:val="2"/>
                      <w:sz w:val="21"/>
                      <w:szCs w:val="21"/>
                      <w:lang w:val="en-US" w:eastAsia="zh-CN" w:bidi="ar-SA"/>
                    </w:rPr>
                    <w:t>：/</w:t>
                  </w:r>
                </w:p>
              </w:tc>
              <w:tc>
                <w:tcPr>
                  <w:tcW w:w="1141" w:type="pct"/>
                  <w:tcBorders>
                    <w:tl2br w:val="nil"/>
                    <w:tr2bl w:val="nil"/>
                  </w:tcBorders>
                  <w:vAlign w:val="center"/>
                </w:tcPr>
                <w:p w14:paraId="0D61E422">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5A395D3D">
                  <w:pPr>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34DCF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85" w:type="pct"/>
                  <w:vMerge w:val="continue"/>
                  <w:tcBorders>
                    <w:tl2br w:val="nil"/>
                    <w:tr2bl w:val="nil"/>
                  </w:tcBorders>
                  <w:vAlign w:val="center"/>
                </w:tcPr>
                <w:p w14:paraId="3410FA6A">
                  <w:pPr>
                    <w:jc w:val="center"/>
                    <w:rPr>
                      <w:rFonts w:hint="default" w:ascii="Times New Roman" w:hAnsi="Times New Roman" w:eastAsia="宋体" w:cs="Times New Roman"/>
                      <w:color w:val="auto"/>
                      <w:kern w:val="0"/>
                      <w:szCs w:val="21"/>
                      <w:highlight w:val="none"/>
                    </w:rPr>
                  </w:pPr>
                </w:p>
              </w:tc>
              <w:tc>
                <w:tcPr>
                  <w:tcW w:w="254" w:type="pct"/>
                  <w:vMerge w:val="continue"/>
                  <w:tcBorders>
                    <w:tl2br w:val="nil"/>
                    <w:tr2bl w:val="nil"/>
                  </w:tcBorders>
                  <w:vAlign w:val="center"/>
                </w:tcPr>
                <w:p w14:paraId="1BE4511E">
                  <w:pPr>
                    <w:jc w:val="center"/>
                    <w:rPr>
                      <w:rFonts w:hint="default" w:ascii="Times New Roman" w:hAnsi="Times New Roman" w:eastAsia="宋体" w:cs="Times New Roman"/>
                      <w:color w:val="auto"/>
                      <w:kern w:val="0"/>
                      <w:szCs w:val="21"/>
                      <w:highlight w:val="none"/>
                    </w:rPr>
                  </w:pPr>
                </w:p>
              </w:tc>
              <w:tc>
                <w:tcPr>
                  <w:tcW w:w="596" w:type="pct"/>
                  <w:vMerge w:val="continue"/>
                  <w:tcBorders>
                    <w:tl2br w:val="nil"/>
                    <w:tr2bl w:val="nil"/>
                  </w:tcBorders>
                  <w:vAlign w:val="center"/>
                </w:tcPr>
                <w:p w14:paraId="058F4CD3">
                  <w:pPr>
                    <w:jc w:val="center"/>
                    <w:rPr>
                      <w:rFonts w:hint="default" w:ascii="Times New Roman" w:hAnsi="Times New Roman" w:eastAsia="宋体" w:cs="Times New Roman"/>
                      <w:color w:val="auto"/>
                      <w:kern w:val="0"/>
                      <w:szCs w:val="21"/>
                      <w:highlight w:val="none"/>
                    </w:rPr>
                  </w:pPr>
                </w:p>
              </w:tc>
              <w:tc>
                <w:tcPr>
                  <w:tcW w:w="2224" w:type="pct"/>
                  <w:tcBorders>
                    <w:tl2br w:val="nil"/>
                    <w:tr2bl w:val="nil"/>
                  </w:tcBorders>
                  <w:vAlign w:val="center"/>
                </w:tcPr>
                <w:p w14:paraId="1EBF1144">
                  <w:pPr>
                    <w:pStyle w:val="96"/>
                    <w:widowControl/>
                    <w:shd w:val="clear" w:color="auto" w:fill="FFFFFF"/>
                    <w:spacing w:line="240" w:lineRule="auto"/>
                    <w:ind w:firstLine="0" w:firstLineChars="0"/>
                    <w:jc w:val="left"/>
                    <w:rPr>
                      <w:rStyle w:val="42"/>
                      <w:rFonts w:hint="default" w:eastAsia="宋体" w:cs="Times New Roman"/>
                      <w:color w:val="auto"/>
                      <w:kern w:val="2"/>
                      <w:sz w:val="21"/>
                      <w:szCs w:val="21"/>
                      <w:lang w:val="en-US" w:eastAsia="zh-CN" w:bidi="ar-SA"/>
                    </w:rPr>
                  </w:pPr>
                  <w:r>
                    <w:rPr>
                      <w:rStyle w:val="42"/>
                      <w:rFonts w:hint="eastAsia" w:eastAsia="宋体" w:cs="Times New Roman"/>
                      <w:b/>
                      <w:bCs/>
                      <w:color w:val="auto"/>
                      <w:kern w:val="2"/>
                      <w:sz w:val="21"/>
                      <w:szCs w:val="21"/>
                      <w:lang w:val="en-US" w:eastAsia="zh-CN" w:bidi="ar-SA"/>
                    </w:rPr>
                    <w:t>其他空间布局约束要求</w:t>
                  </w:r>
                  <w:r>
                    <w:rPr>
                      <w:rStyle w:val="42"/>
                      <w:rFonts w:hint="eastAsia" w:eastAsia="宋体" w:cs="Times New Roman"/>
                      <w:color w:val="auto"/>
                      <w:kern w:val="2"/>
                      <w:sz w:val="21"/>
                      <w:szCs w:val="21"/>
                      <w:lang w:val="en-US" w:eastAsia="zh-CN" w:bidi="ar-SA"/>
                    </w:rPr>
                    <w:t>：/</w:t>
                  </w:r>
                </w:p>
              </w:tc>
              <w:tc>
                <w:tcPr>
                  <w:tcW w:w="1141" w:type="pct"/>
                  <w:tcBorders>
                    <w:tl2br w:val="nil"/>
                    <w:tr2bl w:val="nil"/>
                  </w:tcBorders>
                  <w:vAlign w:val="center"/>
                </w:tcPr>
                <w:p w14:paraId="04F35950">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097AB98F">
                  <w:pPr>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r w14:paraId="2D362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14:paraId="722180B8">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3C4ACCE2">
                  <w:pPr>
                    <w:jc w:val="center"/>
                    <w:rPr>
                      <w:rFonts w:hint="default" w:ascii="Times New Roman" w:hAnsi="Times New Roman" w:eastAsia="宋体" w:cs="Times New Roman"/>
                      <w:color w:val="auto"/>
                      <w:szCs w:val="21"/>
                      <w:highlight w:val="none"/>
                    </w:rPr>
                  </w:pPr>
                </w:p>
              </w:tc>
              <w:tc>
                <w:tcPr>
                  <w:tcW w:w="596" w:type="pct"/>
                  <w:vMerge w:val="restart"/>
                  <w:tcBorders>
                    <w:tl2br w:val="nil"/>
                    <w:tr2bl w:val="nil"/>
                  </w:tcBorders>
                  <w:vAlign w:val="center"/>
                </w:tcPr>
                <w:p w14:paraId="30CE37C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污染物排放管控</w:t>
                  </w:r>
                </w:p>
              </w:tc>
              <w:tc>
                <w:tcPr>
                  <w:tcW w:w="2224" w:type="pct"/>
                  <w:tcBorders>
                    <w:tl2br w:val="nil"/>
                    <w:tr2bl w:val="nil"/>
                  </w:tcBorders>
                  <w:vAlign w:val="center"/>
                </w:tcPr>
                <w:p w14:paraId="5AD04C6B">
                  <w:pPr>
                    <w:rPr>
                      <w:rFonts w:hint="eastAsia"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szCs w:val="21"/>
                      <w:highlight w:val="none"/>
                    </w:rPr>
                    <w:t>现有源提标升级改造：</w:t>
                  </w:r>
                  <w:r>
                    <w:rPr>
                      <w:rFonts w:hint="eastAsia" w:ascii="Times New Roman" w:hAnsi="Times New Roman" w:eastAsia="宋体" w:cs="Times New Roman"/>
                      <w:b w:val="0"/>
                      <w:bCs/>
                      <w:color w:val="auto"/>
                      <w:szCs w:val="21"/>
                      <w:highlight w:val="none"/>
                      <w:lang w:val="en-US" w:eastAsia="zh-CN"/>
                    </w:rPr>
                    <w:t>/</w:t>
                  </w:r>
                </w:p>
              </w:tc>
              <w:tc>
                <w:tcPr>
                  <w:tcW w:w="1141" w:type="pct"/>
                  <w:tcBorders>
                    <w:tl2br w:val="nil"/>
                    <w:tr2bl w:val="nil"/>
                  </w:tcBorders>
                  <w:vAlign w:val="center"/>
                </w:tcPr>
                <w:p w14:paraId="71F0B96D">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493734D7">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r>
            <w:tr w14:paraId="3CD61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85" w:type="pct"/>
                  <w:vMerge w:val="continue"/>
                  <w:tcBorders>
                    <w:tl2br w:val="nil"/>
                    <w:tr2bl w:val="nil"/>
                  </w:tcBorders>
                  <w:vAlign w:val="center"/>
                </w:tcPr>
                <w:p w14:paraId="08E6035B">
                  <w:pPr>
                    <w:jc w:val="center"/>
                    <w:rPr>
                      <w:rFonts w:hint="default" w:ascii="Times New Roman" w:hAnsi="Times New Roman" w:eastAsia="宋体" w:cs="Times New Roman"/>
                      <w:color w:val="auto"/>
                    </w:rPr>
                  </w:pPr>
                </w:p>
              </w:tc>
              <w:tc>
                <w:tcPr>
                  <w:tcW w:w="254" w:type="pct"/>
                  <w:vMerge w:val="continue"/>
                  <w:tcBorders>
                    <w:tl2br w:val="nil"/>
                    <w:tr2bl w:val="nil"/>
                  </w:tcBorders>
                  <w:vAlign w:val="center"/>
                </w:tcPr>
                <w:p w14:paraId="17E72E16">
                  <w:pPr>
                    <w:jc w:val="center"/>
                    <w:rPr>
                      <w:rFonts w:hint="default" w:ascii="Times New Roman" w:hAnsi="Times New Roman" w:eastAsia="宋体" w:cs="Times New Roman"/>
                      <w:color w:val="auto"/>
                    </w:rPr>
                  </w:pPr>
                </w:p>
              </w:tc>
              <w:tc>
                <w:tcPr>
                  <w:tcW w:w="596" w:type="pct"/>
                  <w:vMerge w:val="continue"/>
                  <w:tcBorders>
                    <w:tl2br w:val="nil"/>
                    <w:tr2bl w:val="nil"/>
                  </w:tcBorders>
                  <w:vAlign w:val="center"/>
                </w:tcPr>
                <w:p w14:paraId="0366134F">
                  <w:pPr>
                    <w:jc w:val="center"/>
                    <w:rPr>
                      <w:rFonts w:hint="default" w:ascii="Times New Roman" w:hAnsi="Times New Roman" w:eastAsia="宋体" w:cs="Times New Roman"/>
                      <w:color w:val="auto"/>
                    </w:rPr>
                  </w:pPr>
                </w:p>
              </w:tc>
              <w:tc>
                <w:tcPr>
                  <w:tcW w:w="2224" w:type="pct"/>
                  <w:tcBorders>
                    <w:tl2br w:val="nil"/>
                    <w:tr2bl w:val="nil"/>
                  </w:tcBorders>
                  <w:vAlign w:val="center"/>
                </w:tcPr>
                <w:p w14:paraId="41AC0251">
                  <w:pPr>
                    <w:rPr>
                      <w:rFonts w:hint="eastAsia" w:ascii="Times New Roman" w:hAnsi="Times New Roman" w:eastAsia="宋体" w:cs="Times New Roman"/>
                      <w:b w:val="0"/>
                      <w:bCs/>
                      <w:color w:val="auto"/>
                      <w:szCs w:val="21"/>
                      <w:highlight w:val="none"/>
                      <w:lang w:eastAsia="zh-CN"/>
                    </w:rPr>
                  </w:pPr>
                  <w:r>
                    <w:rPr>
                      <w:rFonts w:hint="default" w:ascii="Times New Roman" w:hAnsi="Times New Roman" w:eastAsia="宋体" w:cs="Times New Roman"/>
                      <w:b w:val="0"/>
                      <w:bCs/>
                      <w:color w:val="auto"/>
                      <w:szCs w:val="21"/>
                      <w:highlight w:val="none"/>
                    </w:rPr>
                    <w:t>新增源等量或倍量替代：</w:t>
                  </w:r>
                  <w:r>
                    <w:rPr>
                      <w:rFonts w:hint="eastAsia" w:ascii="Times New Roman" w:hAnsi="Times New Roman" w:eastAsia="宋体" w:cs="Times New Roman"/>
                      <w:b w:val="0"/>
                      <w:bCs/>
                      <w:color w:val="auto"/>
                      <w:szCs w:val="21"/>
                      <w:highlight w:val="none"/>
                      <w:lang w:val="en-US" w:eastAsia="zh-CN"/>
                    </w:rPr>
                    <w:t>/</w:t>
                  </w:r>
                </w:p>
              </w:tc>
              <w:tc>
                <w:tcPr>
                  <w:tcW w:w="1141" w:type="pct"/>
                  <w:tcBorders>
                    <w:tl2br w:val="nil"/>
                    <w:tr2bl w:val="nil"/>
                  </w:tcBorders>
                  <w:vAlign w:val="center"/>
                </w:tcPr>
                <w:p w14:paraId="24176A7B">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2D6FE93B">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r>
            <w:tr w14:paraId="21898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385" w:type="pct"/>
                  <w:vMerge w:val="continue"/>
                  <w:tcBorders>
                    <w:tl2br w:val="nil"/>
                    <w:tr2bl w:val="nil"/>
                  </w:tcBorders>
                  <w:vAlign w:val="center"/>
                </w:tcPr>
                <w:p w14:paraId="13A52608">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4D6B5D78">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2F7AE43E">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04A69E25">
                  <w:pPr>
                    <w:rPr>
                      <w:rFonts w:hint="eastAsia" w:ascii="Times New Roman" w:hAnsi="Times New Roman" w:eastAsia="宋体" w:cs="Times New Roman"/>
                      <w:b w:val="0"/>
                      <w:bCs/>
                      <w:color w:val="auto"/>
                      <w:szCs w:val="21"/>
                      <w:highlight w:val="none"/>
                      <w:lang w:eastAsia="zh-CN"/>
                    </w:rPr>
                  </w:pPr>
                  <w:r>
                    <w:rPr>
                      <w:rFonts w:hint="default" w:ascii="Times New Roman" w:hAnsi="Times New Roman" w:eastAsia="宋体" w:cs="Times New Roman"/>
                      <w:b w:val="0"/>
                      <w:bCs/>
                      <w:color w:val="auto"/>
                      <w:szCs w:val="21"/>
                      <w:highlight w:val="none"/>
                    </w:rPr>
                    <w:t>新增源排放标准限值：</w:t>
                  </w:r>
                  <w:r>
                    <w:rPr>
                      <w:rFonts w:hint="eastAsia" w:ascii="Times New Roman" w:hAnsi="Times New Roman" w:eastAsia="宋体" w:cs="Times New Roman"/>
                      <w:b w:val="0"/>
                      <w:bCs/>
                      <w:color w:val="auto"/>
                      <w:szCs w:val="21"/>
                      <w:highlight w:val="none"/>
                      <w:lang w:val="en-US" w:eastAsia="zh-CN"/>
                    </w:rPr>
                    <w:t>/</w:t>
                  </w:r>
                </w:p>
              </w:tc>
              <w:tc>
                <w:tcPr>
                  <w:tcW w:w="1141" w:type="pct"/>
                  <w:tcBorders>
                    <w:tl2br w:val="nil"/>
                    <w:tr2bl w:val="nil"/>
                  </w:tcBorders>
                  <w:vAlign w:val="center"/>
                </w:tcPr>
                <w:p w14:paraId="26A2AB81">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42E37287">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r>
            <w:tr w14:paraId="04153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385" w:type="pct"/>
                  <w:vMerge w:val="continue"/>
                  <w:tcBorders>
                    <w:tl2br w:val="nil"/>
                    <w:tr2bl w:val="nil"/>
                  </w:tcBorders>
                  <w:vAlign w:val="center"/>
                </w:tcPr>
                <w:p w14:paraId="696BC2F3">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1F4530DC">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19C24AAA">
                  <w:pPr>
                    <w:jc w:val="center"/>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638A34CA">
                  <w:pPr>
                    <w:jc w:val="both"/>
                    <w:rPr>
                      <w:rFonts w:hint="eastAsia" w:ascii="Times New Roman" w:hAnsi="Times New Roman" w:eastAsia="宋体" w:cs="Times New Roman"/>
                      <w:b w:val="0"/>
                      <w:bCs/>
                      <w:color w:val="auto"/>
                      <w:szCs w:val="21"/>
                      <w:highlight w:val="none"/>
                      <w:lang w:eastAsia="zh-CN"/>
                    </w:rPr>
                  </w:pPr>
                  <w:r>
                    <w:rPr>
                      <w:rFonts w:hint="default" w:ascii="Times New Roman" w:hAnsi="Times New Roman" w:eastAsia="宋体" w:cs="Times New Roman"/>
                      <w:b w:val="0"/>
                      <w:bCs/>
                      <w:color w:val="auto"/>
                      <w:szCs w:val="21"/>
                      <w:highlight w:val="none"/>
                    </w:rPr>
                    <w:t>污染物排放绩效水平准入要求：</w:t>
                  </w:r>
                  <w:r>
                    <w:rPr>
                      <w:rFonts w:hint="eastAsia" w:ascii="Times New Roman" w:hAnsi="Times New Roman" w:eastAsia="宋体" w:cs="Times New Roman"/>
                      <w:b w:val="0"/>
                      <w:bCs/>
                      <w:color w:val="auto"/>
                      <w:szCs w:val="21"/>
                      <w:highlight w:val="none"/>
                      <w:lang w:val="en-US" w:eastAsia="zh-CN"/>
                    </w:rPr>
                    <w:t>/</w:t>
                  </w:r>
                </w:p>
              </w:tc>
              <w:tc>
                <w:tcPr>
                  <w:tcW w:w="1141" w:type="pct"/>
                  <w:tcBorders>
                    <w:tl2br w:val="nil"/>
                    <w:tr2bl w:val="nil"/>
                  </w:tcBorders>
                  <w:vAlign w:val="center"/>
                </w:tcPr>
                <w:p w14:paraId="70AFD84B">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1FE43912">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r>
            <w:tr w14:paraId="7AEC32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385" w:type="pct"/>
                  <w:vMerge w:val="continue"/>
                  <w:tcBorders>
                    <w:tl2br w:val="nil"/>
                    <w:tr2bl w:val="nil"/>
                  </w:tcBorders>
                  <w:vAlign w:val="center"/>
                </w:tcPr>
                <w:p w14:paraId="6AA162CD">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667E3765">
                  <w:pPr>
                    <w:jc w:val="center"/>
                    <w:rPr>
                      <w:rFonts w:hint="default" w:ascii="Times New Roman" w:hAnsi="Times New Roman" w:eastAsia="宋体" w:cs="Times New Roman"/>
                      <w:color w:val="auto"/>
                      <w:szCs w:val="21"/>
                      <w:highlight w:val="none"/>
                    </w:rPr>
                  </w:pPr>
                </w:p>
              </w:tc>
              <w:tc>
                <w:tcPr>
                  <w:tcW w:w="596" w:type="pct"/>
                  <w:vMerge w:val="restart"/>
                  <w:tcBorders>
                    <w:tl2br w:val="nil"/>
                    <w:tr2bl w:val="nil"/>
                  </w:tcBorders>
                  <w:vAlign w:val="center"/>
                </w:tcPr>
                <w:p w14:paraId="7D5397DC">
                  <w:pPr>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环境风险防控</w:t>
                  </w:r>
                </w:p>
              </w:tc>
              <w:tc>
                <w:tcPr>
                  <w:tcW w:w="2224" w:type="pct"/>
                  <w:tcBorders>
                    <w:tl2br w:val="nil"/>
                    <w:tr2bl w:val="nil"/>
                  </w:tcBorders>
                  <w:vAlign w:val="center"/>
                </w:tcPr>
                <w:p w14:paraId="2ABD8547">
                  <w:pPr>
                    <w:pStyle w:val="19"/>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严格管控类农用地管控要求</w:t>
                  </w:r>
                  <w:r>
                    <w:rPr>
                      <w:rFonts w:hint="eastAsia" w:ascii="Times New Roman" w:hAnsi="Times New Roman" w:cs="Times New Roman"/>
                      <w:color w:val="auto"/>
                      <w:szCs w:val="21"/>
                      <w:highlight w:val="none"/>
                      <w:lang w:val="en-US" w:eastAsia="zh-CN"/>
                    </w:rPr>
                    <w:t>：/</w:t>
                  </w:r>
                </w:p>
              </w:tc>
              <w:tc>
                <w:tcPr>
                  <w:tcW w:w="1141" w:type="pct"/>
                  <w:tcBorders>
                    <w:tl2br w:val="nil"/>
                    <w:tr2bl w:val="nil"/>
                  </w:tcBorders>
                  <w:vAlign w:val="center"/>
                </w:tcPr>
                <w:p w14:paraId="430C1F08">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411AD81A">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r>
            <w:tr w14:paraId="0F8AA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385" w:type="pct"/>
                  <w:vMerge w:val="continue"/>
                  <w:tcBorders>
                    <w:tl2br w:val="nil"/>
                    <w:tr2bl w:val="nil"/>
                  </w:tcBorders>
                  <w:vAlign w:val="center"/>
                </w:tcPr>
                <w:p w14:paraId="0D66CB71">
                  <w:pPr>
                    <w:jc w:val="center"/>
                    <w:rPr>
                      <w:rFonts w:hint="default" w:ascii="Times New Roman" w:hAnsi="Times New Roman" w:eastAsia="宋体" w:cs="Times New Roman"/>
                      <w:color w:val="auto"/>
                    </w:rPr>
                  </w:pPr>
                </w:p>
              </w:tc>
              <w:tc>
                <w:tcPr>
                  <w:tcW w:w="254" w:type="pct"/>
                  <w:vMerge w:val="continue"/>
                  <w:tcBorders>
                    <w:tl2br w:val="nil"/>
                    <w:tr2bl w:val="nil"/>
                  </w:tcBorders>
                  <w:vAlign w:val="center"/>
                </w:tcPr>
                <w:p w14:paraId="642D2676">
                  <w:pPr>
                    <w:jc w:val="center"/>
                    <w:rPr>
                      <w:rFonts w:hint="default" w:ascii="Times New Roman" w:hAnsi="Times New Roman" w:eastAsia="宋体" w:cs="Times New Roman"/>
                      <w:color w:val="auto"/>
                    </w:rPr>
                  </w:pPr>
                </w:p>
              </w:tc>
              <w:tc>
                <w:tcPr>
                  <w:tcW w:w="596" w:type="pct"/>
                  <w:vMerge w:val="continue"/>
                  <w:tcBorders>
                    <w:tl2br w:val="nil"/>
                    <w:tr2bl w:val="nil"/>
                  </w:tcBorders>
                  <w:vAlign w:val="center"/>
                </w:tcPr>
                <w:p w14:paraId="69460C24">
                  <w:pPr>
                    <w:jc w:val="both"/>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6CBAEBB9">
                  <w:pPr>
                    <w:pStyle w:val="96"/>
                    <w:widowControl/>
                    <w:shd w:val="clear" w:color="auto" w:fill="FFFFFF"/>
                    <w:spacing w:line="240" w:lineRule="auto"/>
                    <w:ind w:firstLine="0" w:firstLineChars="0"/>
                    <w:jc w:val="left"/>
                    <w:rPr>
                      <w:rFonts w:hint="default" w:ascii="Times New Roman" w:hAnsi="Times New Roman" w:eastAsia="宋体" w:cs="Times New Roman"/>
                      <w:color w:val="auto"/>
                      <w:szCs w:val="21"/>
                      <w:highlight w:val="none"/>
                    </w:rPr>
                  </w:pPr>
                  <w:r>
                    <w:rPr>
                      <w:rStyle w:val="42"/>
                      <w:rFonts w:hint="default" w:ascii="Times New Roman" w:hAnsi="Times New Roman" w:eastAsia="宋体" w:cs="Times New Roman"/>
                      <w:color w:val="auto"/>
                      <w:kern w:val="2"/>
                      <w:sz w:val="21"/>
                      <w:szCs w:val="21"/>
                      <w:lang w:val="en-US" w:eastAsia="zh-CN" w:bidi="ar-SA"/>
                    </w:rPr>
                    <w:t>安全利用类农用地管控要求</w:t>
                  </w:r>
                  <w:r>
                    <w:rPr>
                      <w:rStyle w:val="42"/>
                      <w:rFonts w:hint="eastAsia" w:eastAsia="宋体" w:cs="Times New Roman"/>
                      <w:color w:val="auto"/>
                      <w:kern w:val="2"/>
                      <w:sz w:val="21"/>
                      <w:szCs w:val="21"/>
                      <w:lang w:val="en-US" w:eastAsia="zh-CN" w:bidi="ar-SA"/>
                    </w:rPr>
                    <w:t>：/</w:t>
                  </w:r>
                </w:p>
              </w:tc>
              <w:tc>
                <w:tcPr>
                  <w:tcW w:w="1141" w:type="pct"/>
                  <w:tcBorders>
                    <w:tl2br w:val="nil"/>
                    <w:tr2bl w:val="nil"/>
                  </w:tcBorders>
                  <w:vAlign w:val="center"/>
                </w:tcPr>
                <w:p w14:paraId="3AE354F5">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175FF7B9">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r>
            <w:tr w14:paraId="7F2FE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385" w:type="pct"/>
                  <w:vMerge w:val="continue"/>
                  <w:tcBorders>
                    <w:tl2br w:val="nil"/>
                    <w:tr2bl w:val="nil"/>
                  </w:tcBorders>
                  <w:vAlign w:val="center"/>
                </w:tcPr>
                <w:p w14:paraId="40E28316">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2AC269A6">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791ABC7C">
                  <w:pPr>
                    <w:jc w:val="both"/>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1F362423">
                  <w:pPr>
                    <w:pStyle w:val="96"/>
                    <w:widowControl/>
                    <w:shd w:val="clear" w:color="auto" w:fill="FFFFFF"/>
                    <w:spacing w:line="240" w:lineRule="auto"/>
                    <w:ind w:firstLine="0" w:firstLineChars="0"/>
                    <w:jc w:val="left"/>
                    <w:rPr>
                      <w:rFonts w:hint="default" w:ascii="Times New Roman" w:hAnsi="Times New Roman" w:eastAsia="宋体" w:cs="Times New Roman"/>
                      <w:color w:val="auto"/>
                      <w:szCs w:val="21"/>
                      <w:highlight w:val="none"/>
                    </w:rPr>
                  </w:pPr>
                  <w:r>
                    <w:rPr>
                      <w:rStyle w:val="42"/>
                      <w:rFonts w:hint="default" w:ascii="Times New Roman" w:hAnsi="Times New Roman" w:eastAsia="宋体" w:cs="Times New Roman"/>
                      <w:color w:val="auto"/>
                      <w:kern w:val="2"/>
                      <w:sz w:val="21"/>
                      <w:szCs w:val="21"/>
                      <w:lang w:val="en-US" w:eastAsia="zh-CN" w:bidi="ar-SA"/>
                    </w:rPr>
                    <w:t>污染地块管控要求</w:t>
                  </w:r>
                  <w:r>
                    <w:rPr>
                      <w:rStyle w:val="42"/>
                      <w:rFonts w:hint="eastAsia" w:eastAsia="宋体" w:cs="Times New Roman"/>
                      <w:color w:val="auto"/>
                      <w:kern w:val="2"/>
                      <w:sz w:val="21"/>
                      <w:szCs w:val="21"/>
                      <w:lang w:val="en-US" w:eastAsia="zh-CN" w:bidi="ar-SA"/>
                    </w:rPr>
                    <w:t>：/</w:t>
                  </w:r>
                </w:p>
              </w:tc>
              <w:tc>
                <w:tcPr>
                  <w:tcW w:w="1141" w:type="pct"/>
                  <w:tcBorders>
                    <w:tl2br w:val="nil"/>
                    <w:tr2bl w:val="nil"/>
                  </w:tcBorders>
                  <w:vAlign w:val="center"/>
                </w:tcPr>
                <w:p w14:paraId="3E12E639">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6666F589">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r>
            <w:tr w14:paraId="3D026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385" w:type="pct"/>
                  <w:vMerge w:val="continue"/>
                  <w:tcBorders>
                    <w:tl2br w:val="nil"/>
                    <w:tr2bl w:val="nil"/>
                  </w:tcBorders>
                  <w:vAlign w:val="center"/>
                </w:tcPr>
                <w:p w14:paraId="5DAAC9B4">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32896A0F">
                  <w:pPr>
                    <w:jc w:val="center"/>
                    <w:rPr>
                      <w:rFonts w:hint="default" w:ascii="Times New Roman" w:hAnsi="Times New Roman" w:eastAsia="宋体" w:cs="Times New Roman"/>
                      <w:color w:val="auto"/>
                      <w:szCs w:val="21"/>
                      <w:highlight w:val="none"/>
                    </w:rPr>
                  </w:pPr>
                </w:p>
              </w:tc>
              <w:tc>
                <w:tcPr>
                  <w:tcW w:w="596" w:type="pct"/>
                  <w:vMerge w:val="continue"/>
                  <w:tcBorders>
                    <w:tl2br w:val="nil"/>
                    <w:tr2bl w:val="nil"/>
                  </w:tcBorders>
                  <w:vAlign w:val="center"/>
                </w:tcPr>
                <w:p w14:paraId="6725CC1D">
                  <w:pPr>
                    <w:jc w:val="both"/>
                    <w:rPr>
                      <w:rFonts w:hint="default" w:ascii="Times New Roman" w:hAnsi="Times New Roman" w:eastAsia="宋体" w:cs="Times New Roman"/>
                      <w:color w:val="auto"/>
                      <w:szCs w:val="21"/>
                      <w:highlight w:val="none"/>
                    </w:rPr>
                  </w:pPr>
                </w:p>
              </w:tc>
              <w:tc>
                <w:tcPr>
                  <w:tcW w:w="2224" w:type="pct"/>
                  <w:tcBorders>
                    <w:tl2br w:val="nil"/>
                    <w:tr2bl w:val="nil"/>
                  </w:tcBorders>
                  <w:vAlign w:val="center"/>
                </w:tcPr>
                <w:p w14:paraId="3BA137BF">
                  <w:pPr>
                    <w:pStyle w:val="96"/>
                    <w:widowControl/>
                    <w:shd w:val="clear" w:color="auto" w:fill="FFFFFF"/>
                    <w:spacing w:line="240" w:lineRule="auto"/>
                    <w:ind w:firstLine="0" w:firstLineChars="0"/>
                    <w:jc w:val="left"/>
                    <w:rPr>
                      <w:rFonts w:hint="default" w:ascii="Times New Roman" w:hAnsi="Times New Roman" w:eastAsia="宋体" w:cs="Times New Roman"/>
                      <w:color w:val="auto"/>
                      <w:szCs w:val="21"/>
                      <w:highlight w:val="none"/>
                    </w:rPr>
                  </w:pPr>
                  <w:r>
                    <w:rPr>
                      <w:rStyle w:val="42"/>
                      <w:rFonts w:hint="default" w:ascii="Times New Roman" w:hAnsi="Times New Roman" w:eastAsia="宋体" w:cs="Times New Roman"/>
                      <w:color w:val="auto"/>
                      <w:kern w:val="2"/>
                      <w:sz w:val="21"/>
                      <w:szCs w:val="21"/>
                      <w:lang w:val="en-US" w:eastAsia="zh-CN" w:bidi="ar-SA"/>
                    </w:rPr>
                    <w:t>企业环境风险防控要求</w:t>
                  </w:r>
                  <w:r>
                    <w:rPr>
                      <w:rStyle w:val="42"/>
                      <w:rFonts w:hint="eastAsia" w:eastAsia="宋体" w:cs="Times New Roman"/>
                      <w:color w:val="auto"/>
                      <w:kern w:val="2"/>
                      <w:sz w:val="21"/>
                      <w:szCs w:val="21"/>
                      <w:lang w:val="en-US" w:eastAsia="zh-CN" w:bidi="ar-SA"/>
                    </w:rPr>
                    <w:t>：/</w:t>
                  </w:r>
                </w:p>
              </w:tc>
              <w:tc>
                <w:tcPr>
                  <w:tcW w:w="1141" w:type="pct"/>
                  <w:tcBorders>
                    <w:tl2br w:val="nil"/>
                    <w:tr2bl w:val="nil"/>
                  </w:tcBorders>
                  <w:vAlign w:val="center"/>
                </w:tcPr>
                <w:p w14:paraId="3B3E9926">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7967C527">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r>
            <w:tr w14:paraId="18C0A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85" w:type="pct"/>
                  <w:vMerge w:val="continue"/>
                  <w:tcBorders>
                    <w:tl2br w:val="nil"/>
                    <w:tr2bl w:val="nil"/>
                  </w:tcBorders>
                  <w:vAlign w:val="center"/>
                </w:tcPr>
                <w:p w14:paraId="746CF3B4">
                  <w:pPr>
                    <w:jc w:val="center"/>
                    <w:rPr>
                      <w:rFonts w:hint="default" w:ascii="Times New Roman" w:hAnsi="Times New Roman" w:eastAsia="宋体" w:cs="Times New Roman"/>
                      <w:color w:val="auto"/>
                      <w:szCs w:val="21"/>
                      <w:highlight w:val="none"/>
                    </w:rPr>
                  </w:pPr>
                </w:p>
              </w:tc>
              <w:tc>
                <w:tcPr>
                  <w:tcW w:w="254" w:type="pct"/>
                  <w:vMerge w:val="continue"/>
                  <w:tcBorders>
                    <w:tl2br w:val="nil"/>
                    <w:tr2bl w:val="nil"/>
                  </w:tcBorders>
                  <w:vAlign w:val="center"/>
                </w:tcPr>
                <w:p w14:paraId="2200A8E4">
                  <w:pPr>
                    <w:jc w:val="center"/>
                    <w:rPr>
                      <w:rFonts w:hint="default" w:ascii="Times New Roman" w:hAnsi="Times New Roman" w:eastAsia="宋体" w:cs="Times New Roman"/>
                      <w:color w:val="auto"/>
                      <w:szCs w:val="21"/>
                      <w:highlight w:val="none"/>
                    </w:rPr>
                  </w:pPr>
                </w:p>
              </w:tc>
              <w:tc>
                <w:tcPr>
                  <w:tcW w:w="596" w:type="pct"/>
                  <w:vMerge w:val="restart"/>
                  <w:tcBorders>
                    <w:tl2br w:val="nil"/>
                    <w:tr2bl w:val="nil"/>
                  </w:tcBorders>
                  <w:shd w:val="clear" w:color="auto" w:fill="auto"/>
                  <w:vAlign w:val="center"/>
                </w:tcPr>
                <w:p w14:paraId="77D636F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资源开发利用效率</w:t>
                  </w:r>
                </w:p>
              </w:tc>
              <w:tc>
                <w:tcPr>
                  <w:tcW w:w="2224" w:type="pct"/>
                  <w:tcBorders>
                    <w:tl2br w:val="nil"/>
                    <w:tr2bl w:val="nil"/>
                  </w:tcBorders>
                  <w:shd w:val="clear" w:color="auto" w:fill="auto"/>
                  <w:vAlign w:val="center"/>
                </w:tcPr>
                <w:p w14:paraId="5D8C3143">
                  <w:pPr>
                    <w:pStyle w:val="96"/>
                    <w:widowControl/>
                    <w:shd w:val="clear" w:color="auto" w:fill="FFFFFF"/>
                    <w:spacing w:line="240" w:lineRule="auto"/>
                    <w:ind w:firstLine="0" w:firstLineChars="0"/>
                    <w:jc w:val="left"/>
                    <w:rPr>
                      <w:rFonts w:hint="default" w:ascii="Times New Roman" w:hAnsi="Times New Roman" w:eastAsia="宋体" w:cs="Times New Roman"/>
                      <w:color w:val="auto"/>
                      <w:kern w:val="0"/>
                      <w:szCs w:val="21"/>
                      <w:highlight w:val="none"/>
                    </w:rPr>
                  </w:pPr>
                  <w:r>
                    <w:rPr>
                      <w:rStyle w:val="42"/>
                      <w:rFonts w:hint="default" w:ascii="Times New Roman" w:hAnsi="Times New Roman" w:eastAsia="宋体" w:cs="Times New Roman"/>
                      <w:color w:val="auto"/>
                      <w:kern w:val="2"/>
                      <w:sz w:val="21"/>
                      <w:szCs w:val="21"/>
                      <w:lang w:val="en-US" w:eastAsia="zh-CN" w:bidi="ar-SA"/>
                    </w:rPr>
                    <w:t>水资源利用效率要求</w:t>
                  </w:r>
                  <w:r>
                    <w:rPr>
                      <w:rStyle w:val="42"/>
                      <w:rFonts w:hint="eastAsia" w:eastAsia="宋体" w:cs="Times New Roman"/>
                      <w:color w:val="auto"/>
                      <w:kern w:val="2"/>
                      <w:sz w:val="21"/>
                      <w:szCs w:val="21"/>
                      <w:lang w:val="en-US" w:eastAsia="zh-CN" w:bidi="ar-SA"/>
                    </w:rPr>
                    <w:t>：/</w:t>
                  </w:r>
                </w:p>
              </w:tc>
              <w:tc>
                <w:tcPr>
                  <w:tcW w:w="1141" w:type="pct"/>
                  <w:tcBorders>
                    <w:tl2br w:val="nil"/>
                    <w:tr2bl w:val="nil"/>
                  </w:tcBorders>
                  <w:vAlign w:val="center"/>
                </w:tcPr>
                <w:p w14:paraId="12C098CE">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5B459DBF">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rPr>
                    <w:t>/</w:t>
                  </w:r>
                </w:p>
              </w:tc>
            </w:tr>
            <w:tr w14:paraId="68D1D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85" w:type="pct"/>
                  <w:vMerge w:val="continue"/>
                  <w:tcBorders>
                    <w:tl2br w:val="nil"/>
                    <w:tr2bl w:val="nil"/>
                  </w:tcBorders>
                  <w:vAlign w:val="center"/>
                </w:tcPr>
                <w:p w14:paraId="4CE83058">
                  <w:pPr>
                    <w:jc w:val="center"/>
                    <w:rPr>
                      <w:rFonts w:hint="default" w:ascii="Times New Roman" w:hAnsi="Times New Roman" w:eastAsia="宋体" w:cs="Times New Roman"/>
                      <w:color w:val="auto"/>
                    </w:rPr>
                  </w:pPr>
                </w:p>
              </w:tc>
              <w:tc>
                <w:tcPr>
                  <w:tcW w:w="254" w:type="pct"/>
                  <w:vMerge w:val="continue"/>
                  <w:tcBorders>
                    <w:tl2br w:val="nil"/>
                    <w:tr2bl w:val="nil"/>
                  </w:tcBorders>
                  <w:vAlign w:val="center"/>
                </w:tcPr>
                <w:p w14:paraId="6CBB18DC">
                  <w:pPr>
                    <w:jc w:val="center"/>
                    <w:rPr>
                      <w:rFonts w:hint="default" w:ascii="Times New Roman" w:hAnsi="Times New Roman" w:eastAsia="宋体" w:cs="Times New Roman"/>
                      <w:color w:val="auto"/>
                    </w:rPr>
                  </w:pPr>
                </w:p>
              </w:tc>
              <w:tc>
                <w:tcPr>
                  <w:tcW w:w="596" w:type="pct"/>
                  <w:vMerge w:val="continue"/>
                  <w:tcBorders>
                    <w:tl2br w:val="nil"/>
                    <w:tr2bl w:val="nil"/>
                  </w:tcBorders>
                  <w:shd w:val="clear" w:color="auto" w:fill="auto"/>
                  <w:vAlign w:val="center"/>
                </w:tcPr>
                <w:p w14:paraId="41790511">
                  <w:pPr>
                    <w:jc w:val="center"/>
                    <w:rPr>
                      <w:rFonts w:hint="default" w:ascii="Times New Roman" w:hAnsi="Times New Roman" w:eastAsia="宋体" w:cs="Times New Roman"/>
                      <w:color w:val="auto"/>
                    </w:rPr>
                  </w:pPr>
                </w:p>
              </w:tc>
              <w:tc>
                <w:tcPr>
                  <w:tcW w:w="2224" w:type="pct"/>
                  <w:tcBorders>
                    <w:tl2br w:val="nil"/>
                    <w:tr2bl w:val="nil"/>
                  </w:tcBorders>
                  <w:shd w:val="clear" w:color="auto" w:fill="auto"/>
                  <w:vAlign w:val="center"/>
                </w:tcPr>
                <w:p w14:paraId="03561CC0">
                  <w:pPr>
                    <w:pStyle w:val="96"/>
                    <w:widowControl/>
                    <w:shd w:val="clear" w:color="auto" w:fill="FFFFFF"/>
                    <w:spacing w:line="240" w:lineRule="auto"/>
                    <w:ind w:firstLine="0" w:firstLineChars="0"/>
                    <w:jc w:val="left"/>
                    <w:rPr>
                      <w:rFonts w:hint="default" w:ascii="Times New Roman" w:hAnsi="Times New Roman" w:eastAsia="宋体" w:cs="Times New Roman"/>
                      <w:color w:val="auto"/>
                      <w:kern w:val="0"/>
                      <w:szCs w:val="21"/>
                      <w:highlight w:val="none"/>
                    </w:rPr>
                  </w:pPr>
                  <w:r>
                    <w:rPr>
                      <w:rStyle w:val="42"/>
                      <w:rFonts w:hint="default" w:ascii="Times New Roman" w:hAnsi="Times New Roman" w:eastAsia="宋体" w:cs="Times New Roman"/>
                      <w:color w:val="auto"/>
                      <w:kern w:val="2"/>
                      <w:sz w:val="21"/>
                      <w:szCs w:val="21"/>
                      <w:lang w:val="en-US" w:eastAsia="zh-CN" w:bidi="ar-SA"/>
                    </w:rPr>
                    <w:t>地下水开采要求</w:t>
                  </w:r>
                  <w:r>
                    <w:rPr>
                      <w:rStyle w:val="42"/>
                      <w:rFonts w:hint="eastAsia" w:eastAsia="宋体" w:cs="Times New Roman"/>
                      <w:color w:val="auto"/>
                      <w:kern w:val="2"/>
                      <w:sz w:val="21"/>
                      <w:szCs w:val="21"/>
                      <w:lang w:val="en-US" w:eastAsia="zh-CN" w:bidi="ar-SA"/>
                    </w:rPr>
                    <w:t>：/</w:t>
                  </w:r>
                </w:p>
              </w:tc>
              <w:tc>
                <w:tcPr>
                  <w:tcW w:w="1141" w:type="pct"/>
                  <w:tcBorders>
                    <w:tl2br w:val="nil"/>
                    <w:tr2bl w:val="nil"/>
                  </w:tcBorders>
                  <w:vAlign w:val="center"/>
                </w:tcPr>
                <w:p w14:paraId="17F961D4">
                  <w:pPr>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227D366E">
                  <w:pPr>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w:t>
                  </w:r>
                </w:p>
              </w:tc>
            </w:tr>
            <w:tr w14:paraId="6CE00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85" w:type="pct"/>
                  <w:vMerge w:val="continue"/>
                  <w:tcBorders>
                    <w:tl2br w:val="nil"/>
                    <w:tr2bl w:val="nil"/>
                  </w:tcBorders>
                  <w:vAlign w:val="center"/>
                </w:tcPr>
                <w:p w14:paraId="014E349B">
                  <w:pPr>
                    <w:jc w:val="center"/>
                    <w:rPr>
                      <w:rFonts w:hint="default" w:ascii="Times New Roman" w:hAnsi="Times New Roman" w:eastAsia="宋体" w:cs="Times New Roman"/>
                      <w:color w:val="auto"/>
                      <w:kern w:val="0"/>
                      <w:szCs w:val="21"/>
                      <w:highlight w:val="none"/>
                    </w:rPr>
                  </w:pPr>
                </w:p>
              </w:tc>
              <w:tc>
                <w:tcPr>
                  <w:tcW w:w="254" w:type="pct"/>
                  <w:vMerge w:val="continue"/>
                  <w:tcBorders>
                    <w:tl2br w:val="nil"/>
                    <w:tr2bl w:val="nil"/>
                  </w:tcBorders>
                  <w:vAlign w:val="center"/>
                </w:tcPr>
                <w:p w14:paraId="0A3E646E">
                  <w:pPr>
                    <w:jc w:val="center"/>
                    <w:rPr>
                      <w:rFonts w:hint="default" w:ascii="Times New Roman" w:hAnsi="Times New Roman" w:eastAsia="宋体" w:cs="Times New Roman"/>
                      <w:color w:val="auto"/>
                      <w:kern w:val="0"/>
                      <w:szCs w:val="21"/>
                      <w:highlight w:val="none"/>
                    </w:rPr>
                  </w:pPr>
                </w:p>
              </w:tc>
              <w:tc>
                <w:tcPr>
                  <w:tcW w:w="596" w:type="pct"/>
                  <w:vMerge w:val="continue"/>
                  <w:tcBorders>
                    <w:tl2br w:val="nil"/>
                    <w:tr2bl w:val="nil"/>
                  </w:tcBorders>
                  <w:shd w:val="clear" w:color="auto" w:fill="auto"/>
                  <w:vAlign w:val="center"/>
                </w:tcPr>
                <w:p w14:paraId="509D7076">
                  <w:pPr>
                    <w:jc w:val="center"/>
                    <w:rPr>
                      <w:rFonts w:hint="default" w:ascii="Times New Roman" w:hAnsi="Times New Roman" w:eastAsia="宋体" w:cs="Times New Roman"/>
                      <w:color w:val="auto"/>
                      <w:kern w:val="0"/>
                      <w:szCs w:val="21"/>
                      <w:highlight w:val="none"/>
                    </w:rPr>
                  </w:pPr>
                </w:p>
              </w:tc>
              <w:tc>
                <w:tcPr>
                  <w:tcW w:w="2224" w:type="pct"/>
                  <w:tcBorders>
                    <w:tl2br w:val="nil"/>
                    <w:tr2bl w:val="nil"/>
                  </w:tcBorders>
                  <w:shd w:val="clear" w:color="auto" w:fill="auto"/>
                  <w:vAlign w:val="center"/>
                </w:tcPr>
                <w:p w14:paraId="0CB0EA33">
                  <w:pPr>
                    <w:pStyle w:val="96"/>
                    <w:widowControl/>
                    <w:shd w:val="clear" w:color="auto" w:fill="FFFFFF"/>
                    <w:spacing w:line="240" w:lineRule="auto"/>
                    <w:ind w:firstLine="0" w:firstLineChars="0"/>
                    <w:jc w:val="left"/>
                    <w:rPr>
                      <w:rFonts w:hint="default" w:ascii="Times New Roman" w:hAnsi="Times New Roman" w:eastAsia="宋体" w:cs="Times New Roman"/>
                      <w:color w:val="auto"/>
                      <w:kern w:val="0"/>
                      <w:szCs w:val="21"/>
                      <w:highlight w:val="none"/>
                    </w:rPr>
                  </w:pPr>
                  <w:r>
                    <w:rPr>
                      <w:rStyle w:val="42"/>
                      <w:rFonts w:hint="default" w:ascii="Times New Roman" w:hAnsi="Times New Roman" w:eastAsia="宋体" w:cs="Times New Roman"/>
                      <w:color w:val="auto"/>
                      <w:kern w:val="2"/>
                      <w:sz w:val="21"/>
                      <w:szCs w:val="21"/>
                      <w:lang w:val="en-US" w:eastAsia="zh-CN" w:bidi="ar-SA"/>
                    </w:rPr>
                    <w:t>能源利用效率要求</w:t>
                  </w:r>
                  <w:r>
                    <w:rPr>
                      <w:rStyle w:val="42"/>
                      <w:rFonts w:hint="eastAsia" w:eastAsia="宋体" w:cs="Times New Roman"/>
                      <w:color w:val="auto"/>
                      <w:kern w:val="2"/>
                      <w:sz w:val="21"/>
                      <w:szCs w:val="21"/>
                      <w:lang w:val="en-US" w:eastAsia="zh-CN" w:bidi="ar-SA"/>
                    </w:rPr>
                    <w:t>：/</w:t>
                  </w:r>
                </w:p>
              </w:tc>
              <w:tc>
                <w:tcPr>
                  <w:tcW w:w="1141" w:type="pct"/>
                  <w:tcBorders>
                    <w:tl2br w:val="nil"/>
                    <w:tr2bl w:val="nil"/>
                  </w:tcBorders>
                  <w:vAlign w:val="center"/>
                </w:tcPr>
                <w:p w14:paraId="0A4F18B1">
                  <w:pPr>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03CB44F9">
                  <w:pPr>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w:t>
                  </w:r>
                </w:p>
              </w:tc>
            </w:tr>
            <w:tr w14:paraId="1DBF62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85" w:type="pct"/>
                  <w:vMerge w:val="continue"/>
                  <w:tcBorders>
                    <w:tl2br w:val="nil"/>
                    <w:tr2bl w:val="nil"/>
                  </w:tcBorders>
                  <w:vAlign w:val="center"/>
                </w:tcPr>
                <w:p w14:paraId="6C8F4396">
                  <w:pPr>
                    <w:jc w:val="center"/>
                    <w:rPr>
                      <w:rFonts w:hint="default" w:ascii="Times New Roman" w:hAnsi="Times New Roman" w:eastAsia="宋体" w:cs="Times New Roman"/>
                      <w:color w:val="auto"/>
                      <w:kern w:val="0"/>
                      <w:szCs w:val="21"/>
                      <w:highlight w:val="none"/>
                    </w:rPr>
                  </w:pPr>
                </w:p>
              </w:tc>
              <w:tc>
                <w:tcPr>
                  <w:tcW w:w="254" w:type="pct"/>
                  <w:vMerge w:val="continue"/>
                  <w:tcBorders>
                    <w:tl2br w:val="nil"/>
                    <w:tr2bl w:val="nil"/>
                  </w:tcBorders>
                  <w:vAlign w:val="center"/>
                </w:tcPr>
                <w:p w14:paraId="0AB0FD22">
                  <w:pPr>
                    <w:jc w:val="center"/>
                    <w:rPr>
                      <w:rFonts w:hint="default" w:ascii="Times New Roman" w:hAnsi="Times New Roman" w:eastAsia="宋体" w:cs="Times New Roman"/>
                      <w:color w:val="auto"/>
                      <w:kern w:val="0"/>
                      <w:szCs w:val="21"/>
                      <w:highlight w:val="none"/>
                    </w:rPr>
                  </w:pPr>
                </w:p>
              </w:tc>
              <w:tc>
                <w:tcPr>
                  <w:tcW w:w="596" w:type="pct"/>
                  <w:vMerge w:val="continue"/>
                  <w:tcBorders>
                    <w:tl2br w:val="nil"/>
                    <w:tr2bl w:val="nil"/>
                  </w:tcBorders>
                  <w:shd w:val="clear" w:color="auto" w:fill="auto"/>
                  <w:vAlign w:val="center"/>
                </w:tcPr>
                <w:p w14:paraId="3249236B">
                  <w:pPr>
                    <w:jc w:val="center"/>
                    <w:rPr>
                      <w:rFonts w:hint="default" w:ascii="Times New Roman" w:hAnsi="Times New Roman" w:eastAsia="宋体" w:cs="Times New Roman"/>
                      <w:color w:val="auto"/>
                      <w:kern w:val="0"/>
                      <w:szCs w:val="21"/>
                      <w:highlight w:val="none"/>
                    </w:rPr>
                  </w:pPr>
                </w:p>
              </w:tc>
              <w:tc>
                <w:tcPr>
                  <w:tcW w:w="2224" w:type="pct"/>
                  <w:tcBorders>
                    <w:tl2br w:val="nil"/>
                    <w:tr2bl w:val="nil"/>
                  </w:tcBorders>
                  <w:shd w:val="clear" w:color="auto" w:fill="auto"/>
                  <w:vAlign w:val="center"/>
                </w:tcPr>
                <w:p w14:paraId="48FE0185">
                  <w:pPr>
                    <w:pStyle w:val="96"/>
                    <w:widowControl/>
                    <w:shd w:val="clear" w:color="auto" w:fill="FFFFFF"/>
                    <w:spacing w:line="240" w:lineRule="auto"/>
                    <w:ind w:firstLine="0" w:firstLineChars="0"/>
                    <w:jc w:val="left"/>
                    <w:rPr>
                      <w:rFonts w:hint="default" w:ascii="Times New Roman" w:hAnsi="Times New Roman" w:eastAsia="宋体" w:cs="Times New Roman"/>
                      <w:color w:val="auto"/>
                      <w:kern w:val="0"/>
                      <w:szCs w:val="21"/>
                      <w:highlight w:val="none"/>
                    </w:rPr>
                  </w:pPr>
                  <w:r>
                    <w:rPr>
                      <w:rStyle w:val="42"/>
                      <w:rFonts w:hint="default" w:ascii="Times New Roman" w:hAnsi="Times New Roman" w:eastAsia="宋体" w:cs="Times New Roman"/>
                      <w:color w:val="auto"/>
                      <w:kern w:val="2"/>
                      <w:sz w:val="21"/>
                      <w:szCs w:val="21"/>
                      <w:lang w:val="en-US" w:eastAsia="zh-CN" w:bidi="ar-SA"/>
                    </w:rPr>
                    <w:t>其他资源利用效率要求</w:t>
                  </w:r>
                  <w:r>
                    <w:rPr>
                      <w:rStyle w:val="42"/>
                      <w:rFonts w:hint="eastAsia" w:eastAsia="宋体" w:cs="Times New Roman"/>
                      <w:color w:val="auto"/>
                      <w:kern w:val="2"/>
                      <w:sz w:val="21"/>
                      <w:szCs w:val="21"/>
                      <w:lang w:val="en-US" w:eastAsia="zh-CN" w:bidi="ar-SA"/>
                    </w:rPr>
                    <w:t>：/</w:t>
                  </w:r>
                </w:p>
              </w:tc>
              <w:tc>
                <w:tcPr>
                  <w:tcW w:w="1141" w:type="pct"/>
                  <w:tcBorders>
                    <w:tl2br w:val="nil"/>
                    <w:tr2bl w:val="nil"/>
                  </w:tcBorders>
                  <w:vAlign w:val="center"/>
                </w:tcPr>
                <w:p w14:paraId="5A2B5321">
                  <w:pPr>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w:t>
                  </w:r>
                </w:p>
              </w:tc>
              <w:tc>
                <w:tcPr>
                  <w:tcW w:w="397" w:type="pct"/>
                  <w:tcBorders>
                    <w:tl2br w:val="nil"/>
                    <w:tr2bl w:val="nil"/>
                  </w:tcBorders>
                  <w:shd w:val="clear" w:color="auto" w:fill="auto"/>
                  <w:vAlign w:val="center"/>
                </w:tcPr>
                <w:p w14:paraId="6CBF44F4">
                  <w:pPr>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r>
          </w:tbl>
          <w:p w14:paraId="19AEFD87">
            <w:pPr>
              <w:wordWrap w:val="0"/>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经</w:t>
            </w:r>
            <w:r>
              <w:rPr>
                <w:rFonts w:ascii="Times New Roman" w:hAnsi="Times New Roman" w:eastAsia="宋体" w:cs="Times New Roman"/>
                <w:color w:val="auto"/>
                <w:sz w:val="24"/>
                <w:szCs w:val="24"/>
                <w:highlight w:val="none"/>
              </w:rPr>
              <w:t>上分析，</w:t>
            </w:r>
            <w:r>
              <w:rPr>
                <w:rFonts w:hint="eastAsia" w:ascii="Times New Roman" w:hAnsi="Times New Roman" w:eastAsia="宋体" w:cs="Times New Roman"/>
                <w:color w:val="auto"/>
                <w:sz w:val="24"/>
                <w:szCs w:val="24"/>
                <w:highlight w:val="none"/>
              </w:rPr>
              <w:t>本项目的建设符合</w:t>
            </w:r>
            <w:r>
              <w:rPr>
                <w:rFonts w:hint="eastAsia" w:ascii="Times New Roman" w:hAnsi="Times New Roman" w:eastAsia="宋体" w:cs="Times New Roman"/>
                <w:color w:val="auto"/>
                <w:sz w:val="24"/>
                <w:szCs w:val="24"/>
                <w:highlight w:val="none"/>
                <w:lang w:val="en-US" w:eastAsia="zh-CN"/>
              </w:rPr>
              <w:t>马尔康</w:t>
            </w:r>
            <w:r>
              <w:rPr>
                <w:rFonts w:hint="eastAsia" w:ascii="Times New Roman" w:hAnsi="Times New Roman" w:eastAsia="宋体" w:cs="Times New Roman"/>
                <w:color w:val="auto"/>
                <w:sz w:val="24"/>
                <w:szCs w:val="24"/>
                <w:highlight w:val="none"/>
              </w:rPr>
              <w:t>市生态环境管控单元的总体管控要求，符合环境综合管控单元城镇重点管控单元的总体管控要求，项目不涉及生态红线，项目运营期不会突破环境质量底线和资源利用上线。</w:t>
            </w:r>
          </w:p>
          <w:p w14:paraId="1BBC727E">
            <w:pPr>
              <w:wordWrap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p>
        </w:tc>
      </w:tr>
    </w:tbl>
    <w:p w14:paraId="2C8F69FD">
      <w:pPr>
        <w:pStyle w:val="36"/>
        <w:jc w:val="both"/>
        <w:rPr>
          <w:rFonts w:ascii="黑体" w:hAnsi="黑体" w:eastAsia="黑体"/>
          <w:b w:val="0"/>
          <w:color w:val="auto"/>
          <w:sz w:val="30"/>
          <w:szCs w:val="30"/>
          <w:highlight w:val="none"/>
        </w:rPr>
        <w:sectPr>
          <w:pgSz w:w="16838" w:h="11906" w:orient="landscape"/>
          <w:pgMar w:top="1080" w:right="1440" w:bottom="108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9145"/>
      </w:tblGrid>
      <w:tr w14:paraId="666F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06F1CCE2">
            <w:pPr>
              <w:jc w:val="center"/>
              <w:rPr>
                <w:rFonts w:ascii="黑体" w:hAnsi="黑体" w:eastAsia="黑体"/>
                <w:color w:val="auto"/>
                <w:sz w:val="24"/>
                <w:szCs w:val="24"/>
                <w:highlight w:val="none"/>
              </w:rPr>
            </w:pPr>
            <w:r>
              <w:rPr>
                <w:rFonts w:ascii="Times New Roman" w:hAnsi="Times New Roman" w:cs="Times New Roman"/>
                <w:color w:val="auto"/>
                <w:sz w:val="24"/>
                <w:szCs w:val="24"/>
                <w:highlight w:val="none"/>
              </w:rPr>
              <w:t>其他符合性分析</w:t>
            </w:r>
          </w:p>
        </w:tc>
        <w:tc>
          <w:tcPr>
            <w:tcW w:w="4589" w:type="pct"/>
          </w:tcPr>
          <w:p w14:paraId="3B0BC2A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kern w:val="0"/>
                <w:sz w:val="24"/>
                <w:szCs w:val="24"/>
                <w:highlight w:val="none"/>
                <w:lang w:val="en-US" w:eastAsia="zh-CN"/>
              </w:rPr>
            </w:pPr>
            <w:r>
              <w:rPr>
                <w:rFonts w:hint="eastAsia" w:ascii="Times New Roman" w:hAnsi="Times New Roman" w:eastAsia="宋体" w:cs="Times New Roman"/>
                <w:b/>
                <w:color w:val="auto"/>
                <w:kern w:val="0"/>
                <w:sz w:val="24"/>
                <w:szCs w:val="24"/>
                <w:highlight w:val="none"/>
                <w:lang w:val="en-US" w:eastAsia="zh-CN"/>
              </w:rPr>
              <w:t>4</w:t>
            </w:r>
            <w:r>
              <w:rPr>
                <w:rFonts w:hint="eastAsia" w:ascii="Times New Roman" w:hAnsi="Times New Roman" w:eastAsia="宋体" w:cs="Times New Roman"/>
                <w:b/>
                <w:color w:val="auto"/>
                <w:kern w:val="0"/>
                <w:sz w:val="24"/>
                <w:szCs w:val="24"/>
                <w:highlight w:val="none"/>
              </w:rPr>
              <w:t>、</w:t>
            </w:r>
            <w:r>
              <w:rPr>
                <w:rFonts w:hint="default" w:ascii="Times New Roman" w:hAnsi="Times New Roman" w:eastAsia="宋体" w:cs="Times New Roman"/>
                <w:b/>
                <w:color w:val="auto"/>
                <w:kern w:val="0"/>
                <w:sz w:val="24"/>
                <w:szCs w:val="24"/>
                <w:highlight w:val="none"/>
              </w:rPr>
              <w:t>与</w:t>
            </w:r>
            <w:r>
              <w:rPr>
                <w:rFonts w:hint="eastAsia" w:ascii="Times New Roman" w:hAnsi="Times New Roman" w:eastAsia="宋体" w:cs="Times New Roman"/>
                <w:b/>
                <w:color w:val="auto"/>
                <w:kern w:val="0"/>
                <w:sz w:val="24"/>
                <w:szCs w:val="24"/>
                <w:highlight w:val="none"/>
                <w:lang w:val="en-US" w:eastAsia="zh-CN"/>
              </w:rPr>
              <w:t>相关教育规划等符合性分析</w:t>
            </w:r>
          </w:p>
          <w:p w14:paraId="3969457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Times New Roman" w:hAnsi="Times New Roman" w:eastAsia="宋体" w:cs="Times New Roman"/>
                <w:b/>
                <w:color w:val="auto"/>
                <w:kern w:val="0"/>
                <w:sz w:val="24"/>
                <w:szCs w:val="24"/>
                <w:highlight w:val="none"/>
              </w:rPr>
            </w:pPr>
            <w:r>
              <w:rPr>
                <w:rFonts w:hint="eastAsia" w:ascii="Times New Roman" w:hAnsi="Times New Roman" w:eastAsia="宋体" w:cs="Times New Roman"/>
                <w:b/>
                <w:color w:val="auto"/>
                <w:kern w:val="0"/>
                <w:sz w:val="24"/>
                <w:szCs w:val="24"/>
                <w:highlight w:val="none"/>
                <w:lang w:val="en-US" w:eastAsia="zh-CN" w:bidi="ar"/>
              </w:rPr>
              <w:t>（1）《教育强省建设规划纲要（</w:t>
            </w:r>
            <w:r>
              <w:rPr>
                <w:rFonts w:hint="eastAsia" w:ascii="Times New Roman" w:hAnsi="Times New Roman" w:eastAsia="宋体" w:cs="Times New Roman"/>
                <w:b/>
                <w:bCs w:val="0"/>
                <w:color w:val="auto"/>
                <w:kern w:val="0"/>
                <w:sz w:val="24"/>
                <w:szCs w:val="24"/>
                <w:highlight w:val="none"/>
                <w:lang w:val="en-US" w:eastAsia="zh-CN" w:bidi="ar"/>
              </w:rPr>
              <w:t>2025-2035</w:t>
            </w:r>
            <w:r>
              <w:rPr>
                <w:rFonts w:hint="eastAsia" w:ascii="Times New Roman" w:hAnsi="Times New Roman" w:eastAsia="宋体" w:cs="Times New Roman"/>
                <w:b/>
                <w:color w:val="auto"/>
                <w:kern w:val="0"/>
                <w:sz w:val="24"/>
                <w:szCs w:val="24"/>
                <w:highlight w:val="none"/>
                <w:lang w:val="en-US" w:eastAsia="zh-CN" w:bidi="ar"/>
              </w:rPr>
              <w:t>年）》</w:t>
            </w:r>
            <w:r>
              <w:rPr>
                <w:rFonts w:hint="eastAsia" w:ascii="Times New Roman" w:hAnsi="Times New Roman" w:eastAsia="宋体" w:cs="Times New Roman"/>
                <w:b/>
                <w:color w:val="auto"/>
                <w:kern w:val="0"/>
                <w:sz w:val="24"/>
                <w:szCs w:val="24"/>
                <w:highlight w:val="none"/>
              </w:rPr>
              <w:t>符合性分析</w:t>
            </w:r>
          </w:p>
          <w:p w14:paraId="5AD059A0">
            <w:pPr>
              <w:keepNext w:val="0"/>
              <w:keepLines w:val="0"/>
              <w:widowControl/>
              <w:suppressLineNumbers w:val="0"/>
              <w:spacing w:line="360" w:lineRule="auto"/>
              <w:ind w:firstLine="480" w:firstLineChars="200"/>
              <w:jc w:val="left"/>
              <w:rPr>
                <w:rFonts w:ascii="Times New Roman" w:hAnsi="Times New Roman" w:eastAsia="宋体" w:cs="Times New Roman"/>
                <w:bCs/>
                <w:color w:val="auto"/>
                <w:sz w:val="24"/>
              </w:rPr>
            </w:pPr>
            <w:r>
              <w:rPr>
                <w:rFonts w:hint="default" w:ascii="Times New Roman" w:hAnsi="Times New Roman" w:eastAsia="宋体" w:cs="Times New Roman"/>
                <w:b w:val="0"/>
                <w:bCs/>
                <w:color w:val="auto"/>
                <w:kern w:val="2"/>
                <w:sz w:val="24"/>
                <w:szCs w:val="22"/>
                <w:highlight w:val="none"/>
                <w:lang w:val="en-US" w:eastAsia="zh-CN" w:bidi="ar"/>
              </w:rPr>
              <w:t>《教育强省建设规划纲要（2025-2035年）》</w:t>
            </w:r>
            <w:r>
              <w:rPr>
                <w:rFonts w:hint="default" w:ascii="Times New Roman" w:hAnsi="Times New Roman" w:eastAsia="宋体" w:cs="Times New Roman"/>
                <w:b w:val="0"/>
                <w:bCs/>
                <w:color w:val="auto"/>
                <w:kern w:val="2"/>
                <w:sz w:val="24"/>
                <w:szCs w:val="22"/>
                <w:lang w:val="en-US" w:eastAsia="zh-CN" w:bidi="ar"/>
              </w:rPr>
              <w:t>（</w:t>
            </w:r>
            <w:r>
              <w:rPr>
                <w:rFonts w:ascii="Times New Roman" w:hAnsi="Times New Roman" w:eastAsia="宋体" w:cs="Times New Roman"/>
                <w:bCs/>
                <w:color w:val="auto"/>
                <w:kern w:val="2"/>
                <w:sz w:val="24"/>
                <w:szCs w:val="22"/>
                <w:lang w:val="en-US" w:eastAsia="zh-CN" w:bidi="ar"/>
              </w:rPr>
              <w:t>川府发</w:t>
            </w:r>
            <w:r>
              <w:rPr>
                <w:rFonts w:hint="eastAsia" w:ascii="宋体" w:hAnsi="宋体" w:eastAsia="宋体" w:cs="宋体"/>
                <w:bCs/>
                <w:color w:val="auto"/>
                <w:kern w:val="2"/>
                <w:sz w:val="24"/>
                <w:szCs w:val="22"/>
                <w:lang w:val="en-US" w:eastAsia="zh-CN" w:bidi="ar"/>
              </w:rPr>
              <w:t>〔</w:t>
            </w:r>
            <w:r>
              <w:rPr>
                <w:rFonts w:hint="default" w:ascii="Times New Roman" w:hAnsi="Times New Roman" w:eastAsia="宋体" w:cs="Times New Roman"/>
                <w:bCs/>
                <w:color w:val="auto"/>
                <w:kern w:val="2"/>
                <w:sz w:val="24"/>
                <w:szCs w:val="22"/>
                <w:lang w:val="en-US" w:eastAsia="zh-CN" w:bidi="ar"/>
              </w:rPr>
              <w:t>2025</w:t>
            </w:r>
            <w:r>
              <w:rPr>
                <w:rFonts w:hint="eastAsia" w:ascii="宋体" w:hAnsi="宋体" w:eastAsia="宋体" w:cs="宋体"/>
                <w:bCs/>
                <w:color w:val="auto"/>
                <w:kern w:val="2"/>
                <w:sz w:val="24"/>
                <w:szCs w:val="22"/>
                <w:lang w:val="en-US" w:eastAsia="zh-CN" w:bidi="ar"/>
              </w:rPr>
              <w:t>〕</w:t>
            </w:r>
            <w:r>
              <w:rPr>
                <w:rFonts w:hint="default" w:ascii="Times New Roman" w:hAnsi="Times New Roman" w:eastAsia="宋体" w:cs="Times New Roman"/>
                <w:bCs/>
                <w:color w:val="auto"/>
                <w:kern w:val="2"/>
                <w:sz w:val="24"/>
                <w:szCs w:val="22"/>
                <w:lang w:val="en-US" w:eastAsia="zh-CN" w:bidi="ar"/>
              </w:rPr>
              <w:t>12号</w:t>
            </w:r>
            <w:r>
              <w:rPr>
                <w:rFonts w:hint="default" w:ascii="Times New Roman" w:hAnsi="Times New Roman" w:eastAsia="宋体" w:cs="Times New Roman"/>
                <w:b w:val="0"/>
                <w:bCs/>
                <w:color w:val="auto"/>
                <w:kern w:val="2"/>
                <w:sz w:val="24"/>
                <w:szCs w:val="22"/>
                <w:lang w:val="en-US" w:eastAsia="zh-CN" w:bidi="ar"/>
              </w:rPr>
              <w:t>）</w:t>
            </w:r>
            <w:r>
              <w:rPr>
                <w:rFonts w:hint="default" w:ascii="Times New Roman" w:hAnsi="Times New Roman" w:eastAsia="宋体" w:cs="Times New Roman"/>
                <w:bCs/>
                <w:color w:val="auto"/>
                <w:kern w:val="0"/>
                <w:sz w:val="24"/>
              </w:rPr>
              <w:t>提出，</w:t>
            </w:r>
            <w:r>
              <w:rPr>
                <w:rFonts w:ascii="Times New Roman" w:hAnsi="Times New Roman" w:eastAsia="宋体" w:cs="Times New Roman"/>
                <w:bCs/>
                <w:color w:val="auto"/>
                <w:kern w:val="2"/>
                <w:sz w:val="24"/>
                <w:szCs w:val="22"/>
                <w:lang w:val="en-US" w:eastAsia="zh-CN" w:bidi="ar"/>
              </w:rPr>
              <w:t>适应人口变化特征</w:t>
            </w:r>
            <w:r>
              <w:rPr>
                <w:rFonts w:hint="default" w:ascii="Times New Roman" w:hAnsi="Times New Roman" w:eastAsia="宋体" w:cs="Times New Roman"/>
                <w:bCs/>
                <w:color w:val="auto"/>
                <w:kern w:val="2"/>
                <w:sz w:val="24"/>
                <w:szCs w:val="22"/>
                <w:lang w:val="en-US" w:eastAsia="zh-CN" w:bidi="ar"/>
              </w:rPr>
              <w:t>，健全学龄人口变化监测预警机制，建立市县两级结合的基础教育管理体制，实施基础教育扩优提质工程。优化城乡学校布局，科学调整乡村学校，有序发展城镇学校，统筹整合民族地区学校。加强寄宿制学校建设，办好必要的小规模学校。</w:t>
            </w:r>
            <w:r>
              <w:rPr>
                <w:rFonts w:ascii="Times New Roman" w:hAnsi="Times New Roman" w:eastAsia="宋体" w:cs="Times New Roman"/>
                <w:bCs/>
                <w:color w:val="auto"/>
                <w:kern w:val="2"/>
                <w:sz w:val="24"/>
                <w:szCs w:val="22"/>
                <w:lang w:val="en-US" w:eastAsia="zh-CN" w:bidi="ar"/>
              </w:rPr>
              <w:t>提升学校教育教学质量</w:t>
            </w:r>
            <w:r>
              <w:rPr>
                <w:rFonts w:hint="default" w:ascii="Times New Roman" w:hAnsi="Times New Roman" w:eastAsia="宋体" w:cs="Times New Roman"/>
                <w:bCs/>
                <w:color w:val="auto"/>
                <w:kern w:val="2"/>
                <w:sz w:val="24"/>
                <w:szCs w:val="22"/>
                <w:lang w:val="en-US" w:eastAsia="zh-CN" w:bidi="ar"/>
              </w:rPr>
              <w:t>，开展学科实践、实验教学、跨学科主题学习和综合实践活动，探索建立学情会商和教学述评制度，培育学生核心素养。</w:t>
            </w:r>
          </w:p>
          <w:p w14:paraId="31034A16">
            <w:pPr>
              <w:spacing w:line="360" w:lineRule="auto"/>
              <w:ind w:firstLine="480" w:firstLineChars="200"/>
              <w:rPr>
                <w:rFonts w:ascii="Times New Roman" w:hAnsi="Times New Roman" w:cs="Times New Roman"/>
                <w:color w:val="auto"/>
                <w:kern w:val="0"/>
                <w:sz w:val="24"/>
                <w:szCs w:val="24"/>
                <w:highlight w:val="none"/>
              </w:rPr>
            </w:pPr>
            <w:r>
              <w:rPr>
                <w:rFonts w:hint="default" w:ascii="Times New Roman" w:hAnsi="Times New Roman" w:eastAsia="宋体" w:cs="Times New Roman"/>
                <w:bCs/>
                <w:color w:val="auto"/>
                <w:sz w:val="24"/>
              </w:rPr>
              <w:t>本项目实施目的是为推进民族地区教育发展，加快补齐民族地区和城市新增人口集中地区资源短板，改善基础教育薄弱环节，为阿坝州民族地区建设提供更加有力的人才保障和智力支持</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因此，本项目</w:t>
            </w:r>
            <w:r>
              <w:rPr>
                <w:rFonts w:hint="default" w:ascii="Times New Roman" w:hAnsi="Times New Roman" w:eastAsia="宋体" w:cs="Times New Roman"/>
                <w:bCs/>
                <w:color w:val="auto"/>
                <w:sz w:val="24"/>
              </w:rPr>
              <w:t>与</w:t>
            </w:r>
            <w:r>
              <w:rPr>
                <w:rFonts w:hint="default" w:ascii="Times New Roman" w:hAnsi="Times New Roman" w:eastAsia="宋体" w:cs="Times New Roman"/>
                <w:b w:val="0"/>
                <w:bCs/>
                <w:color w:val="auto"/>
                <w:kern w:val="2"/>
                <w:sz w:val="24"/>
                <w:szCs w:val="22"/>
                <w:lang w:val="en-US" w:eastAsia="zh-CN" w:bidi="ar"/>
              </w:rPr>
              <w:t>《教育强省建设规划纲要（2025-2035年）》</w:t>
            </w:r>
            <w:r>
              <w:rPr>
                <w:rFonts w:hint="default" w:ascii="Times New Roman" w:hAnsi="Times New Roman" w:eastAsia="宋体" w:cs="Times New Roman"/>
                <w:bCs/>
                <w:color w:val="auto"/>
                <w:kern w:val="0"/>
                <w:sz w:val="24"/>
              </w:rPr>
              <w:t>要求相符合</w:t>
            </w:r>
            <w:r>
              <w:rPr>
                <w:rFonts w:hint="default" w:ascii="Times New Roman" w:hAnsi="Times New Roman" w:eastAsia="宋体" w:cs="Times New Roman"/>
                <w:bCs/>
                <w:color w:val="auto"/>
                <w:sz w:val="24"/>
              </w:rPr>
              <w:t>。</w:t>
            </w:r>
          </w:p>
          <w:p w14:paraId="7DD14ED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s="Times New Roman"/>
                <w:b/>
                <w:color w:val="auto"/>
                <w:kern w:val="0"/>
                <w:sz w:val="24"/>
                <w:szCs w:val="24"/>
                <w:highlight w:val="none"/>
              </w:rPr>
            </w:pPr>
            <w:r>
              <w:rPr>
                <w:rFonts w:hint="eastAsia" w:ascii="Times New Roman" w:hAnsi="Times New Roman" w:cs="Times New Roman"/>
                <w:b/>
                <w:color w:val="auto"/>
                <w:kern w:val="0"/>
                <w:sz w:val="24"/>
                <w:szCs w:val="24"/>
                <w:highlight w:val="none"/>
                <w:lang w:val="en-US" w:eastAsia="zh-CN"/>
              </w:rPr>
              <w:t>（2）</w:t>
            </w:r>
            <w:r>
              <w:rPr>
                <w:rFonts w:hint="eastAsia" w:ascii="Times New Roman" w:hAnsi="Times New Roman" w:cs="Times New Roman"/>
                <w:b/>
                <w:color w:val="auto"/>
                <w:kern w:val="0"/>
                <w:sz w:val="24"/>
                <w:szCs w:val="24"/>
                <w:highlight w:val="none"/>
              </w:rPr>
              <w:t>与</w:t>
            </w:r>
            <w:r>
              <w:rPr>
                <w:rFonts w:ascii="Times New Roman" w:hAnsi="Times New Roman" w:cs="Times New Roman"/>
                <w:b/>
                <w:color w:val="auto"/>
                <w:kern w:val="0"/>
                <w:sz w:val="24"/>
                <w:szCs w:val="24"/>
                <w:highlight w:val="none"/>
              </w:rPr>
              <w:t>《</w:t>
            </w:r>
            <w:r>
              <w:rPr>
                <w:rFonts w:hint="eastAsia" w:ascii="Times New Roman" w:hAnsi="Times New Roman" w:cs="Times New Roman"/>
                <w:b/>
                <w:color w:val="auto"/>
                <w:kern w:val="0"/>
                <w:sz w:val="24"/>
                <w:szCs w:val="24"/>
                <w:highlight w:val="none"/>
              </w:rPr>
              <w:t>四川省民族地区教育发展十年行动计划（2021</w:t>
            </w:r>
            <w:r>
              <w:rPr>
                <w:rFonts w:hint="eastAsia" w:ascii="Times New Roman" w:hAnsi="Times New Roman" w:cs="Times New Roman"/>
                <w:b/>
                <w:color w:val="auto"/>
                <w:kern w:val="0"/>
                <w:sz w:val="24"/>
                <w:szCs w:val="24"/>
                <w:highlight w:val="none"/>
                <w:lang w:val="en-US" w:eastAsia="zh-CN"/>
              </w:rPr>
              <w:t>-</w:t>
            </w:r>
            <w:r>
              <w:rPr>
                <w:rFonts w:hint="eastAsia" w:ascii="Times New Roman" w:hAnsi="Times New Roman" w:cs="Times New Roman"/>
                <w:b/>
                <w:color w:val="auto"/>
                <w:kern w:val="0"/>
                <w:sz w:val="24"/>
                <w:szCs w:val="24"/>
                <w:highlight w:val="none"/>
              </w:rPr>
              <w:t>2030年）</w:t>
            </w:r>
            <w:r>
              <w:rPr>
                <w:rFonts w:ascii="Times New Roman" w:hAnsi="Times New Roman" w:cs="Times New Roman"/>
                <w:b/>
                <w:color w:val="auto"/>
                <w:kern w:val="0"/>
                <w:sz w:val="24"/>
                <w:szCs w:val="24"/>
                <w:highlight w:val="none"/>
              </w:rPr>
              <w:t>》符合性分析</w:t>
            </w:r>
          </w:p>
          <w:p w14:paraId="27727C97">
            <w:pPr>
              <w:spacing w:line="360" w:lineRule="auto"/>
              <w:ind w:firstLine="480" w:firstLineChars="200"/>
              <w:rPr>
                <w:rFonts w:hint="eastAsia"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行动计划》提出要全面落实立德树人根本任务，推动民族地区教育普及、普惠、优质发展，培养德智体美劳全面发展的社会主义建设者和接班人，为新时代民族地区高质量发展和长治久安提供人才保障和智力支撑。《行动计划》提出，到2030年，实现民族地区教育事业发展主要指标接近全省平均水平，基本建成服务全民终身学习的现代教育体系，县域内义务教育优质均衡发展基本实现，学前教育和高中阶段教育全面普及，学校基本办学条件达到省定标准。残疾儿童少年享有更适合的教育，普通高中教育与中等职业教育同步协调融合发展，绝大多数城乡新增劳动力接受过高中阶段教育，能够熟练掌握和运用国家通用语言文字，民族地区特别是农牧区学生接受优质高等教育机会进一步增加。《行动计划》明确了铸牢中华民族共同体意识、健全国家通用语言文字教育机制、巩固提升控辍保学成果、推进寄宿制规模办学、加强专业化教师队伍建设、提升教育信息化水平、深化教育对口支援等九项重点任务，并对加强组织领导、强化资金投入保障、强化实施监管等方面作出安排，保障《行动计划》实施。</w:t>
            </w:r>
          </w:p>
          <w:p w14:paraId="1866B35A">
            <w:pPr>
              <w:spacing w:line="360" w:lineRule="auto"/>
              <w:ind w:firstLine="480" w:firstLineChars="200"/>
              <w:rPr>
                <w:rFonts w:hint="eastAsia"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本项目为马尔康市</w:t>
            </w:r>
            <w:r>
              <w:rPr>
                <w:rFonts w:hint="eastAsia" w:ascii="Times New Roman" w:hAnsi="Times New Roman" w:cs="Times New Roman"/>
                <w:color w:val="auto"/>
                <w:kern w:val="0"/>
                <w:sz w:val="24"/>
                <w:szCs w:val="24"/>
                <w:highlight w:val="none"/>
                <w:lang w:val="en-US" w:eastAsia="zh-CN"/>
              </w:rPr>
              <w:t>第二中学实验楼建设项目</w:t>
            </w:r>
            <w:r>
              <w:rPr>
                <w:rFonts w:hint="eastAsia" w:ascii="Times New Roman" w:hAnsi="Times New Roman" w:cs="Times New Roman"/>
                <w:color w:val="auto"/>
                <w:kern w:val="0"/>
                <w:sz w:val="24"/>
                <w:szCs w:val="24"/>
                <w:highlight w:val="none"/>
              </w:rPr>
              <w:t>。本项目建设完成后有益于义务教育均衡发展，县域内义务教育优质均衡发展基本实现</w:t>
            </w: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lang w:val="en-US" w:eastAsia="zh-CN"/>
              </w:rPr>
              <w:t>因此，本项目</w:t>
            </w:r>
            <w:r>
              <w:rPr>
                <w:rFonts w:hint="eastAsia" w:ascii="Times New Roman" w:hAnsi="Times New Roman" w:cs="Times New Roman"/>
                <w:color w:val="auto"/>
                <w:kern w:val="0"/>
                <w:sz w:val="24"/>
                <w:szCs w:val="24"/>
                <w:highlight w:val="none"/>
              </w:rPr>
              <w:t>与《四川省民族地区教育发展十年行动计划（2021—2030年）》要求相符合。</w:t>
            </w:r>
          </w:p>
          <w:p w14:paraId="40820B08">
            <w:pPr>
              <w:widowControl/>
              <w:spacing w:line="360" w:lineRule="auto"/>
              <w:ind w:firstLine="482" w:firstLineChars="200"/>
              <w:jc w:val="left"/>
              <w:rPr>
                <w:rFonts w:hint="default" w:ascii="Times New Roman" w:hAnsi="Times New Roman" w:eastAsia="宋体" w:cs="Times New Roman"/>
                <w:b/>
                <w:bCs/>
                <w:color w:val="auto"/>
                <w:kern w:val="0"/>
                <w:sz w:val="24"/>
                <w:lang w:val="en-US" w:eastAsia="zh-CN" w:bidi="ar"/>
              </w:rPr>
            </w:pPr>
            <w:r>
              <w:rPr>
                <w:rFonts w:hint="eastAsia" w:ascii="Times New Roman" w:hAnsi="Times New Roman" w:cs="Times New Roman"/>
                <w:b/>
                <w:color w:val="auto"/>
                <w:kern w:val="0"/>
                <w:sz w:val="24"/>
                <w:lang w:val="en-US" w:eastAsia="zh-CN"/>
              </w:rPr>
              <w:t>5</w:t>
            </w:r>
            <w:r>
              <w:rPr>
                <w:rFonts w:hint="default" w:ascii="Times New Roman" w:hAnsi="Times New Roman" w:cs="Times New Roman"/>
                <w:b/>
                <w:color w:val="auto"/>
                <w:kern w:val="0"/>
                <w:sz w:val="24"/>
              </w:rPr>
              <w:t>、</w:t>
            </w:r>
            <w:r>
              <w:rPr>
                <w:rFonts w:hint="default" w:ascii="Times New Roman" w:hAnsi="Times New Roman" w:eastAsia="宋体" w:cs="Times New Roman"/>
                <w:b/>
                <w:bCs/>
                <w:color w:val="auto"/>
                <w:kern w:val="0"/>
                <w:sz w:val="24"/>
                <w:lang w:val="en-US" w:eastAsia="zh-CN" w:bidi="ar"/>
              </w:rPr>
              <w:t>与长江流域及相关负面清单政策符合性分析</w:t>
            </w:r>
          </w:p>
          <w:p w14:paraId="57A1E455">
            <w:pPr>
              <w:autoSpaceDE w:val="0"/>
              <w:autoSpaceDN w:val="0"/>
              <w:spacing w:line="360" w:lineRule="auto"/>
              <w:ind w:firstLine="482" w:firstLineChars="200"/>
              <w:rPr>
                <w:rFonts w:hint="default" w:ascii="Times New Roman" w:hAnsi="Times New Roman" w:cs="Times New Roman"/>
                <w:b/>
                <w:color w:val="auto"/>
                <w:kern w:val="0"/>
                <w:sz w:val="24"/>
              </w:rPr>
            </w:pPr>
            <w:r>
              <w:rPr>
                <w:rFonts w:hint="eastAsia" w:ascii="Times New Roman" w:hAnsi="Times New Roman" w:cs="Times New Roman"/>
                <w:b/>
                <w:color w:val="auto"/>
                <w:kern w:val="0"/>
                <w:sz w:val="24"/>
                <w:lang w:eastAsia="zh-CN"/>
              </w:rPr>
              <w:t>（</w:t>
            </w:r>
            <w:r>
              <w:rPr>
                <w:rFonts w:hint="eastAsia" w:ascii="Times New Roman" w:hAnsi="Times New Roman" w:cs="Times New Roman"/>
                <w:b/>
                <w:color w:val="auto"/>
                <w:kern w:val="0"/>
                <w:sz w:val="24"/>
                <w:lang w:val="en-US" w:eastAsia="zh-CN"/>
              </w:rPr>
              <w:t>1</w:t>
            </w:r>
            <w:r>
              <w:rPr>
                <w:rFonts w:hint="eastAsia" w:ascii="Times New Roman" w:hAnsi="Times New Roman" w:cs="Times New Roman"/>
                <w:b/>
                <w:color w:val="auto"/>
                <w:kern w:val="0"/>
                <w:sz w:val="24"/>
                <w:lang w:eastAsia="zh-CN"/>
              </w:rPr>
              <w:t>）</w:t>
            </w:r>
            <w:r>
              <w:rPr>
                <w:rFonts w:hint="default" w:ascii="Times New Roman" w:hAnsi="Times New Roman" w:cs="Times New Roman"/>
                <w:b/>
                <w:color w:val="auto"/>
                <w:kern w:val="0"/>
                <w:sz w:val="24"/>
              </w:rPr>
              <w:t>与《长江经济带发展负面清单指南（试行，2022年版）》符合性分析</w:t>
            </w:r>
          </w:p>
          <w:p w14:paraId="400D25C1">
            <w:pPr>
              <w:autoSpaceDE w:val="0"/>
              <w:autoSpaceDN w:val="0"/>
              <w:spacing w:line="360" w:lineRule="auto"/>
              <w:ind w:firstLine="480" w:firstLineChars="200"/>
              <w:rPr>
                <w:rFonts w:hint="default" w:ascii="Times New Roman" w:hAnsi="Times New Roman" w:cs="Times New Roman"/>
                <w:b/>
                <w:color w:val="auto"/>
                <w:kern w:val="0"/>
                <w:sz w:val="24"/>
              </w:rPr>
            </w:pPr>
            <w:r>
              <w:rPr>
                <w:rFonts w:hint="default" w:ascii="Times New Roman" w:hAnsi="Times New Roman" w:cs="Times New Roman"/>
                <w:bCs/>
                <w:color w:val="auto"/>
                <w:kern w:val="0"/>
                <w:sz w:val="24"/>
              </w:rPr>
              <w:t>推动长江经济带发展领导小组办公室于2022年1月19日印发《长江经济带发展负面清单指南（试行，2022年版）》，《指南》要求“要坚持生态优先、绿色发展的战略定位和共抓大环保，不搞大开发的战略导向，把修复长江生态环境摆在压倒性位置，严格执行负面清单管理制度体系，层层压实责任，严格落实管控措施，确保涉及长江的一切投资建设活动都以不破坏生态环境为前提。本项目与其主要内容符合性分析见下表：</w:t>
            </w:r>
          </w:p>
          <w:p w14:paraId="14AD4BB2">
            <w:pPr>
              <w:pStyle w:val="113"/>
              <w:bidi w:val="0"/>
              <w:rPr>
                <w:rFonts w:hint="default"/>
                <w:color w:val="auto"/>
              </w:rPr>
            </w:pPr>
            <w:r>
              <w:rPr>
                <w:rFonts w:hint="default"/>
                <w:color w:val="auto"/>
              </w:rPr>
              <w:t>项目与《长江经济带发展负面清单指南（试行，2022年版）》符合性分析表</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336"/>
              <w:gridCol w:w="2221"/>
              <w:gridCol w:w="1367"/>
            </w:tblGrid>
            <w:tr w14:paraId="29ECA6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989" w:type="pct"/>
                  <w:noWrap w:val="0"/>
                  <w:vAlign w:val="center"/>
                </w:tcPr>
                <w:p w14:paraId="2C0CA0DB">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bCs/>
                      <w:color w:val="auto"/>
                      <w:sz w:val="21"/>
                      <w:szCs w:val="21"/>
                      <w:lang w:val="en-US" w:eastAsia="zh-CN" w:bidi="bo-CN"/>
                    </w:rPr>
                  </w:pPr>
                  <w:r>
                    <w:rPr>
                      <w:rFonts w:hint="default" w:ascii="Times New Roman" w:hAnsi="Times New Roman" w:cs="Times New Roman"/>
                      <w:b/>
                      <w:bCs/>
                      <w:color w:val="auto"/>
                      <w:sz w:val="21"/>
                      <w:szCs w:val="21"/>
                      <w:lang w:val="en-US" w:eastAsia="zh-CN" w:bidi="bo-CN"/>
                    </w:rPr>
                    <w:t>文件要求</w:t>
                  </w:r>
                </w:p>
              </w:tc>
              <w:tc>
                <w:tcPr>
                  <w:tcW w:w="1244" w:type="pct"/>
                  <w:noWrap w:val="0"/>
                  <w:vAlign w:val="center"/>
                </w:tcPr>
                <w:p w14:paraId="39F27D1C">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bCs/>
                      <w:color w:val="auto"/>
                      <w:sz w:val="21"/>
                      <w:szCs w:val="21"/>
                      <w:lang w:val="en-US" w:eastAsia="zh-CN" w:bidi="bo-CN"/>
                    </w:rPr>
                  </w:pPr>
                  <w:r>
                    <w:rPr>
                      <w:rFonts w:hint="default" w:ascii="Times New Roman" w:hAnsi="Times New Roman" w:cs="Times New Roman"/>
                      <w:b/>
                      <w:bCs/>
                      <w:color w:val="auto"/>
                      <w:sz w:val="21"/>
                      <w:szCs w:val="21"/>
                      <w:lang w:val="en-US" w:eastAsia="zh-CN" w:bidi="bo-CN"/>
                    </w:rPr>
                    <w:t>本项目情况</w:t>
                  </w:r>
                </w:p>
              </w:tc>
              <w:tc>
                <w:tcPr>
                  <w:tcW w:w="766" w:type="pct"/>
                  <w:noWrap w:val="0"/>
                  <w:vAlign w:val="center"/>
                </w:tcPr>
                <w:p w14:paraId="5A0F550A">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bCs/>
                      <w:color w:val="auto"/>
                      <w:sz w:val="21"/>
                      <w:szCs w:val="21"/>
                      <w:lang w:val="en-US" w:eastAsia="zh-CN" w:bidi="bo-CN"/>
                    </w:rPr>
                  </w:pPr>
                  <w:r>
                    <w:rPr>
                      <w:rFonts w:hint="default" w:ascii="Times New Roman" w:hAnsi="Times New Roman" w:cs="Times New Roman"/>
                      <w:b/>
                      <w:bCs/>
                      <w:color w:val="auto"/>
                      <w:sz w:val="21"/>
                      <w:szCs w:val="21"/>
                      <w:lang w:val="en-US" w:eastAsia="zh-CN" w:bidi="bo-CN"/>
                    </w:rPr>
                    <w:t>符合情况</w:t>
                  </w:r>
                </w:p>
              </w:tc>
            </w:tr>
            <w:tr w14:paraId="112574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jc w:val="center"/>
              </w:trPr>
              <w:tc>
                <w:tcPr>
                  <w:tcW w:w="2989" w:type="pct"/>
                  <w:noWrap w:val="0"/>
                  <w:vAlign w:val="center"/>
                </w:tcPr>
                <w:p w14:paraId="492B0D17">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禁止在自然保护区核心区、缓冲区的岸线和河段范围内投资建设旅游和生产经营项目。禁止在风景名胜区核心景区的岸线和河段范围内投资建设与风景名胜资源保护无关的项目。</w:t>
                  </w:r>
                </w:p>
              </w:tc>
              <w:tc>
                <w:tcPr>
                  <w:tcW w:w="1244" w:type="pct"/>
                  <w:noWrap w:val="0"/>
                  <w:vAlign w:val="center"/>
                </w:tcPr>
                <w:p w14:paraId="21A87215">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本项目不涉及风景名胜区、自然保护区核心区、缓冲区的岸线和河段范围内。</w:t>
                  </w:r>
                </w:p>
              </w:tc>
              <w:tc>
                <w:tcPr>
                  <w:tcW w:w="766" w:type="pct"/>
                  <w:noWrap w:val="0"/>
                  <w:vAlign w:val="center"/>
                </w:tcPr>
                <w:p w14:paraId="3A3EE1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0CB89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989" w:type="pct"/>
                  <w:noWrap w:val="0"/>
                  <w:vAlign w:val="center"/>
                </w:tcPr>
                <w:p w14:paraId="1D29E5A2">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禁止在饮用水水源一级保护区的岸线和河段范围内新建、改建、扩建与供水设施和保护水源无关的项目，以及网箱养殖、畜禽养殖、旅游等可能污染饮用水水体的投资建设项目。禁用水水源二级保护区的岸线和河段范围内新建、改建扩建排放污染物的投资建设项目。</w:t>
                  </w:r>
                </w:p>
              </w:tc>
              <w:tc>
                <w:tcPr>
                  <w:tcW w:w="1244" w:type="pct"/>
                  <w:noWrap w:val="0"/>
                  <w:vAlign w:val="center"/>
                </w:tcPr>
                <w:p w14:paraId="1607B695">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lang w:bidi="bo-CN"/>
                    </w:rPr>
                  </w:pPr>
                  <w:r>
                    <w:rPr>
                      <w:rFonts w:hint="default" w:ascii="Times New Roman" w:hAnsi="Times New Roman" w:cs="Times New Roman"/>
                      <w:color w:val="auto"/>
                      <w:sz w:val="21"/>
                      <w:szCs w:val="21"/>
                      <w:lang w:val="en-US" w:eastAsia="zh-CN" w:bidi="bo-CN"/>
                    </w:rPr>
                    <w:t>本项目不涉及饮用水水源一级保护区、二级保护区的岸线和河段范围内。</w:t>
                  </w:r>
                </w:p>
              </w:tc>
              <w:tc>
                <w:tcPr>
                  <w:tcW w:w="766" w:type="pct"/>
                  <w:noWrap w:val="0"/>
                  <w:vAlign w:val="center"/>
                </w:tcPr>
                <w:p w14:paraId="2E2411D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符合</w:t>
                  </w:r>
                </w:p>
              </w:tc>
            </w:tr>
            <w:tr w14:paraId="250622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989" w:type="pct"/>
                  <w:noWrap w:val="0"/>
                  <w:vAlign w:val="center"/>
                </w:tcPr>
                <w:p w14:paraId="5DA7DCCA">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禁止在水产种质资源保护区的岸线和河段范围内新建围湖造田、围海造地或围填海等投资建设项目。禁止在国家湿地公的岸线和河段范围内挖沙、采矿以及任何不符合主体功能定位的投资建设项目。</w:t>
                  </w:r>
                </w:p>
              </w:tc>
              <w:tc>
                <w:tcPr>
                  <w:tcW w:w="1244" w:type="pct"/>
                  <w:noWrap w:val="0"/>
                  <w:vAlign w:val="center"/>
                </w:tcPr>
                <w:p w14:paraId="6F511563">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本项目不属于围湖造田、围海造地或围填海等投资建设项目。</w:t>
                  </w:r>
                </w:p>
              </w:tc>
              <w:tc>
                <w:tcPr>
                  <w:tcW w:w="766" w:type="pct"/>
                  <w:noWrap w:val="0"/>
                  <w:vAlign w:val="center"/>
                </w:tcPr>
                <w:p w14:paraId="64B86A1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符合</w:t>
                  </w:r>
                </w:p>
              </w:tc>
            </w:tr>
            <w:tr w14:paraId="16F85C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989" w:type="pct"/>
                  <w:noWrap w:val="0"/>
                  <w:vAlign w:val="center"/>
                </w:tcPr>
                <w:p w14:paraId="5B859393">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禁止未经许可在长江干支流及湖泊新设、改设或扩大排污口。</w:t>
                  </w:r>
                </w:p>
              </w:tc>
              <w:tc>
                <w:tcPr>
                  <w:tcW w:w="1244" w:type="pct"/>
                  <w:noWrap w:val="0"/>
                  <w:vAlign w:val="center"/>
                </w:tcPr>
                <w:p w14:paraId="1A3AB840">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eastAsia" w:ascii="Times New Roman" w:hAnsi="Times New Roman" w:cs="Times New Roman"/>
                      <w:color w:val="auto"/>
                      <w:sz w:val="21"/>
                      <w:szCs w:val="21"/>
                      <w:highlight w:val="none"/>
                      <w:vertAlign w:val="baseline"/>
                      <w:lang w:val="en-US" w:eastAsia="zh-CN"/>
                    </w:rPr>
                    <w:t>本项目废水进入酸碱中和池中和后，依托已建预处理处理后排入市政污水管网</w:t>
                  </w:r>
                  <w:r>
                    <w:rPr>
                      <w:rFonts w:hint="default" w:ascii="Times New Roman" w:hAnsi="Times New Roman" w:cs="Times New Roman"/>
                      <w:color w:val="auto"/>
                      <w:sz w:val="21"/>
                      <w:szCs w:val="21"/>
                      <w:lang w:val="en-US" w:eastAsia="zh-CN" w:bidi="bo-CN"/>
                    </w:rPr>
                    <w:t>，本项目不单独设排污口</w:t>
                  </w:r>
                  <w:r>
                    <w:rPr>
                      <w:rFonts w:hint="default" w:ascii="Times New Roman" w:hAnsi="Times New Roman" w:cs="Times New Roman"/>
                      <w:color w:val="auto"/>
                      <w:lang w:val="en-US" w:eastAsia="zh-CN"/>
                    </w:rPr>
                    <w:t>。</w:t>
                  </w:r>
                </w:p>
              </w:tc>
              <w:tc>
                <w:tcPr>
                  <w:tcW w:w="766" w:type="pct"/>
                  <w:noWrap w:val="0"/>
                  <w:vAlign w:val="center"/>
                </w:tcPr>
                <w:p w14:paraId="6E74B75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符合</w:t>
                  </w:r>
                </w:p>
              </w:tc>
            </w:tr>
            <w:tr w14:paraId="29AFC6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989" w:type="pct"/>
                  <w:noWrap w:val="0"/>
                  <w:vAlign w:val="center"/>
                </w:tcPr>
                <w:p w14:paraId="78B9E019">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禁止在长江支干流、重要湖泊岸线一公里范围内新建、扩建化工园区和化工项目。禁止在长江支干流岸线三公里范围内和重要支流岸线一公里范围内新建、改建、扩建尾矿库、冶炼渣库和磷石膏库，以提升安全、生态环境保护水平为目的的改建除外。</w:t>
                  </w:r>
                </w:p>
              </w:tc>
              <w:tc>
                <w:tcPr>
                  <w:tcW w:w="1244" w:type="pct"/>
                  <w:noWrap w:val="0"/>
                  <w:vAlign w:val="center"/>
                </w:tcPr>
                <w:p w14:paraId="6C73BECE">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本项目不属于化工项目，不属于尾矿库、冶炼渣库和磷石膏库项目</w:t>
                  </w:r>
                </w:p>
              </w:tc>
              <w:tc>
                <w:tcPr>
                  <w:tcW w:w="766" w:type="pct"/>
                  <w:noWrap w:val="0"/>
                  <w:vAlign w:val="center"/>
                </w:tcPr>
                <w:p w14:paraId="41F542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符合</w:t>
                  </w:r>
                </w:p>
              </w:tc>
            </w:tr>
            <w:tr w14:paraId="68342C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989" w:type="pct"/>
                  <w:noWrap w:val="0"/>
                  <w:vAlign w:val="center"/>
                </w:tcPr>
                <w:p w14:paraId="787FA913">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禁止在合规园区外新建、扩建钢铁、石化、化工、焦化、建材、有色、制浆造纸等高污染项目。</w:t>
                  </w:r>
                </w:p>
              </w:tc>
              <w:tc>
                <w:tcPr>
                  <w:tcW w:w="1244" w:type="pct"/>
                  <w:noWrap w:val="0"/>
                  <w:vAlign w:val="center"/>
                </w:tcPr>
                <w:p w14:paraId="7CFCAE9A">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本项目不涉及</w:t>
                  </w:r>
                </w:p>
              </w:tc>
              <w:tc>
                <w:tcPr>
                  <w:tcW w:w="766" w:type="pct"/>
                  <w:noWrap w:val="0"/>
                  <w:vAlign w:val="center"/>
                </w:tcPr>
                <w:p w14:paraId="262DC8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符合</w:t>
                  </w:r>
                </w:p>
              </w:tc>
            </w:tr>
            <w:tr w14:paraId="45AF49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989" w:type="pct"/>
                  <w:noWrap w:val="0"/>
                  <w:vAlign w:val="center"/>
                </w:tcPr>
                <w:p w14:paraId="5439EBBD">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禁止新建、扩建不符合国家石化、现代煤化工等产业布局规划的项目。</w:t>
                  </w:r>
                </w:p>
              </w:tc>
              <w:tc>
                <w:tcPr>
                  <w:tcW w:w="1244" w:type="pct"/>
                  <w:noWrap w:val="0"/>
                  <w:vAlign w:val="center"/>
                </w:tcPr>
                <w:p w14:paraId="42FA3EE0">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本项目不涉及</w:t>
                  </w:r>
                </w:p>
              </w:tc>
              <w:tc>
                <w:tcPr>
                  <w:tcW w:w="766" w:type="pct"/>
                  <w:noWrap w:val="0"/>
                  <w:vAlign w:val="center"/>
                </w:tcPr>
                <w:p w14:paraId="56013D3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符合</w:t>
                  </w:r>
                </w:p>
              </w:tc>
            </w:tr>
            <w:tr w14:paraId="429042E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989" w:type="pct"/>
                  <w:noWrap w:val="0"/>
                  <w:vAlign w:val="center"/>
                </w:tcPr>
                <w:p w14:paraId="56585CF3">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禁止新建、扩建法律法规和相关政策明令禁止的落后产能项目。</w:t>
                  </w:r>
                </w:p>
              </w:tc>
              <w:tc>
                <w:tcPr>
                  <w:tcW w:w="1244" w:type="pct"/>
                  <w:noWrap w:val="0"/>
                  <w:vAlign w:val="center"/>
                </w:tcPr>
                <w:p w14:paraId="77FCF04A">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本项目不属于法律法规和相关政策明令禁止的落后产能项目。</w:t>
                  </w:r>
                </w:p>
              </w:tc>
              <w:tc>
                <w:tcPr>
                  <w:tcW w:w="766" w:type="pct"/>
                  <w:noWrap w:val="0"/>
                  <w:vAlign w:val="center"/>
                </w:tcPr>
                <w:p w14:paraId="70FA97A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符合</w:t>
                  </w:r>
                </w:p>
              </w:tc>
            </w:tr>
            <w:tr w14:paraId="68B7E8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989" w:type="pct"/>
                  <w:noWrap w:val="0"/>
                  <w:vAlign w:val="center"/>
                </w:tcPr>
                <w:p w14:paraId="0BB062C7">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禁止新建、扩建不符合国家产能置换要求的严重过剩产能行业的项目。</w:t>
                  </w:r>
                </w:p>
              </w:tc>
              <w:tc>
                <w:tcPr>
                  <w:tcW w:w="1244" w:type="pct"/>
                  <w:noWrap w:val="0"/>
                  <w:vAlign w:val="center"/>
                </w:tcPr>
                <w:p w14:paraId="05AD3DAF">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本项目不属于国家产能置换要求的严重过剩产能行业的项目。</w:t>
                  </w:r>
                </w:p>
              </w:tc>
              <w:tc>
                <w:tcPr>
                  <w:tcW w:w="766" w:type="pct"/>
                  <w:noWrap w:val="0"/>
                  <w:vAlign w:val="center"/>
                </w:tcPr>
                <w:p w14:paraId="7F7BFA2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1E8BA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989" w:type="pct"/>
                  <w:noWrap w:val="0"/>
                  <w:vAlign w:val="center"/>
                </w:tcPr>
                <w:p w14:paraId="411CF641">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禁止新建、扩建不符合要求的高耗能高排放项目。</w:t>
                  </w:r>
                </w:p>
              </w:tc>
              <w:tc>
                <w:tcPr>
                  <w:tcW w:w="1244" w:type="pct"/>
                  <w:noWrap w:val="0"/>
                  <w:vAlign w:val="center"/>
                </w:tcPr>
                <w:p w14:paraId="27AB6695">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本项目不属于高耗能高排放项目</w:t>
                  </w:r>
                </w:p>
              </w:tc>
              <w:tc>
                <w:tcPr>
                  <w:tcW w:w="766" w:type="pct"/>
                  <w:noWrap w:val="0"/>
                  <w:vAlign w:val="center"/>
                </w:tcPr>
                <w:p w14:paraId="179EBB8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1A29015A">
            <w:pPr>
              <w:spacing w:line="360" w:lineRule="auto"/>
              <w:ind w:firstLine="482" w:firstLineChars="200"/>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综上，本项目的建设符合《长江经济带发展负面清单指南（试行，2022年版）》的要求。</w:t>
            </w:r>
          </w:p>
          <w:p w14:paraId="5606430E">
            <w:pPr>
              <w:spacing w:line="360" w:lineRule="auto"/>
              <w:ind w:firstLine="482" w:firstLineChars="200"/>
              <w:rPr>
                <w:rFonts w:hint="default" w:ascii="Times New Roman" w:hAnsi="Times New Roman" w:cs="Times New Roman"/>
                <w:b/>
                <w:color w:val="auto"/>
                <w:kern w:val="0"/>
                <w:sz w:val="24"/>
              </w:rPr>
            </w:pPr>
            <w:r>
              <w:rPr>
                <w:rFonts w:hint="eastAsia" w:ascii="Times New Roman" w:hAnsi="Times New Roman" w:cs="Times New Roman"/>
                <w:b/>
                <w:color w:val="auto"/>
                <w:kern w:val="0"/>
                <w:sz w:val="24"/>
                <w:lang w:val="en-US" w:eastAsia="zh-CN"/>
              </w:rPr>
              <w:t>（2）</w:t>
            </w:r>
            <w:r>
              <w:rPr>
                <w:rFonts w:hint="default" w:ascii="Times New Roman" w:hAnsi="Times New Roman" w:cs="Times New Roman"/>
                <w:b/>
                <w:color w:val="auto"/>
                <w:kern w:val="0"/>
                <w:sz w:val="24"/>
              </w:rPr>
              <w:t>与《四川省、重庆市长江经济带发展负面清单实施细则（试行，2022年版）》符合性分析</w:t>
            </w:r>
          </w:p>
          <w:p w14:paraId="0A992E24">
            <w:pPr>
              <w:spacing w:line="360" w:lineRule="auto"/>
              <w:ind w:firstLine="480" w:firstLineChars="200"/>
              <w:rPr>
                <w:rFonts w:hint="default" w:ascii="Times New Roman" w:hAnsi="Times New Roman" w:cs="Times New Roman"/>
                <w:b/>
                <w:color w:val="auto"/>
                <w:kern w:val="0"/>
                <w:sz w:val="24"/>
              </w:rPr>
            </w:pPr>
            <w:r>
              <w:rPr>
                <w:rFonts w:hint="default" w:ascii="Times New Roman" w:hAnsi="Times New Roman" w:cs="Times New Roman"/>
                <w:bCs/>
                <w:color w:val="auto"/>
                <w:kern w:val="0"/>
                <w:sz w:val="24"/>
              </w:rPr>
              <w:t>重庆市发展和改革委员会联合四川省发展改革委于2022年8月25日公告了《四川省、重庆市长江经济带发展负面清单实施细则（试行，2022年版）》。《实施细则》要求：坚持“生态优先、绿色发展”的战略定位和“共抓大保护、不搞大开发”的战略导向，完善生态环境硬约束机制，坚决把最需要管住的岸线、河段等区域管住，坚决把产能严重过剩、高能耗高排放低水平、环境风险突出的产业项目管住。本项目与其主要内容符合性分析见下表：</w:t>
            </w:r>
          </w:p>
          <w:p w14:paraId="6AFC3DF7">
            <w:pPr>
              <w:pStyle w:val="113"/>
              <w:bidi w:val="0"/>
              <w:rPr>
                <w:rFonts w:hint="default"/>
                <w:color w:val="auto"/>
              </w:rPr>
            </w:pPr>
            <w:r>
              <w:rPr>
                <w:rFonts w:hint="default"/>
                <w:color w:val="auto"/>
              </w:rPr>
              <w:t>项目与《四川省、重庆市长江经济带发展负面清单实施细则（试行，2022年版）》符合性分析表</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718"/>
              <w:gridCol w:w="2036"/>
              <w:gridCol w:w="1171"/>
            </w:tblGrid>
            <w:tr w14:paraId="795230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202" w:type="pct"/>
                  <w:noWrap w:val="0"/>
                  <w:vAlign w:val="center"/>
                </w:tcPr>
                <w:p w14:paraId="0DD34200">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bCs/>
                      <w:color w:val="auto"/>
                      <w:sz w:val="21"/>
                      <w:szCs w:val="21"/>
                      <w:lang w:val="en-US" w:eastAsia="zh-CN" w:bidi="bo-CN"/>
                    </w:rPr>
                  </w:pPr>
                  <w:r>
                    <w:rPr>
                      <w:rFonts w:hint="default" w:ascii="Times New Roman" w:hAnsi="Times New Roman" w:cs="Times New Roman"/>
                      <w:b/>
                      <w:bCs/>
                      <w:color w:val="auto"/>
                      <w:sz w:val="21"/>
                      <w:szCs w:val="21"/>
                      <w:lang w:val="en-US" w:eastAsia="zh-CN" w:bidi="bo-CN"/>
                    </w:rPr>
                    <w:t>文件要求</w:t>
                  </w:r>
                </w:p>
              </w:tc>
              <w:tc>
                <w:tcPr>
                  <w:tcW w:w="1140" w:type="pct"/>
                  <w:noWrap w:val="0"/>
                  <w:vAlign w:val="center"/>
                </w:tcPr>
                <w:p w14:paraId="73CEFB4C">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bCs/>
                      <w:color w:val="auto"/>
                      <w:sz w:val="21"/>
                      <w:szCs w:val="21"/>
                      <w:lang w:val="en-US" w:eastAsia="zh-CN" w:bidi="bo-CN"/>
                    </w:rPr>
                  </w:pPr>
                  <w:r>
                    <w:rPr>
                      <w:rFonts w:hint="default" w:ascii="Times New Roman" w:hAnsi="Times New Roman" w:cs="Times New Roman"/>
                      <w:b/>
                      <w:bCs/>
                      <w:color w:val="auto"/>
                      <w:sz w:val="21"/>
                      <w:szCs w:val="21"/>
                      <w:lang w:val="en-US" w:eastAsia="zh-CN" w:bidi="bo-CN"/>
                    </w:rPr>
                    <w:t>本项目情况</w:t>
                  </w:r>
                </w:p>
              </w:tc>
              <w:tc>
                <w:tcPr>
                  <w:tcW w:w="656" w:type="pct"/>
                  <w:noWrap w:val="0"/>
                  <w:vAlign w:val="center"/>
                </w:tcPr>
                <w:p w14:paraId="58D9E95A">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bCs/>
                      <w:color w:val="auto"/>
                      <w:sz w:val="21"/>
                      <w:szCs w:val="21"/>
                      <w:lang w:val="en-US" w:eastAsia="zh-CN" w:bidi="bo-CN"/>
                    </w:rPr>
                  </w:pPr>
                  <w:r>
                    <w:rPr>
                      <w:rFonts w:hint="default" w:ascii="Times New Roman" w:hAnsi="Times New Roman" w:cs="Times New Roman"/>
                      <w:b/>
                      <w:bCs/>
                      <w:color w:val="auto"/>
                      <w:sz w:val="21"/>
                      <w:szCs w:val="21"/>
                      <w:lang w:val="en-US" w:eastAsia="zh-CN" w:bidi="bo-CN"/>
                    </w:rPr>
                    <w:t>符合情况</w:t>
                  </w:r>
                </w:p>
              </w:tc>
            </w:tr>
            <w:tr w14:paraId="6BA53B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23" w:hRule="atLeast"/>
                <w:jc w:val="center"/>
              </w:trPr>
              <w:tc>
                <w:tcPr>
                  <w:tcW w:w="3202" w:type="pct"/>
                  <w:noWrap w:val="0"/>
                  <w:vAlign w:val="center"/>
                </w:tcPr>
                <w:p w14:paraId="4423CB8B">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1.禁止新建、改建和扩建不符合全国港口布局规划，以及《四川省内河水运发展规划》《阿坝藏族羌族自治州—宜宾—乐山港口群布局规划》《重庆港总体规划（2035年）》等省级港口布局规划及市级港口总体规划的码头项目。</w:t>
                  </w:r>
                </w:p>
              </w:tc>
              <w:tc>
                <w:tcPr>
                  <w:tcW w:w="1140" w:type="pct"/>
                  <w:noWrap w:val="0"/>
                  <w:vAlign w:val="center"/>
                </w:tcPr>
                <w:p w14:paraId="49AEA746">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本项目不属于港口项目</w:t>
                  </w:r>
                </w:p>
              </w:tc>
              <w:tc>
                <w:tcPr>
                  <w:tcW w:w="656" w:type="pct"/>
                  <w:noWrap w:val="0"/>
                  <w:vAlign w:val="center"/>
                </w:tcPr>
                <w:p w14:paraId="10585D5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211F95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07" w:hRule="atLeast"/>
                <w:jc w:val="center"/>
              </w:trPr>
              <w:tc>
                <w:tcPr>
                  <w:tcW w:w="3202" w:type="pct"/>
                  <w:noWrap w:val="0"/>
                  <w:vAlign w:val="center"/>
                </w:tcPr>
                <w:p w14:paraId="4BF0352C">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2.禁止新建、改建和扩建不符合《长江干线过江通道布局规划（2020—2035年）》的过长江通道项目（含桥梁、隧道），国家发展改革委同意过长江通道线位调整的除外。</w:t>
                  </w:r>
                </w:p>
              </w:tc>
              <w:tc>
                <w:tcPr>
                  <w:tcW w:w="1140" w:type="pct"/>
                  <w:noWrap w:val="0"/>
                  <w:vAlign w:val="center"/>
                </w:tcPr>
                <w:p w14:paraId="708EF47B">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本项目不属于过长江通道项目（含桥梁、隧道）</w:t>
                  </w:r>
                </w:p>
              </w:tc>
              <w:tc>
                <w:tcPr>
                  <w:tcW w:w="656" w:type="pct"/>
                  <w:noWrap w:val="0"/>
                  <w:vAlign w:val="center"/>
                </w:tcPr>
                <w:p w14:paraId="6D72EC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符合</w:t>
                  </w:r>
                </w:p>
              </w:tc>
            </w:tr>
            <w:tr w14:paraId="7B0146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202" w:type="pct"/>
                  <w:noWrap w:val="0"/>
                  <w:vAlign w:val="center"/>
                </w:tcPr>
                <w:p w14:paraId="595CF4D3">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3.禁止在自然保护区核心区、缓冲区的岸线和河段范围内投资建设旅游和生产经营项目。自然保护区的内部未分区的，依照核心区和缓冲区的规定管控。</w:t>
                  </w:r>
                </w:p>
              </w:tc>
              <w:tc>
                <w:tcPr>
                  <w:tcW w:w="1140" w:type="pct"/>
                  <w:noWrap w:val="0"/>
                  <w:vAlign w:val="center"/>
                </w:tcPr>
                <w:p w14:paraId="4A2ABE84">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本项目不涉及自然保护区核心区、缓冲区</w:t>
                  </w:r>
                </w:p>
              </w:tc>
              <w:tc>
                <w:tcPr>
                  <w:tcW w:w="656" w:type="pct"/>
                  <w:noWrap w:val="0"/>
                  <w:vAlign w:val="center"/>
                </w:tcPr>
                <w:p w14:paraId="7CE6D1F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符合</w:t>
                  </w:r>
                </w:p>
              </w:tc>
            </w:tr>
            <w:tr w14:paraId="4546432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11" w:hRule="atLeast"/>
                <w:jc w:val="center"/>
              </w:trPr>
              <w:tc>
                <w:tcPr>
                  <w:tcW w:w="3202" w:type="pct"/>
                  <w:noWrap w:val="0"/>
                  <w:vAlign w:val="center"/>
                </w:tcPr>
                <w:p w14:paraId="5FB91E8D">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4.禁止违反风景名胜区规划，在风景名胜区内设立各类开发区。禁止在风景名胜区核心景区的岸线和河段范围内建设宾馆、招待所、培训中心、疗养院以及与风景名胜资源保护无关的项目。</w:t>
                  </w:r>
                </w:p>
              </w:tc>
              <w:tc>
                <w:tcPr>
                  <w:tcW w:w="1140" w:type="pct"/>
                  <w:noWrap w:val="0"/>
                  <w:vAlign w:val="center"/>
                </w:tcPr>
                <w:p w14:paraId="7A6B24B8">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本项目不涉及风景名胜区</w:t>
                  </w:r>
                </w:p>
              </w:tc>
              <w:tc>
                <w:tcPr>
                  <w:tcW w:w="656" w:type="pct"/>
                  <w:noWrap w:val="0"/>
                  <w:vAlign w:val="center"/>
                </w:tcPr>
                <w:p w14:paraId="6529D2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符合</w:t>
                  </w:r>
                </w:p>
              </w:tc>
            </w:tr>
            <w:tr w14:paraId="3BBB62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202" w:type="pct"/>
                  <w:noWrap w:val="0"/>
                  <w:vAlign w:val="center"/>
                </w:tcPr>
                <w:p w14:paraId="0C3252FC">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5.禁止在饮用水水源准保护区的岸线和河段范围内新建、扩建对水体污染严重的建设项目，禁止改建增加排污量的建设项目。</w:t>
                  </w:r>
                </w:p>
              </w:tc>
              <w:tc>
                <w:tcPr>
                  <w:tcW w:w="1140" w:type="pct"/>
                  <w:noWrap w:val="0"/>
                  <w:vAlign w:val="center"/>
                </w:tcPr>
                <w:p w14:paraId="4CBD4755">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本项目不涉及饮用水水源准保护区</w:t>
                  </w:r>
                </w:p>
              </w:tc>
              <w:tc>
                <w:tcPr>
                  <w:tcW w:w="656" w:type="pct"/>
                  <w:noWrap w:val="0"/>
                  <w:vAlign w:val="center"/>
                </w:tcPr>
                <w:p w14:paraId="33A5773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符合</w:t>
                  </w:r>
                </w:p>
              </w:tc>
            </w:tr>
            <w:tr w14:paraId="7DBF016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202" w:type="pct"/>
                  <w:noWrap w:val="0"/>
                  <w:vAlign w:val="center"/>
                </w:tcPr>
                <w:p w14:paraId="68A738A5">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6.饮用水水源二级保护区的岸线和河段范围内，除遵守准保护区规定外，禁止新建、改建、扩建排放污染物的投资建设项目；禁止从事对水体有污染的水产养殖等活动。</w:t>
                  </w:r>
                </w:p>
              </w:tc>
              <w:tc>
                <w:tcPr>
                  <w:tcW w:w="1140" w:type="pct"/>
                  <w:noWrap w:val="0"/>
                  <w:vAlign w:val="center"/>
                </w:tcPr>
                <w:p w14:paraId="1CD245DA">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本项目不涉及饮用水水源二级保护区</w:t>
                  </w:r>
                </w:p>
              </w:tc>
              <w:tc>
                <w:tcPr>
                  <w:tcW w:w="656" w:type="pct"/>
                  <w:noWrap w:val="0"/>
                  <w:vAlign w:val="center"/>
                </w:tcPr>
                <w:p w14:paraId="2FA0D0A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符合</w:t>
                  </w:r>
                </w:p>
              </w:tc>
            </w:tr>
            <w:tr w14:paraId="562A46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202" w:type="pct"/>
                  <w:noWrap w:val="0"/>
                  <w:vAlign w:val="center"/>
                </w:tcPr>
                <w:p w14:paraId="32698D6C">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7.饮用水水源一级保护区的岸线和河段范围内，除遵守二级保护区规定外，禁止新建、改建、扩建与供水设施和保护水源无关的项目，以及网箱养殖、畜禽养殖、旅游等可能污染饮用水水体的投资建设项目。</w:t>
                  </w:r>
                </w:p>
              </w:tc>
              <w:tc>
                <w:tcPr>
                  <w:tcW w:w="1140" w:type="pct"/>
                  <w:noWrap w:val="0"/>
                  <w:vAlign w:val="center"/>
                </w:tcPr>
                <w:p w14:paraId="2CB15029">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本项目不涉及饮用水水源一级保护区</w:t>
                  </w:r>
                </w:p>
              </w:tc>
              <w:tc>
                <w:tcPr>
                  <w:tcW w:w="656" w:type="pct"/>
                  <w:noWrap w:val="0"/>
                  <w:vAlign w:val="center"/>
                </w:tcPr>
                <w:p w14:paraId="4B0B351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符合</w:t>
                  </w:r>
                </w:p>
              </w:tc>
            </w:tr>
            <w:tr w14:paraId="02C052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202" w:type="pct"/>
                  <w:noWrap w:val="0"/>
                  <w:vAlign w:val="center"/>
                </w:tcPr>
                <w:p w14:paraId="5803E420">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8.禁止在水产种质资源保护区岸线和河段范围内新建围湖造田、围湖造地或挖沙采石等投资建设项目。</w:t>
                  </w:r>
                </w:p>
              </w:tc>
              <w:tc>
                <w:tcPr>
                  <w:tcW w:w="1140" w:type="pct"/>
                  <w:noWrap w:val="0"/>
                  <w:vAlign w:val="center"/>
                </w:tcPr>
                <w:p w14:paraId="4AE738A8">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本项目不涉及水产种质资源保护区</w:t>
                  </w:r>
                </w:p>
              </w:tc>
              <w:tc>
                <w:tcPr>
                  <w:tcW w:w="656" w:type="pct"/>
                  <w:noWrap w:val="0"/>
                  <w:vAlign w:val="center"/>
                </w:tcPr>
                <w:p w14:paraId="630FF9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符合</w:t>
                  </w:r>
                </w:p>
              </w:tc>
            </w:tr>
            <w:tr w14:paraId="737B2B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202" w:type="pct"/>
                  <w:noWrap w:val="0"/>
                  <w:vAlign w:val="center"/>
                </w:tcPr>
                <w:p w14:paraId="69AB1621">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9.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140" w:type="pct"/>
                  <w:noWrap w:val="0"/>
                  <w:vAlign w:val="center"/>
                </w:tcPr>
                <w:p w14:paraId="05EE4822">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本项目不涉及国家湿地公园</w:t>
                  </w:r>
                </w:p>
              </w:tc>
              <w:tc>
                <w:tcPr>
                  <w:tcW w:w="656" w:type="pct"/>
                  <w:noWrap w:val="0"/>
                  <w:vAlign w:val="center"/>
                </w:tcPr>
                <w:p w14:paraId="14EF67A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763A5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5" w:hRule="atLeast"/>
                <w:jc w:val="center"/>
              </w:trPr>
              <w:tc>
                <w:tcPr>
                  <w:tcW w:w="3202" w:type="pct"/>
                  <w:noWrap w:val="0"/>
                  <w:vAlign w:val="center"/>
                </w:tcPr>
                <w:p w14:paraId="44312021">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10.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140" w:type="pct"/>
                  <w:noWrap w:val="0"/>
                  <w:vAlign w:val="center"/>
                </w:tcPr>
                <w:p w14:paraId="044B0C59">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本项目不涉及长江流域河潮岸线</w:t>
                  </w:r>
                </w:p>
              </w:tc>
              <w:tc>
                <w:tcPr>
                  <w:tcW w:w="656" w:type="pct"/>
                  <w:noWrap w:val="0"/>
                  <w:vAlign w:val="center"/>
                </w:tcPr>
                <w:p w14:paraId="08811CF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4DEA958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202" w:type="pct"/>
                  <w:noWrap w:val="0"/>
                  <w:vAlign w:val="center"/>
                </w:tcPr>
                <w:p w14:paraId="507C0936">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11.禁止在《全国重要江河湖泊水功能区划》划定的河段及湖泊保护区、保留区内投资建设不利于水资源及自然生态保护的项目。</w:t>
                  </w:r>
                </w:p>
              </w:tc>
              <w:tc>
                <w:tcPr>
                  <w:tcW w:w="1140" w:type="pct"/>
                  <w:noWrap w:val="0"/>
                  <w:vAlign w:val="center"/>
                </w:tcPr>
                <w:p w14:paraId="16A21852">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本项目不涉及河段及湖泊保护区、保留区</w:t>
                  </w:r>
                </w:p>
              </w:tc>
              <w:tc>
                <w:tcPr>
                  <w:tcW w:w="656" w:type="pct"/>
                  <w:noWrap w:val="0"/>
                  <w:vAlign w:val="center"/>
                </w:tcPr>
                <w:p w14:paraId="0725952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68E04C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3202" w:type="pct"/>
                  <w:noWrap w:val="0"/>
                  <w:vAlign w:val="center"/>
                </w:tcPr>
                <w:p w14:paraId="133B0DB2">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12.禁止在长江流域江河、湖泊新设、改设或者扩大排污口，经有管辖权的生态环境主管部门或者长江流域生态环境监督管理机构同意的除外。</w:t>
                  </w:r>
                </w:p>
              </w:tc>
              <w:tc>
                <w:tcPr>
                  <w:tcW w:w="1140" w:type="pct"/>
                  <w:noWrap w:val="0"/>
                  <w:vAlign w:val="center"/>
                </w:tcPr>
                <w:p w14:paraId="6CCDA7D7">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本项目不涉及</w:t>
                  </w:r>
                </w:p>
              </w:tc>
              <w:tc>
                <w:tcPr>
                  <w:tcW w:w="656" w:type="pct"/>
                  <w:noWrap w:val="0"/>
                  <w:vAlign w:val="center"/>
                </w:tcPr>
                <w:p w14:paraId="3F22FE4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65BD4B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3202" w:type="pct"/>
                  <w:noWrap w:val="0"/>
                  <w:vAlign w:val="center"/>
                </w:tcPr>
                <w:p w14:paraId="03AC7619">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13.禁止在长江干流、大渡河、岷江、赤水河、沱江、嘉陵江、乌江、汉江和51个（四川省45个、重庆市6个）水生生物保护区开展生产性捕捞。</w:t>
                  </w:r>
                </w:p>
              </w:tc>
              <w:tc>
                <w:tcPr>
                  <w:tcW w:w="1140" w:type="pct"/>
                  <w:noWrap w:val="0"/>
                  <w:vAlign w:val="center"/>
                </w:tcPr>
                <w:p w14:paraId="72AEB8B6">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本项目不涉及</w:t>
                  </w:r>
                </w:p>
              </w:tc>
              <w:tc>
                <w:tcPr>
                  <w:tcW w:w="656" w:type="pct"/>
                  <w:noWrap w:val="0"/>
                  <w:vAlign w:val="center"/>
                </w:tcPr>
                <w:p w14:paraId="5A2BDC3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40CC4F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3202" w:type="pct"/>
                  <w:noWrap w:val="0"/>
                  <w:vAlign w:val="center"/>
                </w:tcPr>
                <w:p w14:paraId="53F5AD87">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14.禁止在长江干支流、重要湖泊岸线一公里范围内新建、扩建化工园区和化工项目。</w:t>
                  </w:r>
                </w:p>
              </w:tc>
              <w:tc>
                <w:tcPr>
                  <w:tcW w:w="1140" w:type="pct"/>
                  <w:noWrap w:val="0"/>
                  <w:vAlign w:val="center"/>
                </w:tcPr>
                <w:p w14:paraId="7EA3C162">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本项目不属于化工项目</w:t>
                  </w:r>
                </w:p>
              </w:tc>
              <w:tc>
                <w:tcPr>
                  <w:tcW w:w="656" w:type="pct"/>
                  <w:noWrap w:val="0"/>
                  <w:vAlign w:val="center"/>
                </w:tcPr>
                <w:p w14:paraId="166A788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157A94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3202" w:type="pct"/>
                  <w:noWrap w:val="0"/>
                  <w:vAlign w:val="center"/>
                </w:tcPr>
                <w:p w14:paraId="5E4021DF">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15.禁止在长江干流岸线三公里范围内和重要支流岸线一公里范围内新建、改建、扩建尾矿库、冶炼渣库、磷石膏库，以提升安全、生态环境保护水平为目的的改建除外。</w:t>
                  </w:r>
                </w:p>
              </w:tc>
              <w:tc>
                <w:tcPr>
                  <w:tcW w:w="1140" w:type="pct"/>
                  <w:noWrap w:val="0"/>
                  <w:vAlign w:val="center"/>
                </w:tcPr>
                <w:p w14:paraId="2106114F">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本项目不属于尾矿库、冶炼渣库、磷石膏库类项目</w:t>
                  </w:r>
                </w:p>
              </w:tc>
              <w:tc>
                <w:tcPr>
                  <w:tcW w:w="656" w:type="pct"/>
                  <w:noWrap w:val="0"/>
                  <w:vAlign w:val="center"/>
                </w:tcPr>
                <w:p w14:paraId="481CFD1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5FB77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3202" w:type="pct"/>
                  <w:noWrap w:val="0"/>
                  <w:vAlign w:val="center"/>
                </w:tcPr>
                <w:p w14:paraId="1C03FC70">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16.禁止在生态保护红线区域、永久基本农田集中区域和其他需要特别保护的区域内选址建设尾矿库、冶炼渣库、磷石膏库。</w:t>
                  </w:r>
                </w:p>
              </w:tc>
              <w:tc>
                <w:tcPr>
                  <w:tcW w:w="1140" w:type="pct"/>
                  <w:noWrap w:val="0"/>
                  <w:vAlign w:val="center"/>
                </w:tcPr>
                <w:p w14:paraId="58251191">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本项目不在生态保护红线区域、永久基本农田集中区域和其他需要特别保护的区域内</w:t>
                  </w:r>
                </w:p>
              </w:tc>
              <w:tc>
                <w:tcPr>
                  <w:tcW w:w="656" w:type="pct"/>
                  <w:noWrap w:val="0"/>
                  <w:vAlign w:val="center"/>
                </w:tcPr>
                <w:p w14:paraId="3B1B341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0867D7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3202" w:type="pct"/>
                  <w:noWrap w:val="0"/>
                  <w:vAlign w:val="center"/>
                </w:tcPr>
                <w:p w14:paraId="27D6EBE7">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17.禁止在合规园区外新建、扩建钢铁、石化、化工、焦化、建材、有色、制浆造纸等高污染项目。</w:t>
                  </w:r>
                </w:p>
              </w:tc>
              <w:tc>
                <w:tcPr>
                  <w:tcW w:w="1140" w:type="pct"/>
                  <w:noWrap w:val="0"/>
                  <w:vAlign w:val="center"/>
                </w:tcPr>
                <w:p w14:paraId="56DB0924">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本项目不属于钢铁、石化、化工、焦化、建材、有色、制浆造纸等高污染项目</w:t>
                  </w:r>
                </w:p>
              </w:tc>
              <w:tc>
                <w:tcPr>
                  <w:tcW w:w="656" w:type="pct"/>
                  <w:noWrap w:val="0"/>
                  <w:vAlign w:val="center"/>
                </w:tcPr>
                <w:p w14:paraId="2F28459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429F3A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3202" w:type="pct"/>
                  <w:noWrap w:val="0"/>
                  <w:vAlign w:val="center"/>
                </w:tcPr>
                <w:p w14:paraId="38DB8E59">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18.禁止新建、扩建不符合国家石化、现代煤化工等产业布局规划的项目。</w:t>
                  </w:r>
                </w:p>
                <w:p w14:paraId="143228B2">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(一）严格控制新增炼油产能，未列入《石化产业规划布局方案（修订版)》的新增炼油产能一律不得建设。</w:t>
                  </w:r>
                </w:p>
                <w:p w14:paraId="5F8542C0">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(二）新建煤制烯烃、煤制芳烃项目必须列入《现代煤化工产业创新发展布局方案》，必须符合《现代煤化工建设项目环境准入条件（试行)》要求。</w:t>
                  </w:r>
                </w:p>
              </w:tc>
              <w:tc>
                <w:tcPr>
                  <w:tcW w:w="1140" w:type="pct"/>
                  <w:noWrap w:val="0"/>
                  <w:vAlign w:val="center"/>
                </w:tcPr>
                <w:p w14:paraId="1441E692">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本项目不属于国家石化、现代煤化工等产业布局规划的项目</w:t>
                  </w:r>
                </w:p>
              </w:tc>
              <w:tc>
                <w:tcPr>
                  <w:tcW w:w="656" w:type="pct"/>
                  <w:noWrap w:val="0"/>
                  <w:vAlign w:val="center"/>
                </w:tcPr>
                <w:p w14:paraId="3BA2209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0A7A968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3202" w:type="pct"/>
                  <w:noWrap w:val="0"/>
                  <w:vAlign w:val="center"/>
                </w:tcPr>
                <w:p w14:paraId="454B943B">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19.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140" w:type="pct"/>
                  <w:noWrap w:val="0"/>
                  <w:vAlign w:val="center"/>
                </w:tcPr>
                <w:p w14:paraId="1FE6DC0B">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本项目不属于法律法规和相关政策明令禁止的落后产能项目</w:t>
                  </w:r>
                </w:p>
              </w:tc>
              <w:tc>
                <w:tcPr>
                  <w:tcW w:w="656" w:type="pct"/>
                  <w:noWrap w:val="0"/>
                  <w:vAlign w:val="center"/>
                </w:tcPr>
                <w:p w14:paraId="2BA859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4607B71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3202" w:type="pct"/>
                  <w:noWrap w:val="0"/>
                  <w:vAlign w:val="center"/>
                </w:tcPr>
                <w:p w14:paraId="3D12FD2D">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20.禁止新建、扩建不符合国家产能置换要求的严重过剩产能行业的项目。对于不符合国家产能置换要求的严重过剩产能行业，不得以其他任何名义、任何方式备案新增产能项目。</w:t>
                  </w:r>
                </w:p>
              </w:tc>
              <w:tc>
                <w:tcPr>
                  <w:tcW w:w="1140" w:type="pct"/>
                  <w:noWrap w:val="0"/>
                  <w:vAlign w:val="center"/>
                </w:tcPr>
                <w:p w14:paraId="7782E967">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本项目不属于国家产能置换要求的严重过剩产能行业的项目</w:t>
                  </w:r>
                </w:p>
              </w:tc>
              <w:tc>
                <w:tcPr>
                  <w:tcW w:w="656" w:type="pct"/>
                  <w:noWrap w:val="0"/>
                  <w:vAlign w:val="center"/>
                </w:tcPr>
                <w:p w14:paraId="76F53A3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26CCC5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3202" w:type="pct"/>
                  <w:noWrap w:val="0"/>
                  <w:vAlign w:val="center"/>
                </w:tcPr>
                <w:p w14:paraId="7C6E12C6">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21.禁止建设以下燃油汽车投资项目（不在中国境内销售产品的投资项目除外)：</w:t>
                  </w:r>
                </w:p>
                <w:p w14:paraId="1E30C9E7">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(一）新建独立燃油汽车企业；</w:t>
                  </w:r>
                </w:p>
                <w:p w14:paraId="14984D87">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(二）现有汽车企业跨乘用车、商用车类别建设燃油汽车生产能力；</w:t>
                  </w:r>
                </w:p>
                <w:p w14:paraId="392E1F20">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(三）外省现有燃油汽车企业整体搬迁至本省（列入国家级区域发展规划或不改变企业股权结构的项目除外)；</w:t>
                  </w:r>
                </w:p>
                <w:p w14:paraId="5678406F">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(四）对行业管理部门特别公示的燃油汽车企业进行投资(企业原有股东投资或将该企业转为非独立法人的投资项目除外)。</w:t>
                  </w:r>
                </w:p>
              </w:tc>
              <w:tc>
                <w:tcPr>
                  <w:tcW w:w="1140" w:type="pct"/>
                  <w:noWrap w:val="0"/>
                  <w:vAlign w:val="center"/>
                </w:tcPr>
                <w:p w14:paraId="78B4F803">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本项目不属于燃油汽车投资项目</w:t>
                  </w:r>
                </w:p>
              </w:tc>
              <w:tc>
                <w:tcPr>
                  <w:tcW w:w="656" w:type="pct"/>
                  <w:noWrap w:val="0"/>
                  <w:vAlign w:val="center"/>
                </w:tcPr>
                <w:p w14:paraId="35332B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C16DF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3202" w:type="pct"/>
                  <w:noWrap w:val="0"/>
                  <w:vAlign w:val="center"/>
                </w:tcPr>
                <w:p w14:paraId="5872D716">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22.禁止新建、扩建不符合要求的高耗能、高排放、低水平项目。</w:t>
                  </w:r>
                </w:p>
              </w:tc>
              <w:tc>
                <w:tcPr>
                  <w:tcW w:w="1140" w:type="pct"/>
                  <w:noWrap w:val="0"/>
                  <w:vAlign w:val="center"/>
                </w:tcPr>
                <w:p w14:paraId="4AE75678">
                  <w:pPr>
                    <w:pStyle w:val="11"/>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auto"/>
                      <w:sz w:val="21"/>
                      <w:szCs w:val="21"/>
                      <w:lang w:val="en-US" w:eastAsia="zh-CN" w:bidi="bo-CN"/>
                    </w:rPr>
                  </w:pPr>
                  <w:r>
                    <w:rPr>
                      <w:rFonts w:hint="default" w:ascii="Times New Roman" w:hAnsi="Times New Roman" w:cs="Times New Roman"/>
                      <w:color w:val="auto"/>
                      <w:sz w:val="21"/>
                      <w:szCs w:val="21"/>
                      <w:lang w:val="en-US" w:eastAsia="zh-CN" w:bidi="bo-CN"/>
                    </w:rPr>
                    <w:t>本项目不属于高耗能、高排放、低水平项目</w:t>
                  </w:r>
                </w:p>
              </w:tc>
              <w:tc>
                <w:tcPr>
                  <w:tcW w:w="656" w:type="pct"/>
                  <w:noWrap w:val="0"/>
                  <w:vAlign w:val="center"/>
                </w:tcPr>
                <w:p w14:paraId="0141798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14:paraId="7B9CA896">
            <w:pPr>
              <w:autoSpaceDE w:val="0"/>
              <w:autoSpaceDN w:val="0"/>
              <w:spacing w:line="360" w:lineRule="auto"/>
              <w:ind w:firstLine="482" w:firstLineChars="200"/>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综上，本项目的建设符合《四川省、重庆市长江经济带发展负面清单实施细则（试行，2022年版）》的要求。</w:t>
            </w:r>
          </w:p>
          <w:p w14:paraId="01CEDEC2">
            <w:pPr>
              <w:autoSpaceDE w:val="0"/>
              <w:autoSpaceDN w:val="0"/>
              <w:spacing w:line="360" w:lineRule="auto"/>
              <w:ind w:firstLine="482" w:firstLineChars="200"/>
              <w:rPr>
                <w:rFonts w:hint="default" w:ascii="Times New Roman" w:hAnsi="Times New Roman" w:cs="Times New Roman" w:eastAsiaTheme="minorEastAsia"/>
                <w:b/>
                <w:color w:val="auto"/>
                <w:kern w:val="0"/>
                <w:sz w:val="24"/>
                <w:lang w:val="en-US" w:eastAsia="zh-CN"/>
              </w:rPr>
            </w:pPr>
            <w:r>
              <w:rPr>
                <w:rFonts w:hint="eastAsia" w:ascii="Times New Roman" w:hAnsi="Times New Roman" w:cs="Times New Roman"/>
                <w:b/>
                <w:color w:val="auto"/>
                <w:kern w:val="0"/>
                <w:sz w:val="24"/>
                <w:lang w:val="en-US" w:eastAsia="zh-CN"/>
              </w:rPr>
              <w:t>6、与水气声等污染防治行动方案等符合性分析</w:t>
            </w:r>
          </w:p>
          <w:p w14:paraId="180C794A">
            <w:pPr>
              <w:spacing w:line="360" w:lineRule="auto"/>
              <w:ind w:firstLine="482" w:firstLineChars="200"/>
              <w:rPr>
                <w:rFonts w:hint="default" w:ascii="Times New Roman" w:hAnsi="Times New Roman" w:cs="Times New Roman"/>
                <w:b/>
                <w:color w:val="auto"/>
                <w:kern w:val="0"/>
                <w:sz w:val="24"/>
              </w:rPr>
            </w:pPr>
            <w:r>
              <w:rPr>
                <w:rFonts w:hint="eastAsia" w:ascii="Times New Roman" w:hAnsi="Times New Roman" w:cs="Times New Roman"/>
                <w:b/>
                <w:color w:val="auto"/>
                <w:kern w:val="0"/>
                <w:sz w:val="24"/>
                <w:lang w:val="en-US" w:eastAsia="zh-CN"/>
              </w:rPr>
              <w:t>（1）</w:t>
            </w:r>
            <w:r>
              <w:rPr>
                <w:rFonts w:hint="default" w:ascii="Times New Roman" w:hAnsi="Times New Roman" w:cs="Times New Roman"/>
                <w:b/>
                <w:color w:val="auto"/>
                <w:kern w:val="0"/>
                <w:sz w:val="24"/>
              </w:rPr>
              <w:t>与《四川省噪声污染防治行动计划实施方案（2023—2025年）》符合性分析</w:t>
            </w:r>
          </w:p>
          <w:p w14:paraId="22732389">
            <w:pPr>
              <w:spacing w:line="360" w:lineRule="auto"/>
              <w:ind w:firstLine="48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四川省噪声污染防治行动计划实施方案（2023—2025年）》中明确指出中小学合理布置操场等课外活动场地，加强校内广播管理，降低对周边环境的影响。建设单位在施工合同时需明确施工单位的噪声污染防治责任。严格按照低噪声施工设备指导目录，限制或禁用易产生噪声污染的落后施工工艺和设备。</w:t>
            </w:r>
          </w:p>
          <w:p w14:paraId="624CB2B5">
            <w:pPr>
              <w:spacing w:line="360" w:lineRule="auto"/>
              <w:ind w:firstLine="48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本项目在施工和运营过程中将</w:t>
            </w:r>
            <w:r>
              <w:rPr>
                <w:rFonts w:hint="eastAsia" w:ascii="Times New Roman" w:hAnsi="Times New Roman" w:cs="Times New Roman"/>
                <w:bCs/>
                <w:color w:val="auto"/>
                <w:kern w:val="0"/>
                <w:sz w:val="24"/>
                <w:lang w:val="en-US" w:eastAsia="zh-CN"/>
              </w:rPr>
              <w:t>加强</w:t>
            </w:r>
            <w:r>
              <w:rPr>
                <w:rFonts w:hint="default" w:ascii="Times New Roman" w:hAnsi="Times New Roman" w:cs="Times New Roman"/>
                <w:bCs/>
                <w:color w:val="auto"/>
                <w:kern w:val="0"/>
                <w:sz w:val="24"/>
              </w:rPr>
              <w:t>噪声污染控制，项目建设符合《四川省噪声污染防治行动计划实施方案（2023—2025年）》相关的要求和规定。</w:t>
            </w:r>
          </w:p>
          <w:p w14:paraId="51EB7F8E">
            <w:pPr>
              <w:spacing w:line="360" w:lineRule="auto"/>
              <w:ind w:firstLine="482" w:firstLineChars="200"/>
              <w:rPr>
                <w:rFonts w:hint="default" w:ascii="Times New Roman" w:hAnsi="Times New Roman" w:cs="Times New Roman"/>
                <w:b/>
                <w:color w:val="auto"/>
                <w:kern w:val="0"/>
                <w:sz w:val="24"/>
              </w:rPr>
            </w:pPr>
            <w:r>
              <w:rPr>
                <w:rFonts w:hint="eastAsia" w:ascii="Times New Roman" w:hAnsi="Times New Roman" w:cs="Times New Roman"/>
                <w:b/>
                <w:color w:val="auto"/>
                <w:kern w:val="0"/>
                <w:sz w:val="24"/>
                <w:lang w:val="en-US" w:eastAsia="zh-CN"/>
              </w:rPr>
              <w:t>（2）</w:t>
            </w:r>
            <w:r>
              <w:rPr>
                <w:rFonts w:hint="default" w:ascii="Times New Roman" w:hAnsi="Times New Roman" w:cs="Times New Roman"/>
                <w:b/>
                <w:color w:val="auto"/>
                <w:kern w:val="0"/>
                <w:sz w:val="24"/>
              </w:rPr>
              <w:t>与大气防治行动计划的符合性</w:t>
            </w:r>
          </w:p>
          <w:p w14:paraId="275264E4">
            <w:pPr>
              <w:spacing w:line="360" w:lineRule="auto"/>
              <w:ind w:firstLine="48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本项目与《国务院关于印发大气污染防治行动计划的通知》等相关文件符合分析见</w:t>
            </w:r>
            <w:r>
              <w:rPr>
                <w:rFonts w:hint="eastAsia" w:ascii="Times New Roman" w:hAnsi="Times New Roman" w:cs="Times New Roman"/>
                <w:bCs/>
                <w:color w:val="auto"/>
                <w:kern w:val="0"/>
                <w:sz w:val="24"/>
                <w:lang w:val="en-US" w:eastAsia="zh-CN"/>
              </w:rPr>
              <w:t>下表</w:t>
            </w:r>
            <w:r>
              <w:rPr>
                <w:rFonts w:hint="default" w:ascii="Times New Roman" w:hAnsi="Times New Roman" w:cs="Times New Roman"/>
                <w:bCs/>
                <w:color w:val="auto"/>
                <w:kern w:val="0"/>
                <w:sz w:val="24"/>
              </w:rPr>
              <w:t>。</w:t>
            </w:r>
          </w:p>
          <w:p w14:paraId="28B9E5F6">
            <w:pPr>
              <w:pStyle w:val="113"/>
              <w:bidi w:val="0"/>
              <w:rPr>
                <w:rFonts w:hint="default"/>
                <w:color w:val="auto"/>
              </w:rPr>
            </w:pPr>
            <w:r>
              <w:rPr>
                <w:rFonts w:hint="default"/>
                <w:color w:val="auto"/>
              </w:rPr>
              <w:t>项目与大气污染防治行动计划的符合性分析表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83"/>
              <w:gridCol w:w="3287"/>
              <w:gridCol w:w="2573"/>
              <w:gridCol w:w="986"/>
            </w:tblGrid>
            <w:tr w14:paraId="4D2EA6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tcBorders>
                    <w:tl2br w:val="nil"/>
                    <w:tr2bl w:val="nil"/>
                  </w:tcBorders>
                  <w:noWrap w:val="0"/>
                  <w:vAlign w:val="center"/>
                </w:tcPr>
                <w:p w14:paraId="79A1DF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文件名称</w:t>
                  </w:r>
                </w:p>
              </w:tc>
              <w:tc>
                <w:tcPr>
                  <w:tcW w:w="1840" w:type="pct"/>
                  <w:tcBorders>
                    <w:tl2br w:val="nil"/>
                    <w:tr2bl w:val="nil"/>
                  </w:tcBorders>
                  <w:noWrap w:val="0"/>
                  <w:vAlign w:val="center"/>
                </w:tcPr>
                <w:p w14:paraId="5B5E22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文件相关内容</w:t>
                  </w:r>
                </w:p>
              </w:tc>
              <w:tc>
                <w:tcPr>
                  <w:tcW w:w="1440" w:type="pct"/>
                  <w:tcBorders>
                    <w:tl2br w:val="nil"/>
                    <w:tr2bl w:val="nil"/>
                  </w:tcBorders>
                  <w:noWrap w:val="0"/>
                  <w:vAlign w:val="center"/>
                </w:tcPr>
                <w:p w14:paraId="7BF2A3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本项目</w:t>
                  </w:r>
                </w:p>
              </w:tc>
              <w:tc>
                <w:tcPr>
                  <w:tcW w:w="552" w:type="pct"/>
                  <w:tcBorders>
                    <w:tl2br w:val="nil"/>
                    <w:tr2bl w:val="nil"/>
                  </w:tcBorders>
                  <w:noWrap w:val="0"/>
                  <w:vAlign w:val="center"/>
                </w:tcPr>
                <w:p w14:paraId="531718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符合性</w:t>
                  </w:r>
                </w:p>
              </w:tc>
            </w:tr>
            <w:tr w14:paraId="6F2C2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tcBorders>
                    <w:tl2br w:val="nil"/>
                    <w:tr2bl w:val="nil"/>
                  </w:tcBorders>
                  <w:noWrap w:val="0"/>
                  <w:vAlign w:val="center"/>
                </w:tcPr>
                <w:p w14:paraId="4ADC94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《中华人民共和国大气污染防治法》</w:t>
                  </w:r>
                </w:p>
              </w:tc>
              <w:tc>
                <w:tcPr>
                  <w:tcW w:w="1840" w:type="pct"/>
                  <w:tcBorders>
                    <w:tl2br w:val="nil"/>
                    <w:tr2bl w:val="nil"/>
                  </w:tcBorders>
                  <w:noWrap w:val="0"/>
                  <w:vAlign w:val="center"/>
                </w:tcPr>
                <w:p w14:paraId="6EEC39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第四十五条 产生含挥发性有机物废气的生产和服务活动，应当在密闭空间或者设备中进行，并按照规定安装、使用污染防治设施；无法密闭的，应当采取措施减少废气排放</w:t>
                  </w:r>
                  <w:r>
                    <w:rPr>
                      <w:rFonts w:hint="eastAsia" w:ascii="Times New Roman" w:hAnsi="Times New Roman" w:cs="Times New Roman"/>
                      <w:color w:val="auto"/>
                      <w:szCs w:val="21"/>
                      <w:lang w:eastAsia="zh-CN"/>
                    </w:rPr>
                    <w:t>”</w:t>
                  </w:r>
                </w:p>
              </w:tc>
              <w:tc>
                <w:tcPr>
                  <w:tcW w:w="1440" w:type="pct"/>
                  <w:tcBorders>
                    <w:tl2br w:val="nil"/>
                    <w:tr2bl w:val="nil"/>
                  </w:tcBorders>
                  <w:noWrap w:val="0"/>
                  <w:vAlign w:val="center"/>
                </w:tcPr>
                <w:p w14:paraId="6FDAF3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本项目生物实验将使用酒精，将产生少量VOCs，经收集后排入室外，经大气扩散后对区域环境质量影响较小。</w:t>
                  </w:r>
                </w:p>
              </w:tc>
              <w:tc>
                <w:tcPr>
                  <w:tcW w:w="552" w:type="pct"/>
                  <w:tcBorders>
                    <w:tl2br w:val="nil"/>
                    <w:tr2bl w:val="nil"/>
                  </w:tcBorders>
                  <w:noWrap w:val="0"/>
                  <w:vAlign w:val="center"/>
                </w:tcPr>
                <w:p w14:paraId="4648B3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B43A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vMerge w:val="restart"/>
                  <w:tcBorders>
                    <w:tl2br w:val="nil"/>
                    <w:tr2bl w:val="nil"/>
                  </w:tcBorders>
                  <w:noWrap w:val="0"/>
                  <w:vAlign w:val="center"/>
                </w:tcPr>
                <w:p w14:paraId="541656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大气污染防治行动计划</w:t>
                  </w:r>
                </w:p>
              </w:tc>
              <w:tc>
                <w:tcPr>
                  <w:tcW w:w="1840" w:type="pct"/>
                  <w:tcBorders>
                    <w:tl2br w:val="nil"/>
                    <w:tr2bl w:val="nil"/>
                  </w:tcBorders>
                  <w:noWrap w:val="0"/>
                  <w:vAlign w:val="center"/>
                </w:tcPr>
                <w:p w14:paraId="476A73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禁止新建每小时20蒸吨以下的燃煤锅炉；其他地区原则上不再新建每小时10蒸吨以下的燃煤锅炉。在供热供气管网不能覆盖的地区，改用电、新能源或洁净煤，推广应用高效节能环保型锅炉。在化工、造纸、印染、制革、制药等产业集聚区，通过集中建设热电联产机组逐步淘汰分散燃煤锅炉。</w:t>
                  </w:r>
                </w:p>
              </w:tc>
              <w:tc>
                <w:tcPr>
                  <w:tcW w:w="1440" w:type="pct"/>
                  <w:tcBorders>
                    <w:tl2br w:val="nil"/>
                    <w:tr2bl w:val="nil"/>
                  </w:tcBorders>
                  <w:noWrap w:val="0"/>
                  <w:vAlign w:val="center"/>
                </w:tcPr>
                <w:p w14:paraId="31340A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本项目不使用锅炉。</w:t>
                  </w:r>
                </w:p>
              </w:tc>
              <w:tc>
                <w:tcPr>
                  <w:tcW w:w="552" w:type="pct"/>
                  <w:vMerge w:val="restart"/>
                  <w:tcBorders>
                    <w:tl2br w:val="nil"/>
                    <w:tr2bl w:val="nil"/>
                  </w:tcBorders>
                  <w:noWrap w:val="0"/>
                  <w:vAlign w:val="center"/>
                </w:tcPr>
                <w:p w14:paraId="4F8E74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5120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vMerge w:val="continue"/>
                  <w:tcBorders>
                    <w:tl2br w:val="nil"/>
                    <w:tr2bl w:val="nil"/>
                  </w:tcBorders>
                  <w:noWrap w:val="0"/>
                  <w:vAlign w:val="center"/>
                </w:tcPr>
                <w:p w14:paraId="43EFE3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p>
              </w:tc>
              <w:tc>
                <w:tcPr>
                  <w:tcW w:w="1840" w:type="pct"/>
                  <w:tcBorders>
                    <w:tl2br w:val="nil"/>
                    <w:tr2bl w:val="nil"/>
                  </w:tcBorders>
                  <w:noWrap w:val="0"/>
                  <w:vAlign w:val="center"/>
                </w:tcPr>
                <w:p w14:paraId="49E9D5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加强施工扬尘监管，积极推进绿色施工，建设工程施工现场应全封闭设置围挡墙，严禁敞开式作业，施工现场道路应进行地面硬化。渣土运输车辆应采取密闭措施，并逐步安装卫星定位系统。推行道路机械化清扫等低尘作业方式。</w:t>
                  </w:r>
                </w:p>
              </w:tc>
              <w:tc>
                <w:tcPr>
                  <w:tcW w:w="1440" w:type="pct"/>
                  <w:tcBorders>
                    <w:tl2br w:val="nil"/>
                    <w:tr2bl w:val="nil"/>
                  </w:tcBorders>
                  <w:noWrap w:val="0"/>
                  <w:vAlign w:val="center"/>
                </w:tcPr>
                <w:p w14:paraId="0EEB5F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本项目施工期将加强</w:t>
                  </w:r>
                  <w:r>
                    <w:rPr>
                      <w:rFonts w:hint="default" w:ascii="Times New Roman" w:hAnsi="Times New Roman" w:cs="Times New Roman"/>
                      <w:color w:val="auto"/>
                      <w:szCs w:val="21"/>
                    </w:rPr>
                    <w:t>工扬尘监管，积极推进绿色施工，</w:t>
                  </w:r>
                  <w:r>
                    <w:rPr>
                      <w:rFonts w:hint="eastAsia" w:ascii="Times New Roman" w:hAnsi="Times New Roman" w:cs="Times New Roman"/>
                      <w:color w:val="auto"/>
                      <w:szCs w:val="21"/>
                      <w:lang w:val="en-US" w:eastAsia="zh-CN"/>
                    </w:rPr>
                    <w:t>设置围挡，渣土车辆采取密闭措施。</w:t>
                  </w:r>
                </w:p>
              </w:tc>
              <w:tc>
                <w:tcPr>
                  <w:tcW w:w="552" w:type="pct"/>
                  <w:vMerge w:val="continue"/>
                  <w:tcBorders>
                    <w:tl2br w:val="nil"/>
                    <w:tr2bl w:val="nil"/>
                  </w:tcBorders>
                  <w:noWrap w:val="0"/>
                  <w:vAlign w:val="center"/>
                </w:tcPr>
                <w:p w14:paraId="2C1236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p>
              </w:tc>
            </w:tr>
            <w:tr w14:paraId="4E16C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vMerge w:val="restart"/>
                  <w:tcBorders>
                    <w:tl2br w:val="nil"/>
                    <w:tr2bl w:val="nil"/>
                  </w:tcBorders>
                  <w:noWrap w:val="0"/>
                  <w:vAlign w:val="center"/>
                </w:tcPr>
                <w:p w14:paraId="52517D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打赢蓝天保卫战三年行动计划</w:t>
                  </w:r>
                </w:p>
              </w:tc>
              <w:tc>
                <w:tcPr>
                  <w:tcW w:w="1840" w:type="pct"/>
                  <w:tcBorders>
                    <w:tl2br w:val="nil"/>
                    <w:tr2bl w:val="nil"/>
                  </w:tcBorders>
                  <w:noWrap w:val="0"/>
                  <w:vAlign w:val="center"/>
                </w:tcPr>
                <w:p w14:paraId="27F337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县级及以上城市建成区基本淘汰每小时10蒸吨及以下燃煤锅炉及茶水炉、经营性炉灶、储粮烘干设备等燃煤设施，原则上不再新建每小时35蒸吨以下的燃煤锅炉，其他地区原则上不再新建每小时10蒸吨以下的燃煤锅炉。</w:t>
                  </w:r>
                </w:p>
              </w:tc>
              <w:tc>
                <w:tcPr>
                  <w:tcW w:w="1440" w:type="pct"/>
                  <w:tcBorders>
                    <w:tl2br w:val="nil"/>
                    <w:tr2bl w:val="nil"/>
                  </w:tcBorders>
                  <w:noWrap w:val="0"/>
                  <w:vAlign w:val="center"/>
                </w:tcPr>
                <w:p w14:paraId="73DEBB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本项目不使用锅炉。</w:t>
                  </w:r>
                </w:p>
              </w:tc>
              <w:tc>
                <w:tcPr>
                  <w:tcW w:w="552" w:type="pct"/>
                  <w:vMerge w:val="restart"/>
                  <w:tcBorders>
                    <w:tl2br w:val="nil"/>
                    <w:tr2bl w:val="nil"/>
                  </w:tcBorders>
                  <w:noWrap w:val="0"/>
                  <w:vAlign w:val="center"/>
                </w:tcPr>
                <w:p w14:paraId="717345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color w:val="auto"/>
                      <w:szCs w:val="21"/>
                    </w:rPr>
                    <w:t>符合</w:t>
                  </w:r>
                </w:p>
              </w:tc>
            </w:tr>
            <w:tr w14:paraId="00C75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vMerge w:val="continue"/>
                  <w:tcBorders>
                    <w:tl2br w:val="nil"/>
                    <w:tr2bl w:val="nil"/>
                  </w:tcBorders>
                  <w:noWrap w:val="0"/>
                  <w:vAlign w:val="center"/>
                </w:tcPr>
                <w:p w14:paraId="2D21A3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p>
              </w:tc>
              <w:tc>
                <w:tcPr>
                  <w:tcW w:w="1840" w:type="pct"/>
                  <w:tcBorders>
                    <w:tl2br w:val="nil"/>
                    <w:tr2bl w:val="nil"/>
                  </w:tcBorders>
                  <w:noWrap w:val="0"/>
                  <w:vAlign w:val="center"/>
                </w:tcPr>
                <w:p w14:paraId="0E1AFC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将施工工地扬尘污染防治纳入文明施工管理范畴，建立扬尘控制责任制度，扬尘治理费用列入工程造价。重点区域建筑施工工地要做到工地周边围挡、物料堆放覆盖、土方开挖湿法作业、路面硬化、出入车辆清洗、渣土车辆密闭运输“六个百分之百”，安装在线监测和视频监控设备，并与当地有关主管部门联网。</w:t>
                  </w:r>
                </w:p>
              </w:tc>
              <w:tc>
                <w:tcPr>
                  <w:tcW w:w="1440" w:type="pct"/>
                  <w:tcBorders>
                    <w:tl2br w:val="nil"/>
                    <w:tr2bl w:val="nil"/>
                  </w:tcBorders>
                  <w:noWrap w:val="0"/>
                  <w:vAlign w:val="center"/>
                </w:tcPr>
                <w:p w14:paraId="5C3328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本项目施工期将</w:t>
                  </w:r>
                  <w:r>
                    <w:rPr>
                      <w:rFonts w:hint="default" w:ascii="Times New Roman" w:hAnsi="Times New Roman" w:cs="Times New Roman"/>
                      <w:color w:val="auto"/>
                      <w:szCs w:val="21"/>
                    </w:rPr>
                    <w:t>扬尘污染防治纳入文明施工管理范畴，建立扬尘控制责任制度</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建筑施工工地要做到工地周边围挡、物料堆放覆盖、土方开挖湿法作业、路面硬化、出入车辆清洗、渣土车辆密闭运输“六个百分之百”</w:t>
                  </w:r>
                  <w:r>
                    <w:rPr>
                      <w:rFonts w:hint="eastAsia" w:ascii="Times New Roman" w:hAnsi="Times New Roman" w:cs="Times New Roman"/>
                      <w:color w:val="auto"/>
                      <w:szCs w:val="21"/>
                      <w:lang w:eastAsia="zh-CN"/>
                    </w:rPr>
                    <w:t>。</w:t>
                  </w:r>
                </w:p>
              </w:tc>
              <w:tc>
                <w:tcPr>
                  <w:tcW w:w="552" w:type="pct"/>
                  <w:vMerge w:val="continue"/>
                  <w:tcBorders>
                    <w:tl2br w:val="nil"/>
                    <w:tr2bl w:val="nil"/>
                  </w:tcBorders>
                  <w:noWrap w:val="0"/>
                  <w:vAlign w:val="center"/>
                </w:tcPr>
                <w:p w14:paraId="0DF2D3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p>
              </w:tc>
            </w:tr>
            <w:tr w14:paraId="7D0EF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vMerge w:val="continue"/>
                  <w:tcBorders>
                    <w:tl2br w:val="nil"/>
                    <w:tr2bl w:val="nil"/>
                  </w:tcBorders>
                  <w:noWrap w:val="0"/>
                  <w:vAlign w:val="center"/>
                </w:tcPr>
                <w:p w14:paraId="4917F5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p>
              </w:tc>
              <w:tc>
                <w:tcPr>
                  <w:tcW w:w="1840" w:type="pct"/>
                  <w:tcBorders>
                    <w:tl2br w:val="nil"/>
                    <w:tr2bl w:val="nil"/>
                  </w:tcBorders>
                  <w:noWrap w:val="0"/>
                  <w:vAlign w:val="center"/>
                </w:tcPr>
                <w:p w14:paraId="404BE4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制定石化、化工、工业涂装、包装印刷等VOCs排放重点行业和油品储运销综合整治方案，出台泄漏检测与修复标准，编制VOCs治理技术指南。重点区域禁止建设生产和使用高VOCs含量的溶剂型涂料、漆料、胶粘剂等项目，加大餐饮油烟治理力度。</w:t>
                  </w:r>
                </w:p>
              </w:tc>
              <w:tc>
                <w:tcPr>
                  <w:tcW w:w="1440" w:type="pct"/>
                  <w:tcBorders>
                    <w:tl2br w:val="nil"/>
                    <w:tr2bl w:val="nil"/>
                  </w:tcBorders>
                  <w:noWrap w:val="0"/>
                  <w:vAlign w:val="center"/>
                </w:tcPr>
                <w:p w14:paraId="4C21EF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本项目生物实验将使用酒精，将产生少量VOCs，经收集后排入室外，经大气扩散后对区域环境质量影响较小。</w:t>
                  </w:r>
                </w:p>
              </w:tc>
              <w:tc>
                <w:tcPr>
                  <w:tcW w:w="552" w:type="pct"/>
                  <w:vMerge w:val="continue"/>
                  <w:tcBorders>
                    <w:tl2br w:val="nil"/>
                    <w:tr2bl w:val="nil"/>
                  </w:tcBorders>
                  <w:noWrap w:val="0"/>
                  <w:vAlign w:val="center"/>
                </w:tcPr>
                <w:p w14:paraId="66D32C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p>
              </w:tc>
            </w:tr>
            <w:tr w14:paraId="52BD70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tcBorders>
                    <w:tl2br w:val="nil"/>
                    <w:tr2bl w:val="nil"/>
                  </w:tcBorders>
                  <w:noWrap w:val="0"/>
                  <w:vAlign w:val="center"/>
                </w:tcPr>
                <w:p w14:paraId="3926CB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《挥发性有机物（VOCs)</w:t>
                  </w:r>
                </w:p>
                <w:p w14:paraId="2FC130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污染防治技术政策》</w:t>
                  </w:r>
                </w:p>
                <w:p w14:paraId="09761F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（环保部公告2013年31号）</w:t>
                  </w:r>
                </w:p>
              </w:tc>
              <w:tc>
                <w:tcPr>
                  <w:tcW w:w="1840" w:type="pct"/>
                  <w:tcBorders>
                    <w:tl2br w:val="nil"/>
                    <w:tr2bl w:val="nil"/>
                  </w:tcBorders>
                  <w:noWrap w:val="0"/>
                  <w:vAlign w:val="center"/>
                </w:tcPr>
                <w:p w14:paraId="67837D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在涂装、印刷、粘合、工业清洗等含VOCs产品的使用过程中的VOCs污染防治技术措施包括：（1）鼓励使用通过环境标志产品认证的环保型涂料、漆料、胶粘剂和清洗剂；（3）在印刷工艺中推广使用水性漆料，印铁制罐行业鼓励使用紫外光固化（UV）漆料，书刊印刷行业鼓励使用预涂膜技术；（6）含VOCs产品的使用过程中，应采取废气收集措施，提高废气收集效率，减少废气的无组织排放与逸散，并对收集后的废气进行回收或处理后达标排放。”“（十二）在工业生产过程中鼓励VOCs的回收利用，并优先鼓励在生产系统内回用。”“（十五）对于含低浓度VOCs的废气，有回收价值时可采用吸附技术、吸收技术对有机溶剂回收后达标排放；不宜回收时，可采用吸附浓缩燃烧技术、生物技术、吸收技术、等离子体技术或紫外光高级氧化技术等净化后达标排放。”</w:t>
                  </w:r>
                </w:p>
                <w:p w14:paraId="26ED1B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九）严格控制VOCs处理过程中产生的二次污染，对于催化燃烧和热力焚烧过程中产生的含硫、氮、氯等无机废气，以及吸附、吸收、冷凝、生物等治理过程中所产生的含有机物废水，应处理后达标排放。”“（二十）对于不能再生的过滤材料、吸附剂及催化剂等净化材料，应按照国家固体废物管理的相关规定处理处置。”</w:t>
                  </w:r>
                </w:p>
              </w:tc>
              <w:tc>
                <w:tcPr>
                  <w:tcW w:w="1440" w:type="pct"/>
                  <w:tcBorders>
                    <w:tl2br w:val="nil"/>
                    <w:tr2bl w:val="nil"/>
                  </w:tcBorders>
                  <w:noWrap w:val="0"/>
                  <w:vAlign w:val="center"/>
                </w:tcPr>
                <w:p w14:paraId="3FBABD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Cs w:val="21"/>
                    </w:rPr>
                  </w:pPr>
                  <w:r>
                    <w:rPr>
                      <w:rFonts w:hint="eastAsia" w:ascii="Times New Roman" w:hAnsi="Times New Roman" w:cs="Times New Roman"/>
                      <w:color w:val="auto"/>
                      <w:szCs w:val="21"/>
                      <w:lang w:val="en-US" w:eastAsia="zh-CN"/>
                    </w:rPr>
                    <w:t>本项目生物实验将使用酒精，将产生少量VOCs，经收集后排入室外，经大气扩散后对区域环境质量影响较小。</w:t>
                  </w:r>
                </w:p>
              </w:tc>
              <w:tc>
                <w:tcPr>
                  <w:tcW w:w="552" w:type="pct"/>
                  <w:tcBorders>
                    <w:tl2br w:val="nil"/>
                    <w:tr2bl w:val="nil"/>
                  </w:tcBorders>
                  <w:noWrap w:val="0"/>
                  <w:vAlign w:val="center"/>
                </w:tcPr>
                <w:p w14:paraId="5EA553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color w:val="auto"/>
                      <w:szCs w:val="21"/>
                    </w:rPr>
                    <w:t>符合</w:t>
                  </w:r>
                </w:p>
              </w:tc>
            </w:tr>
            <w:tr w14:paraId="1B3BC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tcBorders>
                    <w:tl2br w:val="nil"/>
                    <w:tr2bl w:val="nil"/>
                  </w:tcBorders>
                  <w:noWrap w:val="0"/>
                  <w:vAlign w:val="center"/>
                </w:tcPr>
                <w:p w14:paraId="54515B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《挥发性有机物无组织排放控制标准》（GB37822—2019）</w:t>
                  </w:r>
                </w:p>
              </w:tc>
              <w:tc>
                <w:tcPr>
                  <w:tcW w:w="1840" w:type="pct"/>
                  <w:tcBorders>
                    <w:tl2br w:val="nil"/>
                    <w:tr2bl w:val="nil"/>
                  </w:tcBorders>
                  <w:noWrap w:val="0"/>
                  <w:vAlign w:val="center"/>
                </w:tcPr>
                <w:p w14:paraId="5973FF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使用过程：VOCs质量占比大于等于10%的含VOCs产品，其使用过程应采用密闭设备或在密闭空间内操作，废气应排至VOCs废气收集处理系统；无法密闭的，应采取局部气体收集措施，废气应排至VOCs废气收集处理系统。废气收集系统要求：企业应考虑生产工艺、操作方式、废气性质、处理方法等因素，对VOCs废气进行分类收集。废气收集系统的输送管道应密闭，废气收集系统在负压下运行。VOCs排放控制要求：收集的废气中非甲烷总烃初始排放速率≥3kg/h时，应配置VOCs处理设施，处理效率不应低于80%；对于重点地区，收集的废气中非甲烷总烃初始排放速率≥2kg/h时，应配置VOCs处理设施，处理效率不应低于80%。</w:t>
                  </w:r>
                </w:p>
              </w:tc>
              <w:tc>
                <w:tcPr>
                  <w:tcW w:w="1440" w:type="pct"/>
                  <w:tcBorders>
                    <w:tl2br w:val="nil"/>
                    <w:tr2bl w:val="nil"/>
                  </w:tcBorders>
                  <w:noWrap w:val="0"/>
                  <w:vAlign w:val="center"/>
                </w:tcPr>
                <w:p w14:paraId="564FCD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本项目生物实验将使用酒精，将产生少量VOCs，经收集后排入室外，经大气扩散后对区域环境质量影响较小。</w:t>
                  </w:r>
                </w:p>
              </w:tc>
              <w:tc>
                <w:tcPr>
                  <w:tcW w:w="552" w:type="pct"/>
                  <w:tcBorders>
                    <w:tl2br w:val="nil"/>
                    <w:tr2bl w:val="nil"/>
                  </w:tcBorders>
                  <w:noWrap w:val="0"/>
                  <w:vAlign w:val="center"/>
                </w:tcPr>
                <w:p w14:paraId="3C8E1C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color w:val="auto"/>
                      <w:szCs w:val="21"/>
                    </w:rPr>
                    <w:t>符合</w:t>
                  </w:r>
                </w:p>
              </w:tc>
            </w:tr>
            <w:tr w14:paraId="7949E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tcBorders>
                    <w:tl2br w:val="nil"/>
                    <w:tr2bl w:val="nil"/>
                  </w:tcBorders>
                  <w:noWrap w:val="0"/>
                  <w:vAlign w:val="center"/>
                </w:tcPr>
                <w:p w14:paraId="6FECCD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《重点行业挥发性有机物综合治理方案》</w:t>
                  </w:r>
                </w:p>
              </w:tc>
              <w:tc>
                <w:tcPr>
                  <w:tcW w:w="1840" w:type="pct"/>
                  <w:tcBorders>
                    <w:tl2br w:val="nil"/>
                    <w:tr2bl w:val="nil"/>
                  </w:tcBorders>
                  <w:noWrap w:val="0"/>
                  <w:vAlign w:val="center"/>
                </w:tcPr>
                <w:p w14:paraId="52BB2D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一）大力推进源头替代。通过使用水性、粉末、高固体分、无溶剂、辐射固化等低VOCs含量的涂料。（二）全面加强无组织排放控制。重点对含VOCs物料（包括含VOCs原辅材料、含VOCs产品、含VOCs废料以及有机聚合物材料等）储存、转移和输送、设备与管线组件泄露、敞开液面逸散以及工艺过程等五类排放源实施管控，通过采取设备与场所密闭、工艺改进、废气有效收集等措施，削减VOCs无组织排放。（三）工业涂装VOCs综合治理。加大汽车、家具、集装箱、电子产品、工程机械等行VOCs治理力度，重点区域应结合本地产业特征，加快实施其他行业涂装VOCs 综合治理。</w:t>
                  </w:r>
                </w:p>
              </w:tc>
              <w:tc>
                <w:tcPr>
                  <w:tcW w:w="1440" w:type="pct"/>
                  <w:tcBorders>
                    <w:tl2br w:val="nil"/>
                    <w:tr2bl w:val="nil"/>
                  </w:tcBorders>
                  <w:noWrap w:val="0"/>
                  <w:vAlign w:val="center"/>
                </w:tcPr>
                <w:p w14:paraId="7DE731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本项目生物实验将使用酒精，将产生少量VOCs，经收集后排入室外，经大气扩散后对区域环境质量影响较小。</w:t>
                  </w:r>
                </w:p>
              </w:tc>
              <w:tc>
                <w:tcPr>
                  <w:tcW w:w="552" w:type="pct"/>
                  <w:tcBorders>
                    <w:tl2br w:val="nil"/>
                    <w:tr2bl w:val="nil"/>
                  </w:tcBorders>
                  <w:noWrap w:val="0"/>
                  <w:vAlign w:val="center"/>
                </w:tcPr>
                <w:p w14:paraId="04F101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color w:val="auto"/>
                      <w:szCs w:val="21"/>
                    </w:rPr>
                    <w:t>符合</w:t>
                  </w:r>
                </w:p>
              </w:tc>
            </w:tr>
          </w:tbl>
          <w:p w14:paraId="699BF935">
            <w:pPr>
              <w:spacing w:line="360" w:lineRule="auto"/>
              <w:ind w:firstLine="482" w:firstLineChars="200"/>
              <w:rPr>
                <w:rFonts w:hint="default" w:ascii="Times New Roman" w:hAnsi="Times New Roman" w:cs="Times New Roman"/>
                <w:b/>
                <w:color w:val="auto"/>
                <w:kern w:val="0"/>
                <w:sz w:val="24"/>
              </w:rPr>
            </w:pPr>
            <w:r>
              <w:rPr>
                <w:rFonts w:hint="eastAsia" w:ascii="Times New Roman" w:hAnsi="Times New Roman" w:cs="Times New Roman"/>
                <w:b/>
                <w:color w:val="auto"/>
                <w:kern w:val="0"/>
                <w:sz w:val="24"/>
                <w:lang w:val="en-US" w:eastAsia="zh-CN"/>
              </w:rPr>
              <w:t>（3）</w:t>
            </w:r>
            <w:r>
              <w:rPr>
                <w:rFonts w:hint="default" w:ascii="Times New Roman" w:hAnsi="Times New Roman" w:cs="Times New Roman"/>
                <w:b/>
                <w:color w:val="auto"/>
                <w:kern w:val="0"/>
                <w:sz w:val="24"/>
              </w:rPr>
              <w:t>与水污染防治行动计划符合性分析</w:t>
            </w:r>
          </w:p>
          <w:p w14:paraId="035DF639">
            <w:pPr>
              <w:autoSpaceDE w:val="0"/>
              <w:autoSpaceDN w:val="0"/>
              <w:spacing w:line="360" w:lineRule="auto"/>
              <w:ind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项目与水污染防治行动计划的符合性分析情况见下表1-</w:t>
            </w:r>
            <w:r>
              <w:rPr>
                <w:rFonts w:hint="eastAsia" w:ascii="Times New Roman" w:hAnsi="Times New Roman" w:cs="Times New Roman"/>
                <w:bCs/>
                <w:color w:val="auto"/>
                <w:kern w:val="0"/>
                <w:sz w:val="24"/>
                <w:lang w:val="en-US" w:eastAsia="zh-CN"/>
              </w:rPr>
              <w:t>9</w:t>
            </w:r>
            <w:r>
              <w:rPr>
                <w:rFonts w:hint="default" w:ascii="Times New Roman" w:hAnsi="Times New Roman" w:cs="Times New Roman"/>
                <w:bCs/>
                <w:color w:val="auto"/>
                <w:kern w:val="0"/>
                <w:sz w:val="24"/>
              </w:rPr>
              <w:t>。</w:t>
            </w:r>
          </w:p>
          <w:p w14:paraId="71801B3B">
            <w:pPr>
              <w:pStyle w:val="113"/>
              <w:bidi w:val="0"/>
              <w:rPr>
                <w:rFonts w:hint="default"/>
                <w:color w:val="auto"/>
              </w:rPr>
            </w:pPr>
            <w:r>
              <w:rPr>
                <w:rFonts w:hint="default"/>
                <w:color w:val="auto"/>
              </w:rPr>
              <w:t>项目与水污染防治行动计划的符合性分析表</w:t>
            </w:r>
          </w:p>
          <w:tbl>
            <w:tblPr>
              <w:tblStyle w:val="40"/>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5225"/>
              <w:gridCol w:w="1425"/>
              <w:gridCol w:w="1098"/>
            </w:tblGrid>
            <w:tr w14:paraId="02F289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noWrap w:val="0"/>
                  <w:vAlign w:val="center"/>
                </w:tcPr>
                <w:p w14:paraId="4DAD8E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规划文</w:t>
                  </w:r>
                </w:p>
                <w:p w14:paraId="5D87C9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件名称</w:t>
                  </w:r>
                </w:p>
              </w:tc>
              <w:tc>
                <w:tcPr>
                  <w:tcW w:w="2926" w:type="pct"/>
                  <w:noWrap w:val="0"/>
                  <w:vAlign w:val="center"/>
                </w:tcPr>
                <w:p w14:paraId="7A41FC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规范要求</w:t>
                  </w:r>
                </w:p>
              </w:tc>
              <w:tc>
                <w:tcPr>
                  <w:tcW w:w="798" w:type="pct"/>
                  <w:noWrap w:val="0"/>
                  <w:vAlign w:val="center"/>
                </w:tcPr>
                <w:p w14:paraId="5C46F5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项目情况</w:t>
                  </w:r>
                </w:p>
              </w:tc>
              <w:tc>
                <w:tcPr>
                  <w:tcW w:w="615" w:type="pct"/>
                  <w:noWrap w:val="0"/>
                  <w:vAlign w:val="center"/>
                </w:tcPr>
                <w:p w14:paraId="2CCCED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符合性分析</w:t>
                  </w:r>
                </w:p>
              </w:tc>
            </w:tr>
            <w:tr w14:paraId="2FB078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Merge w:val="restart"/>
                  <w:noWrap w:val="0"/>
                  <w:vAlign w:val="center"/>
                </w:tcPr>
                <w:p w14:paraId="2D53B4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水污染防治行动计划</w:t>
                  </w:r>
                </w:p>
              </w:tc>
              <w:tc>
                <w:tcPr>
                  <w:tcW w:w="2926" w:type="pct"/>
                  <w:noWrap w:val="0"/>
                  <w:vAlign w:val="center"/>
                </w:tcPr>
                <w:p w14:paraId="5F7E7D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全面排查装备水平低、环保设施差的小型工业企业。2016 年底前，按照水污染防治法律法规要求，全部取缔不符合国家产业政策的小型造纸、制革、印染、染料、炼焦、炼硫、炼砷、炼油、电镀、农药等严重污染水环境的生产项目。</w:t>
                  </w:r>
                </w:p>
              </w:tc>
              <w:tc>
                <w:tcPr>
                  <w:tcW w:w="798" w:type="pct"/>
                  <w:noWrap w:val="0"/>
                  <w:vAlign w:val="center"/>
                </w:tcPr>
                <w:p w14:paraId="59BD49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项目不属于 “十小”企业</w:t>
                  </w:r>
                </w:p>
              </w:tc>
              <w:tc>
                <w:tcPr>
                  <w:tcW w:w="615" w:type="pct"/>
                  <w:noWrap w:val="0"/>
                  <w:vAlign w:val="center"/>
                </w:tcPr>
                <w:p w14:paraId="010947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14467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Merge w:val="continue"/>
                  <w:noWrap w:val="0"/>
                  <w:vAlign w:val="center"/>
                </w:tcPr>
                <w:p w14:paraId="232405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2926" w:type="pct"/>
                  <w:noWrap w:val="0"/>
                  <w:vAlign w:val="center"/>
                </w:tcPr>
                <w:p w14:paraId="395176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制定造纸、焦化、氮肥、有色金属、印染、农副食品加工、原料药制造、制革、农药、电镀等行业专项治理方案，实施清洁化改造。新建、改建、扩建上述行业建设项目实行主要污染物排放等量或减量置换。</w:t>
                  </w:r>
                </w:p>
              </w:tc>
              <w:tc>
                <w:tcPr>
                  <w:tcW w:w="798" w:type="pct"/>
                  <w:noWrap w:val="0"/>
                  <w:vAlign w:val="center"/>
                </w:tcPr>
                <w:p w14:paraId="09B65D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项目废水总量控制指标计入马尔康市城市生活生活污水处理厂</w:t>
                  </w:r>
                </w:p>
              </w:tc>
              <w:tc>
                <w:tcPr>
                  <w:tcW w:w="615" w:type="pct"/>
                  <w:noWrap w:val="0"/>
                  <w:vAlign w:val="center"/>
                </w:tcPr>
                <w:p w14:paraId="62667457">
                  <w:pPr>
                    <w:keepNext w:val="0"/>
                    <w:keepLines w:val="0"/>
                    <w:pageBreakBefore w:val="0"/>
                    <w:widowControl w:val="0"/>
                    <w:tabs>
                      <w:tab w:val="left" w:pos="13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4313B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Merge w:val="continue"/>
                  <w:noWrap w:val="0"/>
                  <w:vAlign w:val="center"/>
                </w:tcPr>
                <w:p w14:paraId="49A616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2926" w:type="pct"/>
                  <w:noWrap w:val="0"/>
                  <w:vAlign w:val="center"/>
                </w:tcPr>
                <w:p w14:paraId="3FA053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集聚区内工业废水必须经预处理达到集中处理要求，方可进入污水集中处理设施。新建、升级工业集聚区应同步规划、建设污水、垃圾集中处理等污染治理设施。</w:t>
                  </w:r>
                </w:p>
              </w:tc>
              <w:tc>
                <w:tcPr>
                  <w:tcW w:w="798" w:type="pct"/>
                  <w:noWrap w:val="0"/>
                  <w:vAlign w:val="center"/>
                </w:tcPr>
                <w:p w14:paraId="744E35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项目外排废水经预处理设施处理达标后进入马尔康市城市生活生活污水处理厂</w:t>
                  </w:r>
                </w:p>
              </w:tc>
              <w:tc>
                <w:tcPr>
                  <w:tcW w:w="615" w:type="pct"/>
                  <w:noWrap w:val="0"/>
                  <w:vAlign w:val="center"/>
                </w:tcPr>
                <w:p w14:paraId="6A9965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70B10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Merge w:val="restart"/>
                  <w:noWrap w:val="0"/>
                  <w:vAlign w:val="center"/>
                </w:tcPr>
                <w:p w14:paraId="594C54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水污染防治行动计划四川省工作方案</w:t>
                  </w:r>
                </w:p>
              </w:tc>
              <w:tc>
                <w:tcPr>
                  <w:tcW w:w="2926" w:type="pct"/>
                  <w:noWrap w:val="0"/>
                  <w:vAlign w:val="center"/>
                </w:tcPr>
                <w:p w14:paraId="07CF09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境保护、经济和信息化部门联合制定造纸、焦化、氮肥、有色金属、印染、农副食品加工、原料药制造、制革、农药、电镀和磷化工等行业专项治理方案并组织实施；新建、改建、扩建上述行业的建设项目执行氨氮、化学需氧量等量或减量置换</w:t>
                  </w:r>
                </w:p>
              </w:tc>
              <w:tc>
                <w:tcPr>
                  <w:tcW w:w="798" w:type="pct"/>
                  <w:noWrap w:val="0"/>
                  <w:vAlign w:val="center"/>
                </w:tcPr>
                <w:p w14:paraId="42DD7D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项目不属于“十小” 企业</w:t>
                  </w:r>
                </w:p>
              </w:tc>
              <w:tc>
                <w:tcPr>
                  <w:tcW w:w="615" w:type="pct"/>
                  <w:noWrap w:val="0"/>
                  <w:vAlign w:val="center"/>
                </w:tcPr>
                <w:p w14:paraId="7C7CE3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1F102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Merge w:val="continue"/>
                  <w:noWrap w:val="0"/>
                  <w:vAlign w:val="center"/>
                </w:tcPr>
                <w:p w14:paraId="213752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2926" w:type="pct"/>
                  <w:noWrap w:val="0"/>
                  <w:vAlign w:val="center"/>
                </w:tcPr>
                <w:p w14:paraId="3299EE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从严控制新建、改建、扩建涉磷行业的项目建设，总磷超标地方执行总磷排放减量置换，2017 年底前，所有涉磷重点工业企业应完善厂区冲洗水和初期雨水收集系统，落实涉磷矿山渣场和尾矿库的防渗、防风、防洪措施，建设规范的雨水收集池、回水池、渗滤液收集池和应急污水处理系统，并推进安装总磷在线监控装置。</w:t>
                  </w:r>
                </w:p>
              </w:tc>
              <w:tc>
                <w:tcPr>
                  <w:tcW w:w="798" w:type="pct"/>
                  <w:noWrap w:val="0"/>
                  <w:vAlign w:val="center"/>
                </w:tcPr>
                <w:p w14:paraId="55F204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项目为学校，不属于生产型企业</w:t>
                  </w:r>
                </w:p>
              </w:tc>
              <w:tc>
                <w:tcPr>
                  <w:tcW w:w="615" w:type="pct"/>
                  <w:noWrap w:val="0"/>
                  <w:vAlign w:val="center"/>
                </w:tcPr>
                <w:p w14:paraId="68A403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019F9B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vMerge w:val="continue"/>
                  <w:noWrap w:val="0"/>
                  <w:vAlign w:val="center"/>
                </w:tcPr>
                <w:p w14:paraId="110C52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2926" w:type="pct"/>
                  <w:noWrap w:val="0"/>
                  <w:vAlign w:val="center"/>
                </w:tcPr>
                <w:p w14:paraId="7064EEBB">
                  <w:pPr>
                    <w:keepNext w:val="0"/>
                    <w:keepLines w:val="0"/>
                    <w:pageBreakBefore w:val="0"/>
                    <w:widowControl w:val="0"/>
                    <w:tabs>
                      <w:tab w:val="left" w:pos="85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新建、升级工业集聚区应严格执行环境影响评价和环境保护“三同时”制度，同步规划、建设和运行污水集中处理设施，集聚区内的工业废水必须经预处理达到集中处理要求后，方可排入集中污水处理设施</w:t>
                  </w:r>
                </w:p>
              </w:tc>
              <w:tc>
                <w:tcPr>
                  <w:tcW w:w="798" w:type="pct"/>
                  <w:noWrap w:val="0"/>
                  <w:vAlign w:val="center"/>
                </w:tcPr>
                <w:p w14:paraId="3FFA1E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项目外排废水经预处理设施处理达标后进入马尔康市城市生活生活污水处理厂</w:t>
                  </w:r>
                </w:p>
              </w:tc>
              <w:tc>
                <w:tcPr>
                  <w:tcW w:w="615" w:type="pct"/>
                  <w:noWrap w:val="0"/>
                  <w:vAlign w:val="center"/>
                </w:tcPr>
                <w:p w14:paraId="6F50D9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48C4D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noWrap w:val="0"/>
                  <w:vAlign w:val="center"/>
                </w:tcPr>
                <w:p w14:paraId="66FC73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关于加强长江黄金水道环境污染防控治理的指导意见</w:t>
                  </w:r>
                </w:p>
              </w:tc>
              <w:tc>
                <w:tcPr>
                  <w:tcW w:w="2926" w:type="pct"/>
                  <w:noWrap w:val="0"/>
                  <w:vAlign w:val="center"/>
                </w:tcPr>
                <w:p w14:paraId="6558FF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落实主体功能区战略，实施差别化的区域产业政策。科学划定岸线功能分区边界，严格分区管理和用途管制。坚持“以水定发展”，统筹规划沿江岸线资源，严控下游高污染、高排放企业向上游转移。除在建项目外，严禁在干流及主要支流岸线 1 公里范围内新建布局重化工园区，严控在中上游沿岸地区新建石油化工和煤化工项目。</w:t>
                  </w:r>
                </w:p>
              </w:tc>
              <w:tc>
                <w:tcPr>
                  <w:tcW w:w="798" w:type="pct"/>
                  <w:noWrap w:val="0"/>
                  <w:vAlign w:val="center"/>
                </w:tcPr>
                <w:p w14:paraId="6DCE4F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项目不属于重化工项目</w:t>
                  </w:r>
                </w:p>
              </w:tc>
              <w:tc>
                <w:tcPr>
                  <w:tcW w:w="615" w:type="pct"/>
                  <w:noWrap w:val="0"/>
                  <w:vAlign w:val="center"/>
                </w:tcPr>
                <w:p w14:paraId="15AAEF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44903749">
            <w:pPr>
              <w:keepNext w:val="0"/>
              <w:keepLines w:val="0"/>
              <w:widowControl/>
              <w:suppressLineNumbers w:val="0"/>
              <w:spacing w:line="360" w:lineRule="auto"/>
              <w:ind w:firstLine="482" w:firstLineChars="200"/>
              <w:jc w:val="left"/>
              <w:rPr>
                <w:rFonts w:hint="eastAsia" w:ascii="Times New Roman" w:hAnsi="Times New Roman" w:cs="Times New Roman"/>
                <w:b/>
                <w:color w:val="auto"/>
                <w:kern w:val="0"/>
                <w:sz w:val="24"/>
                <w:lang w:val="en-US" w:eastAsia="zh-CN"/>
              </w:rPr>
            </w:pPr>
          </w:p>
          <w:p w14:paraId="2AE07773">
            <w:pPr>
              <w:keepNext w:val="0"/>
              <w:keepLines w:val="0"/>
              <w:widowControl/>
              <w:suppressLineNumbers w:val="0"/>
              <w:spacing w:line="360" w:lineRule="auto"/>
              <w:ind w:firstLine="482" w:firstLineChars="200"/>
              <w:jc w:val="left"/>
              <w:rPr>
                <w:rFonts w:hint="eastAsia" w:ascii="Times New Roman" w:hAnsi="Times New Roman" w:cs="Times New Roman"/>
                <w:b/>
                <w:color w:val="auto"/>
                <w:kern w:val="0"/>
                <w:sz w:val="24"/>
                <w:lang w:val="en-US" w:eastAsia="zh-CN"/>
              </w:rPr>
            </w:pPr>
          </w:p>
          <w:p w14:paraId="617F13F3">
            <w:pPr>
              <w:keepNext w:val="0"/>
              <w:keepLines w:val="0"/>
              <w:widowControl/>
              <w:suppressLineNumbers w:val="0"/>
              <w:spacing w:line="360" w:lineRule="auto"/>
              <w:ind w:firstLine="482" w:firstLineChars="200"/>
              <w:jc w:val="left"/>
              <w:rPr>
                <w:color w:val="auto"/>
              </w:rPr>
            </w:pPr>
            <w:r>
              <w:rPr>
                <w:rFonts w:hint="eastAsia" w:ascii="Times New Roman" w:hAnsi="Times New Roman" w:cs="Times New Roman"/>
                <w:b/>
                <w:color w:val="auto"/>
                <w:kern w:val="0"/>
                <w:sz w:val="24"/>
                <w:lang w:val="en-US" w:eastAsia="zh-CN"/>
              </w:rPr>
              <w:t>（4）</w:t>
            </w:r>
            <w:r>
              <w:rPr>
                <w:rFonts w:hint="eastAsia" w:ascii="宋体" w:hAnsi="宋体" w:eastAsia="宋体" w:cs="宋体"/>
                <w:b/>
                <w:bCs/>
                <w:color w:val="auto"/>
                <w:kern w:val="0"/>
                <w:sz w:val="24"/>
                <w:szCs w:val="24"/>
                <w:lang w:val="en-US" w:eastAsia="zh-CN" w:bidi="ar"/>
              </w:rPr>
              <w:t>固体废物污染防治相关法律法规符合性分析</w:t>
            </w:r>
          </w:p>
          <w:p w14:paraId="4782313B">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本项目与固体废物污染防治相关法律法规及其规划符合性分析见下表。</w:t>
            </w:r>
          </w:p>
          <w:p w14:paraId="4C7C924D">
            <w:pPr>
              <w:pStyle w:val="113"/>
              <w:bidi w:val="0"/>
              <w:rPr>
                <w:rFonts w:hint="default"/>
                <w:color w:val="auto"/>
                <w:lang w:val="en-US" w:eastAsia="zh-CN"/>
              </w:rPr>
            </w:pPr>
            <w:r>
              <w:rPr>
                <w:rFonts w:hint="eastAsia"/>
                <w:color w:val="auto"/>
                <w:lang w:val="en-US" w:eastAsia="zh-CN"/>
              </w:rPr>
              <w:t>项目与固体废物污染防治相关法律法规及其规划符合性分析</w:t>
            </w:r>
          </w:p>
          <w:tbl>
            <w:tblPr>
              <w:tblStyle w:val="4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4310"/>
              <w:gridCol w:w="2571"/>
              <w:gridCol w:w="859"/>
            </w:tblGrid>
            <w:tr w14:paraId="72FB9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3" w:type="pct"/>
                  <w:tcBorders>
                    <w:tl2br w:val="nil"/>
                    <w:tr2bl w:val="nil"/>
                  </w:tcBorders>
                  <w:noWrap w:val="0"/>
                  <w:vAlign w:val="center"/>
                </w:tcPr>
                <w:p w14:paraId="1543A48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文件名称</w:t>
                  </w:r>
                </w:p>
              </w:tc>
              <w:tc>
                <w:tcPr>
                  <w:tcW w:w="2414" w:type="pct"/>
                  <w:tcBorders>
                    <w:tl2br w:val="nil"/>
                    <w:tr2bl w:val="nil"/>
                  </w:tcBorders>
                  <w:noWrap w:val="0"/>
                  <w:vAlign w:val="center"/>
                </w:tcPr>
                <w:p w14:paraId="1BEE35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eastAsia" w:ascii="Times New Roman" w:hAnsi="Times New Roman" w:cs="Times New Roman"/>
                      <w:b/>
                      <w:color w:val="auto"/>
                      <w:szCs w:val="21"/>
                      <w:lang w:val="en-US" w:eastAsia="zh-CN"/>
                    </w:rPr>
                    <w:t>项目</w:t>
                  </w:r>
                  <w:r>
                    <w:rPr>
                      <w:rFonts w:hint="default" w:ascii="Times New Roman" w:hAnsi="Times New Roman" w:cs="Times New Roman"/>
                      <w:b/>
                      <w:color w:val="auto"/>
                      <w:szCs w:val="21"/>
                    </w:rPr>
                    <w:t>要求</w:t>
                  </w:r>
                </w:p>
              </w:tc>
              <w:tc>
                <w:tcPr>
                  <w:tcW w:w="1440" w:type="pct"/>
                  <w:tcBorders>
                    <w:tl2br w:val="nil"/>
                    <w:tr2bl w:val="nil"/>
                  </w:tcBorders>
                  <w:noWrap w:val="0"/>
                  <w:vAlign w:val="center"/>
                </w:tcPr>
                <w:p w14:paraId="68F91B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项目情况</w:t>
                  </w:r>
                </w:p>
              </w:tc>
              <w:tc>
                <w:tcPr>
                  <w:tcW w:w="481" w:type="pct"/>
                  <w:tcBorders>
                    <w:tl2br w:val="nil"/>
                    <w:tr2bl w:val="nil"/>
                  </w:tcBorders>
                  <w:noWrap w:val="0"/>
                  <w:vAlign w:val="center"/>
                </w:tcPr>
                <w:p w14:paraId="12C985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符合性分析</w:t>
                  </w:r>
                </w:p>
              </w:tc>
            </w:tr>
            <w:tr w14:paraId="76DEE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00" w:hRule="atLeast"/>
              </w:trPr>
              <w:tc>
                <w:tcPr>
                  <w:tcW w:w="663" w:type="pct"/>
                  <w:tcBorders>
                    <w:tl2br w:val="nil"/>
                    <w:tr2bl w:val="nil"/>
                  </w:tcBorders>
                  <w:noWrap w:val="0"/>
                  <w:vAlign w:val="center"/>
                </w:tcPr>
                <w:p w14:paraId="45010295">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《中华人民共和国固体废物 </w:t>
                  </w:r>
                </w:p>
                <w:p w14:paraId="4A13ECD5">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污染环境防治法》（</w:t>
                  </w:r>
                  <w:r>
                    <w:rPr>
                      <w:rFonts w:hint="default" w:ascii="Times New Roman" w:hAnsi="Times New Roman" w:eastAsia="宋体" w:cs="Times New Roman"/>
                      <w:color w:val="auto"/>
                      <w:kern w:val="0"/>
                      <w:sz w:val="20"/>
                      <w:szCs w:val="20"/>
                      <w:lang w:val="en-US" w:eastAsia="zh-CN" w:bidi="ar"/>
                    </w:rPr>
                    <w:t xml:space="preserve">2020 </w:t>
                  </w:r>
                  <w:r>
                    <w:rPr>
                      <w:rFonts w:hint="eastAsia" w:ascii="宋体" w:hAnsi="宋体" w:eastAsia="宋体" w:cs="宋体"/>
                      <w:color w:val="auto"/>
                      <w:kern w:val="0"/>
                      <w:sz w:val="20"/>
                      <w:szCs w:val="20"/>
                      <w:lang w:val="en-US" w:eastAsia="zh-CN" w:bidi="ar"/>
                    </w:rPr>
                    <w:t xml:space="preserve">年 </w:t>
                  </w:r>
                </w:p>
                <w:p w14:paraId="49949467">
                  <w:pPr>
                    <w:keepNext w:val="0"/>
                    <w:keepLines w:val="0"/>
                    <w:widowControl/>
                    <w:suppressLineNumbers w:val="0"/>
                    <w:jc w:val="left"/>
                    <w:rPr>
                      <w:color w:val="auto"/>
                    </w:rPr>
                  </w:pPr>
                  <w:r>
                    <w:rPr>
                      <w:rFonts w:hint="default" w:ascii="Times New Roman" w:hAnsi="Times New Roman" w:eastAsia="宋体" w:cs="Times New Roman"/>
                      <w:color w:val="auto"/>
                      <w:kern w:val="0"/>
                      <w:sz w:val="20"/>
                      <w:szCs w:val="20"/>
                      <w:lang w:val="en-US" w:eastAsia="zh-CN" w:bidi="ar"/>
                    </w:rPr>
                    <w:t xml:space="preserve">4 </w:t>
                  </w:r>
                  <w:r>
                    <w:rPr>
                      <w:rFonts w:hint="eastAsia" w:ascii="宋体" w:hAnsi="宋体" w:eastAsia="宋体" w:cs="宋体"/>
                      <w:color w:val="auto"/>
                      <w:kern w:val="0"/>
                      <w:sz w:val="20"/>
                      <w:szCs w:val="20"/>
                      <w:lang w:val="en-US" w:eastAsia="zh-CN" w:bidi="ar"/>
                    </w:rPr>
                    <w:t xml:space="preserve">月 </w:t>
                  </w:r>
                  <w:r>
                    <w:rPr>
                      <w:rFonts w:hint="default" w:ascii="Times New Roman" w:hAnsi="Times New Roman" w:eastAsia="宋体" w:cs="Times New Roman"/>
                      <w:color w:val="auto"/>
                      <w:kern w:val="0"/>
                      <w:sz w:val="20"/>
                      <w:szCs w:val="20"/>
                      <w:lang w:val="en-US" w:eastAsia="zh-CN" w:bidi="ar"/>
                    </w:rPr>
                    <w:t xml:space="preserve">29 </w:t>
                  </w:r>
                  <w:r>
                    <w:rPr>
                      <w:rFonts w:hint="eastAsia" w:ascii="宋体" w:hAnsi="宋体" w:eastAsia="宋体" w:cs="宋体"/>
                      <w:color w:val="auto"/>
                      <w:kern w:val="0"/>
                      <w:sz w:val="20"/>
                      <w:szCs w:val="20"/>
                      <w:lang w:val="en-US" w:eastAsia="zh-CN" w:bidi="ar"/>
                    </w:rPr>
                    <w:t xml:space="preserve">日第二 </w:t>
                  </w:r>
                </w:p>
                <w:p w14:paraId="23EBCCB6">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次修订）</w:t>
                  </w:r>
                </w:p>
                <w:p w14:paraId="04715A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2414" w:type="pct"/>
                  <w:tcBorders>
                    <w:tl2br w:val="nil"/>
                    <w:tr2bl w:val="nil"/>
                  </w:tcBorders>
                  <w:noWrap w:val="0"/>
                  <w:vAlign w:val="center"/>
                </w:tcPr>
                <w:p w14:paraId="624750B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第三十六条 产生工业固体废物的单位应当建立健全工业固体废物产生、收集、贮存、运输、簹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w:t>
                  </w:r>
                </w:p>
                <w:p w14:paraId="688D930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第三十七条 产生工业固体废物的单位委托他人运输、利用、处置工业固体废物的，应当对受托方的主体资格和技术能力进行核实，依法签订书面合同，在合同中约定污染防治要求。</w:t>
                  </w:r>
                </w:p>
                <w:p w14:paraId="75D18C6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第四十条 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建设工业固体废物贮存、处置的设施、场所，应当符合国家环境保护标准。</w:t>
                  </w:r>
                </w:p>
                <w:p w14:paraId="4896A5F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第七十八条 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p w14:paraId="61D7B7A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第七十九条 产生危险废物的单位，应当按照国家有关规定和环境保护标准要求贮存、利用、处置危险废物，不得擅自倾倒、堆放。禁珝牾齲懮熬将餚概麇夸危险废物提供或者委托给无许可证的单位或者其他生产经营者从事收集、贮存、利用、处置活动。</w:t>
                  </w:r>
                </w:p>
              </w:tc>
              <w:tc>
                <w:tcPr>
                  <w:tcW w:w="1440" w:type="pct"/>
                  <w:tcBorders>
                    <w:tl2br w:val="nil"/>
                    <w:tr2bl w:val="nil"/>
                  </w:tcBorders>
                  <w:noWrap w:val="0"/>
                  <w:vAlign w:val="center"/>
                </w:tcPr>
                <w:p w14:paraId="7852B2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i w:val="0"/>
                      <w:iCs w:val="0"/>
                      <w:color w:val="auto"/>
                      <w:szCs w:val="21"/>
                      <w:lang w:val="en-US" w:eastAsia="zh-CN"/>
                    </w:rPr>
                    <w:t>本项目设置专人负责项目的环境保护工作，包括</w:t>
                  </w:r>
                  <w:r>
                    <w:rPr>
                      <w:rFonts w:hint="eastAsia" w:ascii="Times New Roman" w:hAnsi="Times New Roman" w:cs="Times New Roman"/>
                      <w:i w:val="0"/>
                      <w:iCs w:val="0"/>
                      <w:color w:val="auto"/>
                      <w:szCs w:val="21"/>
                      <w:lang w:val="en-US" w:eastAsia="zh-CN"/>
                    </w:rPr>
                    <w:t>：</w:t>
                  </w:r>
                  <w:r>
                    <w:rPr>
                      <w:rFonts w:hint="default" w:ascii="Times New Roman" w:hAnsi="Times New Roman" w:cs="Times New Roman" w:eastAsiaTheme="minorEastAsia"/>
                      <w:i w:val="0"/>
                      <w:iCs w:val="0"/>
                      <w:color w:val="auto"/>
                      <w:szCs w:val="21"/>
                      <w:lang w:val="en-US" w:eastAsia="zh-CN"/>
                    </w:rPr>
                    <w:t>建立工业固体废物管理台账、签订固废处置协议等</w:t>
                  </w:r>
                  <w:r>
                    <w:rPr>
                      <w:rFonts w:hint="eastAsia" w:ascii="Times New Roman" w:hAnsi="Times New Roman" w:cs="Times New Roman"/>
                      <w:i w:val="0"/>
                      <w:iCs w:val="0"/>
                      <w:color w:val="auto"/>
                      <w:szCs w:val="21"/>
                      <w:lang w:val="en-US" w:eastAsia="zh-CN"/>
                    </w:rPr>
                    <w:t>；</w:t>
                  </w:r>
                  <w:r>
                    <w:rPr>
                      <w:rFonts w:hint="default" w:ascii="Times New Roman" w:hAnsi="Times New Roman" w:cs="Times New Roman" w:eastAsiaTheme="minorEastAsia"/>
                      <w:i w:val="0"/>
                      <w:iCs w:val="0"/>
                      <w:color w:val="auto"/>
                      <w:szCs w:val="21"/>
                      <w:lang w:val="en-US" w:eastAsia="zh-CN"/>
                    </w:rPr>
                    <w:t>项目建设的工业固废暂存场所，采取有符合国家环境保护标准的防护施;项目产生的危险废物分类收集暂存于危废暂存间，委托有资质单位清运处置，并建立危险废物管理台账。</w:t>
                  </w:r>
                </w:p>
              </w:tc>
              <w:tc>
                <w:tcPr>
                  <w:tcW w:w="481" w:type="pct"/>
                  <w:tcBorders>
                    <w:tl2br w:val="nil"/>
                    <w:tr2bl w:val="nil"/>
                  </w:tcBorders>
                  <w:noWrap w:val="0"/>
                  <w:vAlign w:val="center"/>
                </w:tcPr>
                <w:p w14:paraId="090B95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符合性</w:t>
                  </w:r>
                </w:p>
              </w:tc>
            </w:tr>
          </w:tbl>
          <w:p w14:paraId="2394CBB0">
            <w:pPr>
              <w:spacing w:line="360" w:lineRule="auto"/>
              <w:ind w:firstLine="482" w:firstLineChars="200"/>
              <w:rPr>
                <w:rFonts w:hint="default" w:ascii="Times New Roman" w:hAnsi="Times New Roman" w:cs="Times New Roman"/>
                <w:b/>
                <w:color w:val="auto"/>
                <w:kern w:val="0"/>
                <w:sz w:val="24"/>
              </w:rPr>
            </w:pPr>
          </w:p>
          <w:p w14:paraId="2EF8EA39">
            <w:pPr>
              <w:spacing w:line="360" w:lineRule="auto"/>
              <w:ind w:firstLine="482" w:firstLineChars="200"/>
              <w:rPr>
                <w:rFonts w:hint="default" w:ascii="Times New Roman" w:hAnsi="Times New Roman" w:cs="Times New Roman"/>
                <w:b/>
                <w:color w:val="auto"/>
                <w:kern w:val="0"/>
                <w:sz w:val="24"/>
              </w:rPr>
            </w:pPr>
          </w:p>
          <w:p w14:paraId="21AE2273">
            <w:pPr>
              <w:spacing w:line="360" w:lineRule="auto"/>
              <w:ind w:firstLine="482" w:firstLineChars="200"/>
              <w:rPr>
                <w:rFonts w:hint="default" w:ascii="Times New Roman" w:hAnsi="Times New Roman" w:cs="Times New Roman"/>
                <w:b/>
                <w:color w:val="auto"/>
                <w:kern w:val="0"/>
                <w:sz w:val="24"/>
              </w:rPr>
            </w:pPr>
            <w:r>
              <w:rPr>
                <w:rFonts w:hint="eastAsia" w:ascii="Times New Roman" w:hAnsi="Times New Roman" w:cs="Times New Roman"/>
                <w:b/>
                <w:color w:val="auto"/>
                <w:kern w:val="0"/>
                <w:sz w:val="24"/>
                <w:lang w:eastAsia="zh-CN"/>
              </w:rPr>
              <w:t>（</w:t>
            </w:r>
            <w:r>
              <w:rPr>
                <w:rFonts w:hint="eastAsia" w:ascii="Times New Roman" w:hAnsi="Times New Roman" w:cs="Times New Roman"/>
                <w:b/>
                <w:color w:val="auto"/>
                <w:kern w:val="0"/>
                <w:sz w:val="24"/>
                <w:lang w:val="en-US" w:eastAsia="zh-CN"/>
              </w:rPr>
              <w:t>5</w:t>
            </w:r>
            <w:r>
              <w:rPr>
                <w:rFonts w:hint="eastAsia" w:ascii="Times New Roman" w:hAnsi="Times New Roman" w:cs="Times New Roman"/>
                <w:b/>
                <w:color w:val="auto"/>
                <w:kern w:val="0"/>
                <w:sz w:val="24"/>
                <w:lang w:eastAsia="zh-CN"/>
              </w:rPr>
              <w:t>）</w:t>
            </w:r>
            <w:r>
              <w:rPr>
                <w:rFonts w:hint="default" w:ascii="Times New Roman" w:hAnsi="Times New Roman" w:cs="Times New Roman"/>
                <w:b/>
                <w:color w:val="auto"/>
                <w:kern w:val="0"/>
                <w:sz w:val="24"/>
              </w:rPr>
              <w:t>与土壤污染防治行动计划符合性分析</w:t>
            </w:r>
          </w:p>
          <w:p w14:paraId="1CE0B576">
            <w:pPr>
              <w:autoSpaceDE w:val="0"/>
              <w:autoSpaceDN w:val="0"/>
              <w:spacing w:line="360" w:lineRule="auto"/>
              <w:ind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项目与土壤污染防治行动计划的符合性分析情况见下表。</w:t>
            </w:r>
          </w:p>
          <w:p w14:paraId="07A25CCB">
            <w:pPr>
              <w:pStyle w:val="113"/>
              <w:bidi w:val="0"/>
              <w:rPr>
                <w:rFonts w:hint="default"/>
                <w:color w:val="auto"/>
              </w:rPr>
            </w:pPr>
            <w:r>
              <w:rPr>
                <w:rFonts w:hint="default"/>
                <w:color w:val="auto"/>
              </w:rPr>
              <w:t>项目与土壤污染防治行动计划的符合性分析表</w:t>
            </w:r>
          </w:p>
          <w:tbl>
            <w:tblPr>
              <w:tblStyle w:val="4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4123"/>
              <w:gridCol w:w="2766"/>
              <w:gridCol w:w="859"/>
            </w:tblGrid>
            <w:tr w14:paraId="3F90F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pct"/>
                  <w:tcBorders>
                    <w:tl2br w:val="nil"/>
                    <w:tr2bl w:val="nil"/>
                  </w:tcBorders>
                  <w:noWrap w:val="0"/>
                  <w:vAlign w:val="center"/>
                </w:tcPr>
                <w:p w14:paraId="0C8D5E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规划文</w:t>
                  </w:r>
                </w:p>
                <w:p w14:paraId="1629EE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件名称</w:t>
                  </w:r>
                </w:p>
              </w:tc>
              <w:tc>
                <w:tcPr>
                  <w:tcW w:w="2309" w:type="pct"/>
                  <w:tcBorders>
                    <w:tl2br w:val="nil"/>
                    <w:tr2bl w:val="nil"/>
                  </w:tcBorders>
                  <w:noWrap w:val="0"/>
                  <w:vAlign w:val="center"/>
                </w:tcPr>
                <w:p w14:paraId="28000D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规范要求</w:t>
                  </w:r>
                </w:p>
              </w:tc>
              <w:tc>
                <w:tcPr>
                  <w:tcW w:w="1549" w:type="pct"/>
                  <w:tcBorders>
                    <w:tl2br w:val="nil"/>
                    <w:tr2bl w:val="nil"/>
                  </w:tcBorders>
                  <w:noWrap w:val="0"/>
                  <w:vAlign w:val="center"/>
                </w:tcPr>
                <w:p w14:paraId="1CAEAB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项目情况</w:t>
                  </w:r>
                </w:p>
              </w:tc>
              <w:tc>
                <w:tcPr>
                  <w:tcW w:w="481" w:type="pct"/>
                  <w:tcBorders>
                    <w:tl2br w:val="nil"/>
                    <w:tr2bl w:val="nil"/>
                  </w:tcBorders>
                  <w:noWrap w:val="0"/>
                  <w:vAlign w:val="center"/>
                </w:tcPr>
                <w:p w14:paraId="481310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符合性分析</w:t>
                  </w:r>
                </w:p>
              </w:tc>
            </w:tr>
            <w:tr w14:paraId="49E7D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pct"/>
                  <w:vMerge w:val="restart"/>
                  <w:tcBorders>
                    <w:tl2br w:val="nil"/>
                    <w:tr2bl w:val="nil"/>
                  </w:tcBorders>
                  <w:noWrap w:val="0"/>
                  <w:vAlign w:val="center"/>
                </w:tcPr>
                <w:p w14:paraId="317CAD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土壤污染防治行动计划</w:t>
                  </w:r>
                </w:p>
              </w:tc>
              <w:tc>
                <w:tcPr>
                  <w:tcW w:w="2309" w:type="pct"/>
                  <w:tcBorders>
                    <w:tl2br w:val="nil"/>
                    <w:tr2bl w:val="nil"/>
                  </w:tcBorders>
                  <w:noWrap w:val="0"/>
                  <w:vAlign w:val="center"/>
                </w:tcPr>
                <w:p w14:paraId="19A662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防控企业污染。严格控制在优先保护类耕地集中区域新建有色金属冶炼、石油加工、化工、焦化、电镀、制革等行业企业，现有相关行业企业要采用新技术、新工艺，加快提标升级改造步伐。</w:t>
                  </w:r>
                </w:p>
              </w:tc>
              <w:tc>
                <w:tcPr>
                  <w:tcW w:w="1549" w:type="pct"/>
                  <w:tcBorders>
                    <w:tl2br w:val="nil"/>
                    <w:tr2bl w:val="nil"/>
                  </w:tcBorders>
                  <w:noWrap w:val="0"/>
                  <w:vAlign w:val="center"/>
                </w:tcPr>
                <w:p w14:paraId="39E8BC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本项目在马尔康市第二中学原有用地范围内新建实验楼，所在地土壤环境质量满足要求。</w:t>
                  </w:r>
                </w:p>
              </w:tc>
              <w:tc>
                <w:tcPr>
                  <w:tcW w:w="481" w:type="pct"/>
                  <w:tcBorders>
                    <w:tl2br w:val="nil"/>
                    <w:tr2bl w:val="nil"/>
                  </w:tcBorders>
                  <w:noWrap w:val="0"/>
                  <w:vAlign w:val="center"/>
                </w:tcPr>
                <w:p w14:paraId="74992D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F1C4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pct"/>
                  <w:vMerge w:val="continue"/>
                  <w:tcBorders>
                    <w:tl2br w:val="nil"/>
                    <w:tr2bl w:val="nil"/>
                  </w:tcBorders>
                  <w:noWrap w:val="0"/>
                  <w:vAlign w:val="center"/>
                </w:tcPr>
                <w:p w14:paraId="1A664C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2309" w:type="pct"/>
                  <w:tcBorders>
                    <w:tl2br w:val="nil"/>
                    <w:tr2bl w:val="nil"/>
                  </w:tcBorders>
                  <w:noWrap w:val="0"/>
                  <w:vAlign w:val="center"/>
                </w:tcPr>
                <w:p w14:paraId="398701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鼓励工业企业集聚发展，提高土地节约集约利用水平，减少土壤污染。严格执行相关行业企业布局选址要求，禁止在居民区、学校、医疗和养老机构等周边新建有色金属冶炼、焦化等行业企业；结合区域功能定位和土壤污染防治需要，科学布局生活垃圾处理、危险废物处置、废旧资源再生利用等设施和场所，合理确定畜禽养殖布局和规模。</w:t>
                  </w:r>
                </w:p>
              </w:tc>
              <w:tc>
                <w:tcPr>
                  <w:tcW w:w="1549" w:type="pct"/>
                  <w:tcBorders>
                    <w:tl2br w:val="nil"/>
                    <w:tr2bl w:val="nil"/>
                  </w:tcBorders>
                  <w:noWrap w:val="0"/>
                  <w:vAlign w:val="center"/>
                </w:tcPr>
                <w:p w14:paraId="7994AB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本项目为学校实验楼建设项目，周边无</w:t>
                  </w:r>
                  <w:r>
                    <w:rPr>
                      <w:rFonts w:hint="default" w:ascii="Times New Roman" w:hAnsi="Times New Roman" w:cs="Times New Roman"/>
                      <w:color w:val="auto"/>
                      <w:szCs w:val="21"/>
                    </w:rPr>
                    <w:t>有色金属冶炼、焦化等行业企业</w:t>
                  </w:r>
                  <w:r>
                    <w:rPr>
                      <w:rFonts w:hint="eastAsia" w:ascii="Times New Roman" w:hAnsi="Times New Roman" w:cs="Times New Roman"/>
                      <w:color w:val="auto"/>
                      <w:szCs w:val="21"/>
                      <w:lang w:eastAsia="zh-CN"/>
                    </w:rPr>
                    <w:t>。</w:t>
                  </w:r>
                </w:p>
              </w:tc>
              <w:tc>
                <w:tcPr>
                  <w:tcW w:w="481" w:type="pct"/>
                  <w:tcBorders>
                    <w:tl2br w:val="nil"/>
                    <w:tr2bl w:val="nil"/>
                  </w:tcBorders>
                  <w:noWrap w:val="0"/>
                  <w:vAlign w:val="center"/>
                </w:tcPr>
                <w:p w14:paraId="74910D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2AF5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pct"/>
                  <w:vMerge w:val="continue"/>
                  <w:tcBorders>
                    <w:tl2br w:val="nil"/>
                    <w:tr2bl w:val="nil"/>
                  </w:tcBorders>
                  <w:noWrap w:val="0"/>
                  <w:vAlign w:val="center"/>
                </w:tcPr>
                <w:p w14:paraId="00769D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2309" w:type="pct"/>
                  <w:tcBorders>
                    <w:tl2br w:val="nil"/>
                    <w:tr2bl w:val="nil"/>
                  </w:tcBorders>
                  <w:noWrap w:val="0"/>
                  <w:vAlign w:val="center"/>
                </w:tcPr>
                <w:p w14:paraId="1E6540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将建设用地土壤环境管理要求纳入城市规划和供地管理，土地开发利用必须符合土壤环境质量要求，对不符合土壤环境质量要求的地块，一律不得进入用地程序。各级国土、城乡规划等部门在编制土地利用总体规划、城市总体规划、控制性详细规划等相关规划时，应充分考虑污染地块的环境风险，合理确定土地用途。</w:t>
                  </w:r>
                </w:p>
              </w:tc>
              <w:tc>
                <w:tcPr>
                  <w:tcW w:w="1549" w:type="pct"/>
                  <w:tcBorders>
                    <w:tl2br w:val="nil"/>
                    <w:tr2bl w:val="nil"/>
                  </w:tcBorders>
                  <w:noWrap w:val="0"/>
                  <w:vAlign w:val="center"/>
                </w:tcPr>
                <w:p w14:paraId="059625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本项目在马尔康市第二中学原有用地范围内新建实验楼，所在地土壤环境质量满足要求。</w:t>
                  </w:r>
                </w:p>
              </w:tc>
              <w:tc>
                <w:tcPr>
                  <w:tcW w:w="481" w:type="pct"/>
                  <w:tcBorders>
                    <w:tl2br w:val="nil"/>
                    <w:tr2bl w:val="nil"/>
                  </w:tcBorders>
                  <w:noWrap w:val="0"/>
                  <w:vAlign w:val="center"/>
                </w:tcPr>
                <w:p w14:paraId="7806A8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05520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pct"/>
                  <w:vMerge w:val="continue"/>
                  <w:tcBorders>
                    <w:tl2br w:val="nil"/>
                    <w:tr2bl w:val="nil"/>
                  </w:tcBorders>
                  <w:noWrap w:val="0"/>
                  <w:vAlign w:val="center"/>
                </w:tcPr>
                <w:p w14:paraId="119A01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2309" w:type="pct"/>
                  <w:tcBorders>
                    <w:tl2br w:val="nil"/>
                    <w:tr2bl w:val="nil"/>
                  </w:tcBorders>
                  <w:noWrap w:val="0"/>
                  <w:vAlign w:val="center"/>
                </w:tcPr>
                <w:p w14:paraId="4576D9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严格执行重金属污染物排放标准并落实相关总量控制指标，加大监督检查力度……禁止新建落后产能或产能严重过剩行业的建设项目。按计划逐步淘汰普通照明白炽灯。提高铅酸蓄电池等行业落后产能淘汰标准，逐步退出落后产能。制定涉重金属重点工业行业清洁生产技术推行方案，鼓励企业采用先进适用生产工艺和技术。2020年重点行业的重金属排放量要比2013年下降10%。</w:t>
                  </w:r>
                </w:p>
              </w:tc>
              <w:tc>
                <w:tcPr>
                  <w:tcW w:w="1549" w:type="pct"/>
                  <w:tcBorders>
                    <w:tl2br w:val="nil"/>
                    <w:tr2bl w:val="nil"/>
                  </w:tcBorders>
                  <w:noWrap w:val="0"/>
                  <w:vAlign w:val="center"/>
                </w:tcPr>
                <w:p w14:paraId="70A9E5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本项目为学校实验楼建设项目，不属于工业企业。</w:t>
                  </w:r>
                </w:p>
              </w:tc>
              <w:tc>
                <w:tcPr>
                  <w:tcW w:w="481" w:type="pct"/>
                  <w:tcBorders>
                    <w:tl2br w:val="nil"/>
                    <w:tr2bl w:val="nil"/>
                  </w:tcBorders>
                  <w:noWrap w:val="0"/>
                  <w:vAlign w:val="center"/>
                </w:tcPr>
                <w:p w14:paraId="737ACC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B761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pct"/>
                  <w:vMerge w:val="restart"/>
                  <w:tcBorders>
                    <w:tl2br w:val="nil"/>
                    <w:tr2bl w:val="nil"/>
                  </w:tcBorders>
                  <w:noWrap w:val="0"/>
                  <w:vAlign w:val="center"/>
                </w:tcPr>
                <w:p w14:paraId="33C046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土壤污染防治行动计划四川省工作方案</w:t>
                  </w:r>
                </w:p>
              </w:tc>
              <w:tc>
                <w:tcPr>
                  <w:tcW w:w="2309" w:type="pct"/>
                  <w:tcBorders>
                    <w:tl2br w:val="nil"/>
                    <w:tr2bl w:val="nil"/>
                  </w:tcBorders>
                  <w:noWrap w:val="0"/>
                  <w:vAlign w:val="center"/>
                </w:tcPr>
                <w:p w14:paraId="433F22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严格控制在优先保护类耕地集中区域新建有色金属矿采选、有色金属冶炼、石油加工、化工、焦化、电镀、制革、天然（页岩）气开采、铅蓄电池、汽车制造、农药、危废处置、电子拆解、涉重等行业企业。</w:t>
                  </w:r>
                </w:p>
              </w:tc>
              <w:tc>
                <w:tcPr>
                  <w:tcW w:w="1549" w:type="pct"/>
                  <w:tcBorders>
                    <w:tl2br w:val="nil"/>
                    <w:tr2bl w:val="nil"/>
                  </w:tcBorders>
                  <w:noWrap w:val="0"/>
                  <w:vAlign w:val="center"/>
                </w:tcPr>
                <w:p w14:paraId="295B3D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本项目为学校实验楼建设项目，不属于</w:t>
                  </w:r>
                  <w:r>
                    <w:rPr>
                      <w:rFonts w:hint="default" w:ascii="Times New Roman" w:hAnsi="Times New Roman" w:cs="Times New Roman"/>
                      <w:color w:val="auto"/>
                      <w:szCs w:val="21"/>
                    </w:rPr>
                    <w:t>有色金属矿采选、有色金属冶炼、石油加工、化工、焦化、电镀、制革、天然（页岩）气开采、铅蓄电池、汽车制造、农药、危废处置、电子拆解、涉重等行业企业</w:t>
                  </w:r>
                  <w:r>
                    <w:rPr>
                      <w:rFonts w:hint="eastAsia" w:ascii="Times New Roman" w:hAnsi="Times New Roman" w:cs="Times New Roman"/>
                      <w:color w:val="auto"/>
                      <w:szCs w:val="21"/>
                      <w:lang w:eastAsia="zh-CN"/>
                    </w:rPr>
                    <w:t>。</w:t>
                  </w:r>
                </w:p>
              </w:tc>
              <w:tc>
                <w:tcPr>
                  <w:tcW w:w="481" w:type="pct"/>
                  <w:tcBorders>
                    <w:tl2br w:val="nil"/>
                    <w:tr2bl w:val="nil"/>
                  </w:tcBorders>
                  <w:noWrap w:val="0"/>
                  <w:vAlign w:val="center"/>
                </w:tcPr>
                <w:p w14:paraId="1F4DFF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5D533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pct"/>
                  <w:vMerge w:val="continue"/>
                  <w:tcBorders>
                    <w:tl2br w:val="nil"/>
                    <w:tr2bl w:val="nil"/>
                  </w:tcBorders>
                  <w:noWrap w:val="0"/>
                  <w:vAlign w:val="center"/>
                </w:tcPr>
                <w:p w14:paraId="111232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2309" w:type="pct"/>
                  <w:tcBorders>
                    <w:tl2br w:val="nil"/>
                    <w:tr2bl w:val="nil"/>
                  </w:tcBorders>
                  <w:noWrap w:val="0"/>
                  <w:vAlign w:val="center"/>
                </w:tcPr>
                <w:p w14:paraId="14C3C2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将建设用地土壤环境管理要求纳入城市规划和供地管理，土地开发利用必须符合土壤环境质量要求，对不符合土壤环境质量要求的地块，一律不得进入用地程序。各级国土、城乡规划等部门在编制土地利用总体规划、城市总体规划、控制性详细规划等相关规划时，应充分考虑污染地块的环境风险，合理确定土地用 。</w:t>
                  </w:r>
                </w:p>
              </w:tc>
              <w:tc>
                <w:tcPr>
                  <w:tcW w:w="1549" w:type="pct"/>
                  <w:tcBorders>
                    <w:tl2br w:val="nil"/>
                    <w:tr2bl w:val="nil"/>
                  </w:tcBorders>
                  <w:noWrap w:val="0"/>
                  <w:vAlign w:val="center"/>
                </w:tcPr>
                <w:p w14:paraId="04D09B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本项目不涉及</w:t>
                  </w:r>
                </w:p>
              </w:tc>
              <w:tc>
                <w:tcPr>
                  <w:tcW w:w="481" w:type="pct"/>
                  <w:tcBorders>
                    <w:tl2br w:val="nil"/>
                    <w:tr2bl w:val="nil"/>
                  </w:tcBorders>
                  <w:noWrap w:val="0"/>
                  <w:vAlign w:val="center"/>
                </w:tcPr>
                <w:p w14:paraId="1267ED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AD38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pct"/>
                  <w:vMerge w:val="continue"/>
                  <w:tcBorders>
                    <w:tl2br w:val="nil"/>
                    <w:tr2bl w:val="nil"/>
                  </w:tcBorders>
                  <w:noWrap w:val="0"/>
                  <w:vAlign w:val="center"/>
                </w:tcPr>
                <w:p w14:paraId="0895E2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2309" w:type="pct"/>
                  <w:tcBorders>
                    <w:tl2br w:val="nil"/>
                    <w:tr2bl w:val="nil"/>
                  </w:tcBorders>
                  <w:noWrap w:val="0"/>
                  <w:vAlign w:val="center"/>
                </w:tcPr>
                <w:p w14:paraId="182CA7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制定重点重金属污染防治实施方案，严格执行重金属污染物排放标准并落实相关总量控制指标，涉重金属产业发展规划必须开展规划环境影响评价，严禁在生态红线管控区、人口聚集区新建涉及重金属排放的项目。深化重金属污染治理，采取“以奖代补”方式鼓励现有重金属污染企业升级改造，降低重金属排放总量，实现稳定达标排放。</w:t>
                  </w:r>
                </w:p>
              </w:tc>
              <w:tc>
                <w:tcPr>
                  <w:tcW w:w="1549" w:type="pct"/>
                  <w:tcBorders>
                    <w:tl2br w:val="nil"/>
                    <w:tr2bl w:val="nil"/>
                  </w:tcBorders>
                  <w:noWrap w:val="0"/>
                  <w:vAlign w:val="center"/>
                </w:tcPr>
                <w:p w14:paraId="36D75D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本项目不涉及重金属污染。</w:t>
                  </w:r>
                </w:p>
              </w:tc>
              <w:tc>
                <w:tcPr>
                  <w:tcW w:w="481" w:type="pct"/>
                  <w:tcBorders>
                    <w:tl2br w:val="nil"/>
                    <w:tr2bl w:val="nil"/>
                  </w:tcBorders>
                  <w:noWrap w:val="0"/>
                  <w:vAlign w:val="center"/>
                </w:tcPr>
                <w:p w14:paraId="71A523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4C2D9068">
            <w:pPr>
              <w:autoSpaceDE w:val="0"/>
              <w:autoSpaceDN w:val="0"/>
              <w:spacing w:line="360" w:lineRule="auto"/>
              <w:ind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综上，本项目建设符合相关规划要求。</w:t>
            </w:r>
          </w:p>
          <w:p w14:paraId="6AFFA5BD">
            <w:pPr>
              <w:spacing w:line="360" w:lineRule="auto"/>
              <w:rPr>
                <w:rFonts w:ascii="Times New Roman" w:hAnsi="Times New Roman" w:cs="Times New Roman"/>
                <w:b/>
                <w:color w:val="auto"/>
                <w:kern w:val="0"/>
                <w:sz w:val="24"/>
                <w:szCs w:val="24"/>
                <w:highlight w:val="none"/>
              </w:rPr>
            </w:pPr>
            <w:r>
              <w:rPr>
                <w:rFonts w:hint="eastAsia" w:ascii="Times New Roman" w:hAnsi="Times New Roman" w:cs="Times New Roman"/>
                <w:b/>
                <w:color w:val="auto"/>
                <w:kern w:val="0"/>
                <w:sz w:val="24"/>
                <w:szCs w:val="24"/>
                <w:highlight w:val="none"/>
              </w:rPr>
              <w:t>3</w:t>
            </w:r>
            <w:r>
              <w:rPr>
                <w:rFonts w:ascii="Times New Roman" w:hAnsi="Times New Roman" w:cs="Times New Roman"/>
                <w:b/>
                <w:color w:val="auto"/>
                <w:kern w:val="0"/>
                <w:sz w:val="24"/>
                <w:szCs w:val="24"/>
                <w:highlight w:val="none"/>
              </w:rPr>
              <w:t>、</w:t>
            </w:r>
            <w:r>
              <w:rPr>
                <w:rFonts w:hint="eastAsia" w:ascii="Times New Roman" w:hAnsi="Times New Roman" w:cs="Times New Roman"/>
                <w:b/>
                <w:color w:val="auto"/>
                <w:kern w:val="0"/>
                <w:sz w:val="24"/>
                <w:szCs w:val="24"/>
                <w:highlight w:val="none"/>
              </w:rPr>
              <w:t>项目外环境关系及</w:t>
            </w:r>
            <w:r>
              <w:rPr>
                <w:rFonts w:ascii="Times New Roman" w:hAnsi="Times New Roman" w:cs="Times New Roman"/>
                <w:b/>
                <w:color w:val="auto"/>
                <w:kern w:val="0"/>
                <w:sz w:val="24"/>
                <w:szCs w:val="24"/>
                <w:highlight w:val="none"/>
              </w:rPr>
              <w:t>选址合理性分析</w:t>
            </w:r>
          </w:p>
          <w:p w14:paraId="47992FEB">
            <w:pPr>
              <w:spacing w:line="360" w:lineRule="auto"/>
              <w:ind w:firstLine="482"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rPr>
              <w:t>1</w:t>
            </w:r>
            <w:r>
              <w:rPr>
                <w:rFonts w:ascii="Times New Roman" w:hAnsi="Times New Roman" w:eastAsia="宋体" w:cs="Times New Roman"/>
                <w:b/>
                <w:bCs/>
                <w:color w:val="auto"/>
                <w:sz w:val="24"/>
                <w:szCs w:val="24"/>
                <w:highlight w:val="none"/>
              </w:rPr>
              <w:t>）项目</w:t>
            </w:r>
            <w:r>
              <w:rPr>
                <w:rFonts w:hint="eastAsia" w:ascii="Times New Roman" w:hAnsi="Times New Roman" w:eastAsia="宋体" w:cs="Times New Roman"/>
                <w:b/>
                <w:bCs/>
                <w:color w:val="auto"/>
                <w:sz w:val="24"/>
                <w:szCs w:val="24"/>
                <w:highlight w:val="none"/>
              </w:rPr>
              <w:t>外环境关系</w:t>
            </w:r>
          </w:p>
          <w:p w14:paraId="713FCB8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4"/>
                <w:highlight w:val="none"/>
              </w:rPr>
              <w:t>本项目位于</w:t>
            </w:r>
            <w:r>
              <w:rPr>
                <w:rFonts w:hint="eastAsia" w:ascii="Times New Roman" w:hAnsi="Times New Roman" w:eastAsia="宋体" w:cs="Times New Roman"/>
                <w:color w:val="auto"/>
                <w:sz w:val="24"/>
                <w:szCs w:val="24"/>
                <w:highlight w:val="none"/>
                <w:lang w:val="en-US" w:eastAsia="zh-CN"/>
              </w:rPr>
              <w:t>马尔康市达萨街439号</w:t>
            </w:r>
            <w:r>
              <w:rPr>
                <w:rFonts w:ascii="Times New Roman" w:hAnsi="Times New Roman" w:eastAsia="宋体" w:cs="Times New Roman"/>
                <w:color w:val="auto"/>
                <w:sz w:val="24"/>
                <w:szCs w:val="24"/>
                <w:highlight w:val="none"/>
              </w:rPr>
              <w:t>，</w:t>
            </w:r>
            <w:r>
              <w:rPr>
                <w:rFonts w:ascii="宋体" w:hAnsi="宋体" w:eastAsia="宋体" w:cs="宋体"/>
                <w:color w:val="auto"/>
                <w:sz w:val="24"/>
                <w:szCs w:val="24"/>
                <w:highlight w:val="none"/>
              </w:rPr>
              <w:t>本次</w:t>
            </w:r>
            <w:r>
              <w:rPr>
                <w:rFonts w:hint="eastAsia" w:ascii="宋体" w:hAnsi="宋体" w:eastAsia="宋体" w:cs="宋体"/>
                <w:color w:val="auto"/>
                <w:sz w:val="24"/>
                <w:szCs w:val="24"/>
                <w:highlight w:val="none"/>
                <w:lang w:val="en-US" w:eastAsia="zh-CN"/>
              </w:rPr>
              <w:t>改建</w:t>
            </w:r>
            <w:r>
              <w:rPr>
                <w:rFonts w:ascii="宋体" w:hAnsi="宋体" w:eastAsia="宋体" w:cs="宋体"/>
                <w:color w:val="auto"/>
                <w:sz w:val="24"/>
                <w:szCs w:val="24"/>
                <w:highlight w:val="none"/>
              </w:rPr>
              <w:t>在</w:t>
            </w:r>
            <w:r>
              <w:rPr>
                <w:rFonts w:hint="eastAsia" w:ascii="宋体" w:hAnsi="宋体" w:eastAsia="宋体" w:cs="宋体"/>
                <w:color w:val="auto"/>
                <w:sz w:val="24"/>
                <w:szCs w:val="24"/>
                <w:highlight w:val="none"/>
                <w:lang w:val="en-US" w:eastAsia="zh-CN"/>
              </w:rPr>
              <w:t>学校</w:t>
            </w:r>
            <w:r>
              <w:rPr>
                <w:rFonts w:ascii="宋体" w:hAnsi="宋体" w:eastAsia="宋体" w:cs="宋体"/>
                <w:color w:val="auto"/>
                <w:sz w:val="24"/>
                <w:szCs w:val="24"/>
                <w:highlight w:val="none"/>
              </w:rPr>
              <w:t>现有红线范围内进行，无新增用地。</w:t>
            </w:r>
            <w:r>
              <w:rPr>
                <w:rFonts w:hint="eastAsia" w:ascii="Times New Roman" w:hAnsi="Times New Roman" w:eastAsia="宋体" w:cs="Times New Roman"/>
                <w:color w:val="auto"/>
                <w:sz w:val="24"/>
                <w:szCs w:val="24"/>
                <w:highlight w:val="none"/>
                <w:lang w:val="en-US" w:eastAsia="zh-CN"/>
              </w:rPr>
              <w:t>项目位置如下图：</w:t>
            </w:r>
          </w:p>
          <w:p w14:paraId="631741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4"/>
                <w:szCs w:val="24"/>
                <w:highlight w:val="none"/>
                <w:lang w:eastAsia="zh-CN"/>
              </w:rPr>
            </w:pPr>
            <w:r>
              <w:rPr>
                <w:rFonts w:ascii="宋体" w:hAnsi="宋体" w:eastAsia="宋体" w:cs="宋体"/>
                <w:color w:val="auto"/>
                <w:sz w:val="24"/>
                <w:szCs w:val="24"/>
              </w:rPr>
              <w:drawing>
                <wp:inline distT="0" distB="0" distL="114300" distR="114300">
                  <wp:extent cx="5447665" cy="3065780"/>
                  <wp:effectExtent l="0" t="0" r="635" b="1270"/>
                  <wp:docPr id="1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56"/>
                          <pic:cNvPicPr>
                            <a:picLocks noChangeAspect="1"/>
                          </pic:cNvPicPr>
                        </pic:nvPicPr>
                        <pic:blipFill>
                          <a:blip r:embed="rId10"/>
                          <a:stretch>
                            <a:fillRect/>
                          </a:stretch>
                        </pic:blipFill>
                        <pic:spPr>
                          <a:xfrm>
                            <a:off x="0" y="0"/>
                            <a:ext cx="5447665" cy="3065780"/>
                          </a:xfrm>
                          <a:prstGeom prst="rect">
                            <a:avLst/>
                          </a:prstGeom>
                          <a:noFill/>
                          <a:ln w="9525">
                            <a:noFill/>
                          </a:ln>
                        </pic:spPr>
                      </pic:pic>
                    </a:graphicData>
                  </a:graphic>
                </wp:inline>
              </w:drawing>
            </w:r>
          </w:p>
          <w:p w14:paraId="38865ED7">
            <w:pPr>
              <w:pStyle w:val="118"/>
              <w:bidi w:val="0"/>
              <w:rPr>
                <w:rFonts w:hint="default"/>
                <w:color w:val="auto"/>
                <w:lang w:val="en-US" w:eastAsia="zh-CN"/>
              </w:rPr>
            </w:pPr>
            <w:r>
              <w:rPr>
                <w:rFonts w:hint="eastAsia"/>
                <w:color w:val="auto"/>
                <w:lang w:val="en-US" w:eastAsia="zh-CN"/>
              </w:rPr>
              <w:t>本项目现场位置图</w:t>
            </w:r>
          </w:p>
          <w:p w14:paraId="158290B0">
            <w:pPr>
              <w:spacing w:line="360" w:lineRule="auto"/>
              <w:ind w:firstLine="480" w:firstLineChars="200"/>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本项目场界周边保护目标现场照片如下：</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6"/>
              <w:gridCol w:w="4443"/>
            </w:tblGrid>
            <w:tr w14:paraId="6F012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6" w:type="dxa"/>
                  <w:vAlign w:val="center"/>
                </w:tcPr>
                <w:p w14:paraId="472CA0EF">
                  <w:pPr>
                    <w:pStyle w:val="35"/>
                    <w:keepNext w:val="0"/>
                    <w:keepLines w:val="0"/>
                    <w:widowControl/>
                    <w:suppressLineNumbers w:val="0"/>
                    <w:jc w:val="center"/>
                    <w:rPr>
                      <w:rFonts w:hint="eastAsia" w:ascii="Times New Roman" w:hAnsi="Times New Roman" w:eastAsia="宋体" w:cs="Times New Roman"/>
                      <w:b w:val="0"/>
                      <w:bCs w:val="0"/>
                      <w:color w:val="auto"/>
                      <w:sz w:val="21"/>
                      <w:szCs w:val="21"/>
                      <w:highlight w:val="none"/>
                      <w:vertAlign w:val="baseline"/>
                      <w:lang w:eastAsia="zh-CN"/>
                    </w:rPr>
                  </w:pP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1737360</wp:posOffset>
                            </wp:positionH>
                            <wp:positionV relativeFrom="paragraph">
                              <wp:posOffset>370840</wp:posOffset>
                            </wp:positionV>
                            <wp:extent cx="177165" cy="361950"/>
                            <wp:effectExtent l="6985" t="2540" r="6350" b="16510"/>
                            <wp:wrapNone/>
                            <wp:docPr id="20" name="直接箭头连接符 20"/>
                            <wp:cNvGraphicFramePr/>
                            <a:graphic xmlns:a="http://schemas.openxmlformats.org/drawingml/2006/main">
                              <a:graphicData uri="http://schemas.microsoft.com/office/word/2010/wordprocessingShape">
                                <wps:wsp>
                                  <wps:cNvCnPr/>
                                  <wps:spPr>
                                    <a:xfrm flipH="1">
                                      <a:off x="0" y="0"/>
                                      <a:ext cx="177165" cy="3619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36.8pt;margin-top:29.2pt;height:28.5pt;width:13.95pt;z-index:251663360;mso-width-relative:page;mso-height-relative:page;" filled="f" stroked="t" coordsize="21600,21600" o:gfxdata="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fq3fdgAAAAKAQAADwAAAAAA&#10;AAABACAAAAAiAAAAZHJzL2Rvd25yZXYueG1sUEsBAhQAFAAAAAgAh07iQNukowoTAgAA7wMAAA4A&#10;AAAAAAAAAQAgAAAAJwEAAGRycy9lMm9Eb2MueG1sUEsFBgAAAAAGAAYAWQEAAKwFAAAAAA==&#10;">
                            <v:fill on="f" focussize="0,0"/>
                            <v:stroke weight="1pt" color="#FF0000 [3204]" miterlimit="8" joinstyle="miter" endarrow="open"/>
                            <v:imagedata o:title=""/>
                            <o:lock v:ext="edit" aspectratio="f"/>
                          </v:shape>
                        </w:pict>
                      </mc:Fallback>
                    </mc:AlternateContent>
                  </w:r>
                  <w:r>
                    <w:rPr>
                      <w:rFonts w:hint="eastAsia" w:ascii="Times New Roman" w:hAnsi="Times New Roman" w:eastAsia="宋体" w:cs="Times New Roman"/>
                      <w:b w:val="0"/>
                      <w:bCs w:val="0"/>
                      <w:color w:val="auto"/>
                      <w:sz w:val="21"/>
                      <w:szCs w:val="21"/>
                      <w:highlight w:val="none"/>
                      <w:vertAlign w:val="baseline"/>
                      <w:lang w:eastAsia="zh-CN"/>
                    </w:rPr>
                    <w:drawing>
                      <wp:inline distT="0" distB="0" distL="114300" distR="114300">
                        <wp:extent cx="2691765" cy="2310130"/>
                        <wp:effectExtent l="0" t="0" r="0" b="0"/>
                        <wp:docPr id="2" name="图片 2" descr="IMG_20250827_15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827_152446"/>
                                <pic:cNvPicPr>
                                  <a:picLocks noChangeAspect="1"/>
                                </pic:cNvPicPr>
                              </pic:nvPicPr>
                              <pic:blipFill>
                                <a:blip r:embed="rId11"/>
                                <a:srcRect b="35633"/>
                                <a:stretch>
                                  <a:fillRect/>
                                </a:stretch>
                              </pic:blipFill>
                              <pic:spPr>
                                <a:xfrm>
                                  <a:off x="0" y="0"/>
                                  <a:ext cx="2691765" cy="2310130"/>
                                </a:xfrm>
                                <a:prstGeom prst="rect">
                                  <a:avLst/>
                                </a:prstGeom>
                              </pic:spPr>
                            </pic:pic>
                          </a:graphicData>
                        </a:graphic>
                      </wp:inline>
                    </w:drawing>
                  </w:r>
                </w:p>
              </w:tc>
              <w:tc>
                <w:tcPr>
                  <w:tcW w:w="4443" w:type="dxa"/>
                  <w:vAlign w:val="center"/>
                </w:tcPr>
                <w:p w14:paraId="54B40A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vertAlign w:val="baseline"/>
                      <w:lang w:eastAsia="zh-CN"/>
                    </w:rPr>
                  </w:pP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1085850</wp:posOffset>
                            </wp:positionH>
                            <wp:positionV relativeFrom="paragraph">
                              <wp:posOffset>1154430</wp:posOffset>
                            </wp:positionV>
                            <wp:extent cx="177165" cy="361950"/>
                            <wp:effectExtent l="6985" t="2540" r="6350" b="16510"/>
                            <wp:wrapNone/>
                            <wp:docPr id="5" name="直接箭头连接符 5"/>
                            <wp:cNvGraphicFramePr/>
                            <a:graphic xmlns:a="http://schemas.openxmlformats.org/drawingml/2006/main">
                              <a:graphicData uri="http://schemas.microsoft.com/office/word/2010/wordprocessingShape">
                                <wps:wsp>
                                  <wps:cNvCnPr/>
                                  <wps:spPr>
                                    <a:xfrm flipH="1">
                                      <a:off x="5221605" y="1988820"/>
                                      <a:ext cx="177165" cy="3619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85.5pt;margin-top:90.9pt;height:28.5pt;width:13.95pt;z-index:251660288;mso-width-relative:page;mso-height-relative:page;" filled="f" stroked="t" coordsize="21600,21600" o:gfxdata="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oTFCtcAAAAL&#10;AQAADwAAAAAAAAABACAAAAAiAAAAZHJzL2Rvd25yZXYueG1sUEsBAhQAFAAAAAgAh07iQIg5a94d&#10;AgAA+QMAAA4AAAAAAAAAAQAgAAAAJgEAAGRycy9lMm9Eb2MueG1sUEsFBgAAAAAGAAYAWQEAALUF&#10;AAAAAA==&#10;">
                            <v:fill on="f" focussize="0,0"/>
                            <v:stroke weight="1pt" color="#FF0000 [3204]" miterlimit="8" joinstyle="miter" endarrow="open"/>
                            <v:imagedata o:title=""/>
                            <o:lock v:ext="edit" aspectratio="f"/>
                          </v:shape>
                        </w:pict>
                      </mc:Fallback>
                    </mc:AlternateContent>
                  </w:r>
                  <w:r>
                    <w:rPr>
                      <w:rFonts w:hint="eastAsia" w:ascii="Times New Roman" w:hAnsi="Times New Roman" w:eastAsia="宋体" w:cs="Times New Roman"/>
                      <w:b w:val="0"/>
                      <w:bCs w:val="0"/>
                      <w:color w:val="auto"/>
                      <w:sz w:val="21"/>
                      <w:szCs w:val="21"/>
                      <w:highlight w:val="none"/>
                      <w:vertAlign w:val="baseline"/>
                      <w:lang w:eastAsia="zh-CN"/>
                    </w:rPr>
                    <w:drawing>
                      <wp:inline distT="0" distB="0" distL="114300" distR="114300">
                        <wp:extent cx="2653030" cy="2287270"/>
                        <wp:effectExtent l="0" t="0" r="0" b="0"/>
                        <wp:docPr id="3" name="图片 3" descr="IMG_20250827_15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827_155400"/>
                                <pic:cNvPicPr>
                                  <a:picLocks noChangeAspect="1"/>
                                </pic:cNvPicPr>
                              </pic:nvPicPr>
                              <pic:blipFill>
                                <a:blip r:embed="rId12"/>
                                <a:srcRect t="35344"/>
                                <a:stretch>
                                  <a:fillRect/>
                                </a:stretch>
                              </pic:blipFill>
                              <pic:spPr>
                                <a:xfrm>
                                  <a:off x="0" y="0"/>
                                  <a:ext cx="2653030" cy="2287270"/>
                                </a:xfrm>
                                <a:prstGeom prst="rect">
                                  <a:avLst/>
                                </a:prstGeom>
                              </pic:spPr>
                            </pic:pic>
                          </a:graphicData>
                        </a:graphic>
                      </wp:inline>
                    </w:drawing>
                  </w:r>
                </w:p>
              </w:tc>
            </w:tr>
            <w:tr w14:paraId="6835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6" w:type="dxa"/>
                  <w:vAlign w:val="center"/>
                </w:tcPr>
                <w:p w14:paraId="6F232C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项目西南侧嘉绒印象小区</w:t>
                  </w:r>
                </w:p>
              </w:tc>
              <w:tc>
                <w:tcPr>
                  <w:tcW w:w="4443" w:type="dxa"/>
                  <w:vAlign w:val="center"/>
                </w:tcPr>
                <w:p w14:paraId="1669F7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项目南侧马尔康市公安局防暴大队</w:t>
                  </w:r>
                </w:p>
              </w:tc>
            </w:tr>
            <w:tr w14:paraId="7731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6" w:type="dxa"/>
                  <w:vAlign w:val="center"/>
                </w:tcPr>
                <w:p w14:paraId="24E29960">
                  <w:pPr>
                    <w:pStyle w:val="35"/>
                    <w:keepNext w:val="0"/>
                    <w:keepLines w:val="0"/>
                    <w:widowControl/>
                    <w:suppressLineNumbers w:val="0"/>
                    <w:jc w:val="center"/>
                    <w:rPr>
                      <w:rFonts w:hint="eastAsia" w:ascii="Times New Roman" w:hAnsi="Times New Roman" w:eastAsia="宋体" w:cs="Times New Roman"/>
                      <w:b w:val="0"/>
                      <w:bCs w:val="0"/>
                      <w:color w:val="auto"/>
                      <w:sz w:val="21"/>
                      <w:szCs w:val="21"/>
                      <w:highlight w:val="none"/>
                      <w:vertAlign w:val="baseline"/>
                      <w:lang w:eastAsia="zh-CN"/>
                    </w:r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1669415</wp:posOffset>
                            </wp:positionH>
                            <wp:positionV relativeFrom="paragraph">
                              <wp:posOffset>1744980</wp:posOffset>
                            </wp:positionV>
                            <wp:extent cx="177165" cy="361950"/>
                            <wp:effectExtent l="6985" t="2540" r="6350" b="16510"/>
                            <wp:wrapNone/>
                            <wp:docPr id="17" name="直接箭头连接符 17"/>
                            <wp:cNvGraphicFramePr/>
                            <a:graphic xmlns:a="http://schemas.openxmlformats.org/drawingml/2006/main">
                              <a:graphicData uri="http://schemas.microsoft.com/office/word/2010/wordprocessingShape">
                                <wps:wsp>
                                  <wps:cNvCnPr/>
                                  <wps:spPr>
                                    <a:xfrm flipH="1">
                                      <a:off x="0" y="0"/>
                                      <a:ext cx="177165" cy="3619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31.45pt;margin-top:137.4pt;height:28.5pt;width:13.95pt;z-index:251662336;mso-width-relative:page;mso-height-relative:page;" filled="f" stroked="t" coordsize="21600,21600" o:gfxdata="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wSRXXYAAAACwEAAA8AAAAA&#10;AAAAAQAgAAAAIgAAAGRycy9kb3ducmV2LnhtbFBLAQIUABQAAAAIAIdO4kBqqw7wFAIAAO8DAAAO&#10;AAAAAAAAAAEAIAAAACcBAABkcnMvZTJvRG9jLnhtbFBLBQYAAAAABgAGAFkBAACtBQAAAAA=&#10;">
                            <v:fill on="f" focussize="0,0"/>
                            <v:stroke weight="1pt" color="#FF0000 [3204]" miterlimit="8" joinstyle="miter" endarrow="open"/>
                            <v:imagedata o:title=""/>
                            <o:lock v:ext="edit" aspectratio="f"/>
                          </v:shape>
                        </w:pict>
                      </mc:Fallback>
                    </mc:AlternateContent>
                  </w:r>
                  <w:r>
                    <w:rPr>
                      <w:rFonts w:hint="eastAsia" w:ascii="Times New Roman" w:hAnsi="Times New Roman" w:eastAsia="宋体" w:cs="Times New Roman"/>
                      <w:b w:val="0"/>
                      <w:bCs w:val="0"/>
                      <w:color w:val="auto"/>
                      <w:sz w:val="21"/>
                      <w:szCs w:val="21"/>
                      <w:highlight w:val="none"/>
                      <w:vertAlign w:val="baseline"/>
                      <w:lang w:eastAsia="zh-CN"/>
                    </w:rPr>
                    <w:drawing>
                      <wp:inline distT="0" distB="0" distL="114300" distR="114300">
                        <wp:extent cx="2691765" cy="2647315"/>
                        <wp:effectExtent l="0" t="0" r="0" b="0"/>
                        <wp:docPr id="8" name="图片 8" descr="IMG_20250827_15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827_155402"/>
                                <pic:cNvPicPr>
                                  <a:picLocks noChangeAspect="1"/>
                                </pic:cNvPicPr>
                              </pic:nvPicPr>
                              <pic:blipFill>
                                <a:blip r:embed="rId13"/>
                                <a:srcRect b="26238"/>
                                <a:stretch>
                                  <a:fillRect/>
                                </a:stretch>
                              </pic:blipFill>
                              <pic:spPr>
                                <a:xfrm>
                                  <a:off x="0" y="0"/>
                                  <a:ext cx="2691765" cy="2647315"/>
                                </a:xfrm>
                                <a:prstGeom prst="rect">
                                  <a:avLst/>
                                </a:prstGeom>
                              </pic:spPr>
                            </pic:pic>
                          </a:graphicData>
                        </a:graphic>
                      </wp:inline>
                    </w:drawing>
                  </w:r>
                </w:p>
              </w:tc>
              <w:tc>
                <w:tcPr>
                  <w:tcW w:w="4443" w:type="dxa"/>
                  <w:vAlign w:val="center"/>
                </w:tcPr>
                <w:p w14:paraId="31F642E3">
                  <w:pPr>
                    <w:pStyle w:val="35"/>
                    <w:keepNext w:val="0"/>
                    <w:keepLines w:val="0"/>
                    <w:widowControl/>
                    <w:suppressLineNumbers w:val="0"/>
                    <w:jc w:val="center"/>
                    <w:rPr>
                      <w:rFonts w:hint="eastAsia" w:ascii="Times New Roman" w:hAnsi="Times New Roman" w:eastAsia="宋体" w:cs="Times New Roman"/>
                      <w:b w:val="0"/>
                      <w:bCs w:val="0"/>
                      <w:color w:val="auto"/>
                      <w:sz w:val="21"/>
                      <w:szCs w:val="21"/>
                      <w:highlight w:val="none"/>
                      <w:vertAlign w:val="baseline"/>
                      <w:lang w:eastAsia="zh-CN"/>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1778000</wp:posOffset>
                            </wp:positionH>
                            <wp:positionV relativeFrom="paragraph">
                              <wp:posOffset>910590</wp:posOffset>
                            </wp:positionV>
                            <wp:extent cx="177165" cy="361950"/>
                            <wp:effectExtent l="6985" t="2540" r="6350" b="16510"/>
                            <wp:wrapNone/>
                            <wp:docPr id="11" name="直接箭头连接符 11"/>
                            <wp:cNvGraphicFramePr/>
                            <a:graphic xmlns:a="http://schemas.openxmlformats.org/drawingml/2006/main">
                              <a:graphicData uri="http://schemas.microsoft.com/office/word/2010/wordprocessingShape">
                                <wps:wsp>
                                  <wps:cNvCnPr/>
                                  <wps:spPr>
                                    <a:xfrm flipH="1">
                                      <a:off x="0" y="0"/>
                                      <a:ext cx="177165" cy="3619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0pt;margin-top:71.7pt;height:28.5pt;width:13.95pt;z-index:251661312;mso-width-relative:page;mso-height-relative:page;" filled="f" stroked="t" coordsize="21600,21600" o:gfxdata="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sO6ZtgAAAALAQAADwAAAAAA&#10;AAABACAAAAAiAAAAZHJzL2Rvd25yZXYueG1sUEsBAhQAFAAAAAgAh07iQJtPv5ITAgAA7wMAAA4A&#10;AAAAAAAAAQAgAAAAJwEAAGRycy9lMm9Eb2MueG1sUEsFBgAAAAAGAAYAWQEAAKwFAAAAAA==&#10;">
                            <v:fill on="f" focussize="0,0"/>
                            <v:stroke weight="1pt" color="#FF0000 [3204]" miterlimit="8" joinstyle="miter" endarrow="open"/>
                            <v:imagedata o:title=""/>
                            <o:lock v:ext="edit" aspectratio="f"/>
                          </v:shape>
                        </w:pict>
                      </mc:Fallback>
                    </mc:AlternateContent>
                  </w:r>
                  <w:r>
                    <w:rPr>
                      <w:rFonts w:hint="eastAsia" w:ascii="Times New Roman" w:hAnsi="Times New Roman" w:eastAsia="宋体" w:cs="Times New Roman"/>
                      <w:b w:val="0"/>
                      <w:bCs w:val="0"/>
                      <w:color w:val="auto"/>
                      <w:sz w:val="21"/>
                      <w:szCs w:val="21"/>
                      <w:highlight w:val="none"/>
                      <w:vertAlign w:val="baseline"/>
                      <w:lang w:eastAsia="zh-CN"/>
                    </w:rPr>
                    <w:drawing>
                      <wp:inline distT="0" distB="0" distL="114300" distR="114300">
                        <wp:extent cx="2653030" cy="2635885"/>
                        <wp:effectExtent l="0" t="0" r="0" b="0"/>
                        <wp:docPr id="9" name="图片 9" descr="IMG_20250827_15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827_155521"/>
                                <pic:cNvPicPr>
                                  <a:picLocks noChangeAspect="1"/>
                                </pic:cNvPicPr>
                              </pic:nvPicPr>
                              <pic:blipFill>
                                <a:blip r:embed="rId14"/>
                                <a:srcRect b="25489"/>
                                <a:stretch>
                                  <a:fillRect/>
                                </a:stretch>
                              </pic:blipFill>
                              <pic:spPr>
                                <a:xfrm>
                                  <a:off x="0" y="0"/>
                                  <a:ext cx="2653030" cy="2635885"/>
                                </a:xfrm>
                                <a:prstGeom prst="rect">
                                  <a:avLst/>
                                </a:prstGeom>
                              </pic:spPr>
                            </pic:pic>
                          </a:graphicData>
                        </a:graphic>
                      </wp:inline>
                    </w:drawing>
                  </w:r>
                </w:p>
              </w:tc>
            </w:tr>
            <w:tr w14:paraId="4E9F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6" w:type="dxa"/>
                  <w:vAlign w:val="center"/>
                </w:tcPr>
                <w:p w14:paraId="12FA90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项目南侧马尔康市本真林业草原工作站</w:t>
                  </w:r>
                </w:p>
              </w:tc>
              <w:tc>
                <w:tcPr>
                  <w:tcW w:w="4443" w:type="dxa"/>
                  <w:vAlign w:val="center"/>
                </w:tcPr>
                <w:p w14:paraId="1D4EAE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项目西北侧马尔康市公安局交通警察大队</w:t>
                  </w:r>
                </w:p>
              </w:tc>
            </w:tr>
          </w:tbl>
          <w:p w14:paraId="30113864">
            <w:pPr>
              <w:pStyle w:val="118"/>
              <w:bidi w:val="0"/>
              <w:rPr>
                <w:color w:val="auto"/>
              </w:rPr>
            </w:pPr>
            <w:r>
              <w:rPr>
                <w:rFonts w:hint="eastAsia"/>
                <w:color w:val="auto"/>
                <w:lang w:val="en-US" w:eastAsia="zh-CN"/>
              </w:rPr>
              <w:t>本项目场界周边保护目标现场照片</w:t>
            </w:r>
          </w:p>
          <w:p w14:paraId="32B70DAF">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cs="Times New Roman"/>
                <w:color w:val="auto"/>
                <w:kern w:val="0"/>
                <w:sz w:val="24"/>
                <w:szCs w:val="24"/>
                <w:highlight w:val="none"/>
              </w:rPr>
              <w:t>根据现场踏勘，项目外环境关系如下：</w:t>
            </w:r>
          </w:p>
          <w:p w14:paraId="2581D1C4">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西北侧：紧邻马尔康市公安局交警大队，113m处为物流集散中心，117m处为加油站，222m处为汽修厂，239m处为阿坝州嘉绒昌德商贸城，339m处为白湾派出所。</w:t>
            </w:r>
          </w:p>
          <w:p w14:paraId="45B387D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西侧：179m处为自建房。</w:t>
            </w:r>
          </w:p>
          <w:p w14:paraId="545DCFBB">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西南侧：紧邻达萨街三段，达萨街三段对面为嘉绒印象小区，约20m处为马尔康市公安局防暴大队。</w:t>
            </w:r>
          </w:p>
          <w:p w14:paraId="0AF0C8F2">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南侧：紧邻达萨街三段，达萨街三段对面为马尔康市本真林业工作站。</w:t>
            </w:r>
          </w:p>
          <w:p w14:paraId="410794C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东南侧：20m处为马尔康市水务局，118m处为俄尔雅村。</w:t>
            </w:r>
          </w:p>
          <w:p w14:paraId="590C3B06">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项目周边外环境关系如下表所示。</w:t>
            </w:r>
          </w:p>
          <w:p w14:paraId="5A6E9781">
            <w:pPr>
              <w:spacing w:line="360" w:lineRule="auto"/>
              <w:ind w:firstLine="480" w:firstLineChars="200"/>
              <w:rPr>
                <w:rFonts w:hint="eastAsia" w:ascii="Times New Roman" w:hAnsi="Times New Roman" w:eastAsia="宋体" w:cs="Times New Roman"/>
                <w:color w:val="auto"/>
                <w:sz w:val="24"/>
                <w:szCs w:val="24"/>
                <w:highlight w:val="none"/>
              </w:rPr>
            </w:pPr>
          </w:p>
          <w:p w14:paraId="54387360">
            <w:pPr>
              <w:pStyle w:val="113"/>
              <w:bidi w:val="0"/>
              <w:rPr>
                <w:color w:val="auto"/>
              </w:rPr>
            </w:pPr>
            <w:r>
              <w:rPr>
                <w:rFonts w:hint="eastAsia"/>
                <w:color w:val="auto"/>
              </w:rPr>
              <w:t>本项目周边500m范围外环境关系情况一览表</w:t>
            </w:r>
          </w:p>
          <w:tbl>
            <w:tblPr>
              <w:tblStyle w:val="40"/>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4"/>
              <w:gridCol w:w="957"/>
              <w:gridCol w:w="864"/>
              <w:gridCol w:w="2798"/>
              <w:gridCol w:w="1073"/>
              <w:gridCol w:w="1288"/>
              <w:gridCol w:w="1290"/>
            </w:tblGrid>
            <w:tr w14:paraId="778458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366" w:type="pct"/>
                  <w:tcBorders>
                    <w:tl2br w:val="nil"/>
                    <w:tr2bl w:val="nil"/>
                  </w:tcBorders>
                  <w:shd w:val="clear" w:color="auto" w:fill="auto"/>
                  <w:vAlign w:val="center"/>
                </w:tcPr>
                <w:p w14:paraId="7DE15071">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序号</w:t>
                  </w:r>
                </w:p>
              </w:tc>
              <w:tc>
                <w:tcPr>
                  <w:tcW w:w="536" w:type="pct"/>
                  <w:tcBorders>
                    <w:tl2br w:val="nil"/>
                    <w:tr2bl w:val="nil"/>
                  </w:tcBorders>
                  <w:shd w:val="clear" w:color="auto" w:fill="auto"/>
                  <w:vAlign w:val="center"/>
                </w:tcPr>
                <w:p w14:paraId="58C4538B">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方位</w:t>
                  </w:r>
                </w:p>
              </w:tc>
              <w:tc>
                <w:tcPr>
                  <w:tcW w:w="484" w:type="pct"/>
                  <w:tcBorders>
                    <w:tl2br w:val="nil"/>
                    <w:tr2bl w:val="nil"/>
                  </w:tcBorders>
                  <w:shd w:val="clear" w:color="auto" w:fill="auto"/>
                  <w:vAlign w:val="center"/>
                </w:tcPr>
                <w:p w14:paraId="5E11758C">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距离</w:t>
                  </w:r>
                </w:p>
              </w:tc>
              <w:tc>
                <w:tcPr>
                  <w:tcW w:w="1567" w:type="pct"/>
                  <w:tcBorders>
                    <w:tl2br w:val="nil"/>
                    <w:tr2bl w:val="nil"/>
                  </w:tcBorders>
                  <w:shd w:val="clear" w:color="auto" w:fill="auto"/>
                  <w:vAlign w:val="center"/>
                </w:tcPr>
                <w:p w14:paraId="6C16D493">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名称</w:t>
                  </w:r>
                </w:p>
              </w:tc>
              <w:tc>
                <w:tcPr>
                  <w:tcW w:w="601" w:type="pct"/>
                  <w:tcBorders>
                    <w:tl2br w:val="nil"/>
                    <w:tr2bl w:val="nil"/>
                  </w:tcBorders>
                  <w:shd w:val="clear" w:color="auto" w:fill="auto"/>
                  <w:vAlign w:val="center"/>
                </w:tcPr>
                <w:p w14:paraId="6A4DAFD8">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高度/m</w:t>
                  </w:r>
                </w:p>
              </w:tc>
              <w:tc>
                <w:tcPr>
                  <w:tcW w:w="721" w:type="pct"/>
                  <w:tcBorders>
                    <w:tl2br w:val="nil"/>
                    <w:tr2bl w:val="nil"/>
                  </w:tcBorders>
                  <w:shd w:val="clear" w:color="auto" w:fill="auto"/>
                  <w:vAlign w:val="center"/>
                </w:tcPr>
                <w:p w14:paraId="09B7E28C">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性质</w:t>
                  </w:r>
                </w:p>
              </w:tc>
              <w:tc>
                <w:tcPr>
                  <w:tcW w:w="722" w:type="pct"/>
                  <w:tcBorders>
                    <w:tl2br w:val="nil"/>
                    <w:tr2bl w:val="nil"/>
                  </w:tcBorders>
                  <w:shd w:val="clear" w:color="auto" w:fill="auto"/>
                  <w:vAlign w:val="center"/>
                </w:tcPr>
                <w:p w14:paraId="34094549">
                  <w:pPr>
                    <w:widowControl/>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规模</w:t>
                  </w:r>
                </w:p>
              </w:tc>
            </w:tr>
            <w:tr w14:paraId="52267D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366" w:type="pct"/>
                  <w:tcBorders>
                    <w:tl2br w:val="nil"/>
                    <w:tr2bl w:val="nil"/>
                  </w:tcBorders>
                  <w:shd w:val="clear" w:color="auto" w:fill="auto"/>
                  <w:vAlign w:val="center"/>
                </w:tcPr>
                <w:p w14:paraId="1688D39B">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536" w:type="pct"/>
                  <w:vMerge w:val="restart"/>
                  <w:tcBorders>
                    <w:tl2br w:val="nil"/>
                    <w:tr2bl w:val="nil"/>
                  </w:tcBorders>
                  <w:shd w:val="clear" w:color="auto" w:fill="auto"/>
                  <w:vAlign w:val="center"/>
                </w:tcPr>
                <w:p w14:paraId="7892AD8B">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西北侧</w:t>
                  </w:r>
                </w:p>
              </w:tc>
              <w:tc>
                <w:tcPr>
                  <w:tcW w:w="484" w:type="pct"/>
                  <w:tcBorders>
                    <w:tl2br w:val="nil"/>
                    <w:tr2bl w:val="nil"/>
                  </w:tcBorders>
                  <w:shd w:val="clear" w:color="auto" w:fill="auto"/>
                  <w:vAlign w:val="center"/>
                </w:tcPr>
                <w:p w14:paraId="5B67A61E">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紧邻</w:t>
                  </w:r>
                </w:p>
              </w:tc>
              <w:tc>
                <w:tcPr>
                  <w:tcW w:w="1567" w:type="pct"/>
                  <w:tcBorders>
                    <w:tl2br w:val="nil"/>
                    <w:tr2bl w:val="nil"/>
                  </w:tcBorders>
                  <w:shd w:val="clear" w:color="auto" w:fill="auto"/>
                  <w:vAlign w:val="center"/>
                </w:tcPr>
                <w:p w14:paraId="571DEF2A">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马尔康市公安局交警大队</w:t>
                  </w:r>
                </w:p>
              </w:tc>
              <w:tc>
                <w:tcPr>
                  <w:tcW w:w="601" w:type="pct"/>
                  <w:tcBorders>
                    <w:tl2br w:val="nil"/>
                    <w:tr2bl w:val="nil"/>
                  </w:tcBorders>
                  <w:shd w:val="clear" w:color="auto" w:fill="auto"/>
                  <w:vAlign w:val="center"/>
                </w:tcPr>
                <w:p w14:paraId="203430C0">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4F/15m</w:t>
                  </w:r>
                </w:p>
              </w:tc>
              <w:tc>
                <w:tcPr>
                  <w:tcW w:w="721" w:type="pct"/>
                  <w:tcBorders>
                    <w:tl2br w:val="nil"/>
                    <w:tr2bl w:val="nil"/>
                  </w:tcBorders>
                  <w:shd w:val="clear" w:color="auto" w:fill="auto"/>
                  <w:vAlign w:val="center"/>
                </w:tcPr>
                <w:p w14:paraId="32F77FCC">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事业单位</w:t>
                  </w:r>
                </w:p>
              </w:tc>
              <w:tc>
                <w:tcPr>
                  <w:tcW w:w="722" w:type="pct"/>
                  <w:tcBorders>
                    <w:tl2br w:val="nil"/>
                    <w:tr2bl w:val="nil"/>
                  </w:tcBorders>
                  <w:shd w:val="clear" w:color="auto" w:fill="auto"/>
                  <w:vAlign w:val="center"/>
                </w:tcPr>
                <w:p w14:paraId="173FAC4D">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约100人</w:t>
                  </w:r>
                </w:p>
              </w:tc>
            </w:tr>
            <w:tr w14:paraId="34252D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366" w:type="pct"/>
                  <w:tcBorders>
                    <w:tl2br w:val="nil"/>
                    <w:tr2bl w:val="nil"/>
                  </w:tcBorders>
                  <w:shd w:val="clear" w:color="auto" w:fill="auto"/>
                  <w:vAlign w:val="center"/>
                </w:tcPr>
                <w:p w14:paraId="35B06E1B">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w:t>
                  </w:r>
                </w:p>
              </w:tc>
              <w:tc>
                <w:tcPr>
                  <w:tcW w:w="536" w:type="pct"/>
                  <w:vMerge w:val="continue"/>
                  <w:tcBorders>
                    <w:tl2br w:val="nil"/>
                    <w:tr2bl w:val="nil"/>
                  </w:tcBorders>
                  <w:shd w:val="clear" w:color="auto" w:fill="auto"/>
                  <w:vAlign w:val="center"/>
                </w:tcPr>
                <w:p w14:paraId="16B0C1ED">
                  <w:pPr>
                    <w:widowControl/>
                    <w:jc w:val="center"/>
                    <w:textAlignment w:val="center"/>
                    <w:rPr>
                      <w:rFonts w:hint="default" w:ascii="Times New Roman" w:hAnsi="Times New Roman" w:eastAsia="宋体" w:cs="Times New Roman"/>
                      <w:b w:val="0"/>
                      <w:bCs w:val="0"/>
                      <w:color w:val="auto"/>
                      <w:kern w:val="0"/>
                      <w:sz w:val="21"/>
                      <w:szCs w:val="21"/>
                      <w:highlight w:val="none"/>
                      <w:lang w:bidi="ar"/>
                    </w:rPr>
                  </w:pPr>
                </w:p>
              </w:tc>
              <w:tc>
                <w:tcPr>
                  <w:tcW w:w="484" w:type="pct"/>
                  <w:tcBorders>
                    <w:tl2br w:val="nil"/>
                    <w:tr2bl w:val="nil"/>
                  </w:tcBorders>
                  <w:shd w:val="clear" w:color="auto" w:fill="auto"/>
                  <w:vAlign w:val="center"/>
                </w:tcPr>
                <w:p w14:paraId="24FAD658">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113m</w:t>
                  </w:r>
                </w:p>
              </w:tc>
              <w:tc>
                <w:tcPr>
                  <w:tcW w:w="1567" w:type="pct"/>
                  <w:tcBorders>
                    <w:tl2br w:val="nil"/>
                    <w:tr2bl w:val="nil"/>
                  </w:tcBorders>
                  <w:shd w:val="clear" w:color="auto" w:fill="auto"/>
                  <w:vAlign w:val="center"/>
                </w:tcPr>
                <w:p w14:paraId="1624ECA2">
                  <w:pPr>
                    <w:widowControl/>
                    <w:jc w:val="center"/>
                    <w:textAlignment w:val="center"/>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color w:val="auto"/>
                      <w:kern w:val="0"/>
                      <w:sz w:val="21"/>
                      <w:szCs w:val="21"/>
                      <w:highlight w:val="none"/>
                      <w:lang w:val="en-US" w:eastAsia="zh-CN" w:bidi="ar"/>
                    </w:rPr>
                    <w:t>物流集散中心</w:t>
                  </w:r>
                </w:p>
              </w:tc>
              <w:tc>
                <w:tcPr>
                  <w:tcW w:w="601" w:type="pct"/>
                  <w:tcBorders>
                    <w:tl2br w:val="nil"/>
                    <w:tr2bl w:val="nil"/>
                  </w:tcBorders>
                  <w:shd w:val="clear" w:color="auto" w:fill="auto"/>
                  <w:vAlign w:val="center"/>
                </w:tcPr>
                <w:p w14:paraId="3A730015">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1F/6m</w:t>
                  </w:r>
                </w:p>
              </w:tc>
              <w:tc>
                <w:tcPr>
                  <w:tcW w:w="721" w:type="pct"/>
                  <w:tcBorders>
                    <w:tl2br w:val="nil"/>
                    <w:tr2bl w:val="nil"/>
                  </w:tcBorders>
                  <w:shd w:val="clear" w:color="auto" w:fill="auto"/>
                  <w:vAlign w:val="center"/>
                </w:tcPr>
                <w:p w14:paraId="4D2D34D7">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企业</w:t>
                  </w:r>
                </w:p>
              </w:tc>
              <w:tc>
                <w:tcPr>
                  <w:tcW w:w="722" w:type="pct"/>
                  <w:tcBorders>
                    <w:tl2br w:val="nil"/>
                    <w:tr2bl w:val="nil"/>
                  </w:tcBorders>
                  <w:shd w:val="clear" w:color="auto" w:fill="auto"/>
                  <w:vAlign w:val="center"/>
                </w:tcPr>
                <w:p w14:paraId="4BCA8BCC">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约20人</w:t>
                  </w:r>
                </w:p>
              </w:tc>
            </w:tr>
            <w:tr w14:paraId="2297BC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366" w:type="pct"/>
                  <w:tcBorders>
                    <w:tl2br w:val="nil"/>
                    <w:tr2bl w:val="nil"/>
                  </w:tcBorders>
                  <w:shd w:val="clear" w:color="auto" w:fill="auto"/>
                  <w:vAlign w:val="center"/>
                </w:tcPr>
                <w:p w14:paraId="7DD3C6BB">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w:t>
                  </w:r>
                </w:p>
              </w:tc>
              <w:tc>
                <w:tcPr>
                  <w:tcW w:w="536" w:type="pct"/>
                  <w:vMerge w:val="continue"/>
                  <w:tcBorders>
                    <w:tl2br w:val="nil"/>
                    <w:tr2bl w:val="nil"/>
                  </w:tcBorders>
                  <w:shd w:val="clear" w:color="auto" w:fill="auto"/>
                  <w:vAlign w:val="center"/>
                </w:tcPr>
                <w:p w14:paraId="020A0F35">
                  <w:pPr>
                    <w:widowControl/>
                    <w:jc w:val="center"/>
                    <w:textAlignment w:val="center"/>
                    <w:rPr>
                      <w:rFonts w:hint="default" w:ascii="Times New Roman" w:hAnsi="Times New Roman" w:eastAsia="宋体" w:cs="Times New Roman"/>
                      <w:b w:val="0"/>
                      <w:bCs w:val="0"/>
                      <w:color w:val="auto"/>
                      <w:kern w:val="0"/>
                      <w:sz w:val="21"/>
                      <w:szCs w:val="21"/>
                      <w:highlight w:val="none"/>
                      <w:lang w:bidi="ar"/>
                    </w:rPr>
                  </w:pPr>
                </w:p>
              </w:tc>
              <w:tc>
                <w:tcPr>
                  <w:tcW w:w="484" w:type="pct"/>
                  <w:tcBorders>
                    <w:tl2br w:val="nil"/>
                    <w:tr2bl w:val="nil"/>
                  </w:tcBorders>
                  <w:shd w:val="clear" w:color="auto" w:fill="auto"/>
                  <w:vAlign w:val="center"/>
                </w:tcPr>
                <w:p w14:paraId="7702D424">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117m</w:t>
                  </w:r>
                </w:p>
              </w:tc>
              <w:tc>
                <w:tcPr>
                  <w:tcW w:w="1567" w:type="pct"/>
                  <w:tcBorders>
                    <w:tl2br w:val="nil"/>
                    <w:tr2bl w:val="nil"/>
                  </w:tcBorders>
                  <w:shd w:val="clear" w:color="auto" w:fill="auto"/>
                  <w:vAlign w:val="center"/>
                </w:tcPr>
                <w:p w14:paraId="7D95FD79">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加油站</w:t>
                  </w:r>
                </w:p>
              </w:tc>
              <w:tc>
                <w:tcPr>
                  <w:tcW w:w="601" w:type="pct"/>
                  <w:tcBorders>
                    <w:tl2br w:val="nil"/>
                    <w:tr2bl w:val="nil"/>
                  </w:tcBorders>
                  <w:shd w:val="clear" w:color="auto" w:fill="auto"/>
                  <w:vAlign w:val="center"/>
                </w:tcPr>
                <w:p w14:paraId="178FC50E">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2F/6m</w:t>
                  </w:r>
                </w:p>
              </w:tc>
              <w:tc>
                <w:tcPr>
                  <w:tcW w:w="721" w:type="pct"/>
                  <w:tcBorders>
                    <w:tl2br w:val="nil"/>
                    <w:tr2bl w:val="nil"/>
                  </w:tcBorders>
                  <w:shd w:val="clear" w:color="auto" w:fill="auto"/>
                  <w:vAlign w:val="center"/>
                </w:tcPr>
                <w:p w14:paraId="2D409DC7">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企业</w:t>
                  </w:r>
                </w:p>
              </w:tc>
              <w:tc>
                <w:tcPr>
                  <w:tcW w:w="722" w:type="pct"/>
                  <w:tcBorders>
                    <w:tl2br w:val="nil"/>
                    <w:tr2bl w:val="nil"/>
                  </w:tcBorders>
                  <w:shd w:val="clear" w:color="auto" w:fill="auto"/>
                  <w:vAlign w:val="center"/>
                </w:tcPr>
                <w:p w14:paraId="0B928E94">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约4人</w:t>
                  </w:r>
                </w:p>
              </w:tc>
            </w:tr>
            <w:tr w14:paraId="5D1BF5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366" w:type="pct"/>
                  <w:tcBorders>
                    <w:tl2br w:val="nil"/>
                    <w:tr2bl w:val="nil"/>
                  </w:tcBorders>
                  <w:shd w:val="clear" w:color="auto" w:fill="auto"/>
                  <w:vAlign w:val="center"/>
                </w:tcPr>
                <w:p w14:paraId="0B34B1D7">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4</w:t>
                  </w:r>
                </w:p>
              </w:tc>
              <w:tc>
                <w:tcPr>
                  <w:tcW w:w="536" w:type="pct"/>
                  <w:vMerge w:val="continue"/>
                  <w:tcBorders>
                    <w:tl2br w:val="nil"/>
                    <w:tr2bl w:val="nil"/>
                  </w:tcBorders>
                  <w:shd w:val="clear" w:color="auto" w:fill="auto"/>
                  <w:vAlign w:val="center"/>
                </w:tcPr>
                <w:p w14:paraId="67DD9FAD">
                  <w:pPr>
                    <w:widowControl/>
                    <w:jc w:val="center"/>
                    <w:textAlignment w:val="center"/>
                    <w:rPr>
                      <w:rFonts w:hint="default" w:ascii="Times New Roman" w:hAnsi="Times New Roman" w:eastAsia="宋体" w:cs="Times New Roman"/>
                      <w:b w:val="0"/>
                      <w:bCs w:val="0"/>
                      <w:color w:val="auto"/>
                      <w:kern w:val="0"/>
                      <w:sz w:val="21"/>
                      <w:szCs w:val="21"/>
                      <w:highlight w:val="none"/>
                      <w:lang w:bidi="ar"/>
                    </w:rPr>
                  </w:pPr>
                </w:p>
              </w:tc>
              <w:tc>
                <w:tcPr>
                  <w:tcW w:w="484" w:type="pct"/>
                  <w:tcBorders>
                    <w:tl2br w:val="nil"/>
                    <w:tr2bl w:val="nil"/>
                  </w:tcBorders>
                  <w:shd w:val="clear" w:color="auto" w:fill="auto"/>
                  <w:vAlign w:val="center"/>
                </w:tcPr>
                <w:p w14:paraId="3F0890E0">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222m</w:t>
                  </w:r>
                </w:p>
              </w:tc>
              <w:tc>
                <w:tcPr>
                  <w:tcW w:w="1567" w:type="pct"/>
                  <w:tcBorders>
                    <w:tl2br w:val="nil"/>
                    <w:tr2bl w:val="nil"/>
                  </w:tcBorders>
                  <w:shd w:val="clear" w:color="auto" w:fill="auto"/>
                  <w:vAlign w:val="center"/>
                </w:tcPr>
                <w:p w14:paraId="39E82779">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汽修厂</w:t>
                  </w:r>
                </w:p>
              </w:tc>
              <w:tc>
                <w:tcPr>
                  <w:tcW w:w="601" w:type="pct"/>
                  <w:tcBorders>
                    <w:tl2br w:val="nil"/>
                    <w:tr2bl w:val="nil"/>
                  </w:tcBorders>
                  <w:shd w:val="clear" w:color="auto" w:fill="auto"/>
                  <w:vAlign w:val="center"/>
                </w:tcPr>
                <w:p w14:paraId="18CCDE02">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2F/6m</w:t>
                  </w:r>
                </w:p>
              </w:tc>
              <w:tc>
                <w:tcPr>
                  <w:tcW w:w="721" w:type="pct"/>
                  <w:tcBorders>
                    <w:tl2br w:val="nil"/>
                    <w:tr2bl w:val="nil"/>
                  </w:tcBorders>
                  <w:shd w:val="clear" w:color="auto" w:fill="auto"/>
                  <w:vAlign w:val="center"/>
                </w:tcPr>
                <w:p w14:paraId="2DC2DAF5">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企业</w:t>
                  </w:r>
                </w:p>
              </w:tc>
              <w:tc>
                <w:tcPr>
                  <w:tcW w:w="722" w:type="pct"/>
                  <w:tcBorders>
                    <w:tl2br w:val="nil"/>
                    <w:tr2bl w:val="nil"/>
                  </w:tcBorders>
                  <w:shd w:val="clear" w:color="auto" w:fill="auto"/>
                  <w:vAlign w:val="center"/>
                </w:tcPr>
                <w:p w14:paraId="1EA42CF5">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约6人</w:t>
                  </w:r>
                </w:p>
              </w:tc>
            </w:tr>
            <w:tr w14:paraId="79E7C6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366" w:type="pct"/>
                  <w:tcBorders>
                    <w:tl2br w:val="nil"/>
                    <w:tr2bl w:val="nil"/>
                  </w:tcBorders>
                  <w:shd w:val="clear" w:color="auto" w:fill="auto"/>
                  <w:vAlign w:val="center"/>
                </w:tcPr>
                <w:p w14:paraId="7CFEFD8F">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w:t>
                  </w:r>
                </w:p>
              </w:tc>
              <w:tc>
                <w:tcPr>
                  <w:tcW w:w="536" w:type="pct"/>
                  <w:vMerge w:val="continue"/>
                  <w:tcBorders>
                    <w:tl2br w:val="nil"/>
                    <w:tr2bl w:val="nil"/>
                  </w:tcBorders>
                  <w:shd w:val="clear" w:color="auto" w:fill="auto"/>
                  <w:vAlign w:val="center"/>
                </w:tcPr>
                <w:p w14:paraId="36BEE127">
                  <w:pPr>
                    <w:widowControl/>
                    <w:jc w:val="center"/>
                    <w:textAlignment w:val="center"/>
                    <w:rPr>
                      <w:rFonts w:hint="default" w:ascii="Times New Roman" w:hAnsi="Times New Roman" w:eastAsia="宋体" w:cs="Times New Roman"/>
                      <w:b w:val="0"/>
                      <w:bCs w:val="0"/>
                      <w:color w:val="auto"/>
                      <w:kern w:val="0"/>
                      <w:sz w:val="21"/>
                      <w:szCs w:val="21"/>
                      <w:highlight w:val="none"/>
                      <w:lang w:bidi="ar"/>
                    </w:rPr>
                  </w:pPr>
                </w:p>
              </w:tc>
              <w:tc>
                <w:tcPr>
                  <w:tcW w:w="484" w:type="pct"/>
                  <w:tcBorders>
                    <w:tl2br w:val="nil"/>
                    <w:tr2bl w:val="nil"/>
                  </w:tcBorders>
                  <w:shd w:val="clear" w:color="auto" w:fill="auto"/>
                  <w:vAlign w:val="center"/>
                </w:tcPr>
                <w:p w14:paraId="080AAA08">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239m</w:t>
                  </w:r>
                </w:p>
              </w:tc>
              <w:tc>
                <w:tcPr>
                  <w:tcW w:w="1567" w:type="pct"/>
                  <w:tcBorders>
                    <w:tl2br w:val="nil"/>
                    <w:tr2bl w:val="nil"/>
                  </w:tcBorders>
                  <w:shd w:val="clear" w:color="auto" w:fill="auto"/>
                  <w:vAlign w:val="center"/>
                </w:tcPr>
                <w:p w14:paraId="652D1520">
                  <w:pPr>
                    <w:widowControl/>
                    <w:jc w:val="center"/>
                    <w:textAlignment w:val="center"/>
                    <w:rPr>
                      <w:rFonts w:hint="default" w:ascii="Times New Roman" w:hAnsi="Times New Roman" w:eastAsia="宋体" w:cs="Times New Roman"/>
                      <w:b w:val="0"/>
                      <w:bCs w:val="0"/>
                      <w:color w:val="auto"/>
                      <w:kern w:val="0"/>
                      <w:sz w:val="21"/>
                      <w:szCs w:val="21"/>
                      <w:highlight w:val="none"/>
                      <w:lang w:bidi="ar"/>
                    </w:rPr>
                  </w:pPr>
                  <w:r>
                    <w:rPr>
                      <w:rFonts w:hint="eastAsia" w:ascii="Times New Roman" w:hAnsi="Times New Roman" w:eastAsia="宋体" w:cs="Times New Roman"/>
                      <w:color w:val="auto"/>
                      <w:sz w:val="21"/>
                      <w:szCs w:val="21"/>
                      <w:highlight w:val="none"/>
                      <w:lang w:val="en-US" w:eastAsia="zh-CN"/>
                    </w:rPr>
                    <w:t>阿坝州嘉绒昌德商贸城</w:t>
                  </w:r>
                </w:p>
              </w:tc>
              <w:tc>
                <w:tcPr>
                  <w:tcW w:w="601" w:type="pct"/>
                  <w:tcBorders>
                    <w:tl2br w:val="nil"/>
                    <w:tr2bl w:val="nil"/>
                  </w:tcBorders>
                  <w:shd w:val="clear" w:color="auto" w:fill="auto"/>
                  <w:vAlign w:val="center"/>
                </w:tcPr>
                <w:p w14:paraId="55840062">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1F/6m</w:t>
                  </w:r>
                </w:p>
              </w:tc>
              <w:tc>
                <w:tcPr>
                  <w:tcW w:w="721" w:type="pct"/>
                  <w:tcBorders>
                    <w:tl2br w:val="nil"/>
                    <w:tr2bl w:val="nil"/>
                  </w:tcBorders>
                  <w:shd w:val="clear" w:color="auto" w:fill="auto"/>
                  <w:vAlign w:val="center"/>
                </w:tcPr>
                <w:p w14:paraId="490230E4">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企业</w:t>
                  </w:r>
                </w:p>
              </w:tc>
              <w:tc>
                <w:tcPr>
                  <w:tcW w:w="722" w:type="pct"/>
                  <w:tcBorders>
                    <w:tl2br w:val="nil"/>
                    <w:tr2bl w:val="nil"/>
                  </w:tcBorders>
                  <w:shd w:val="clear" w:color="auto" w:fill="auto"/>
                  <w:vAlign w:val="center"/>
                </w:tcPr>
                <w:p w14:paraId="0A42C216">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约300人</w:t>
                  </w:r>
                </w:p>
              </w:tc>
            </w:tr>
            <w:tr w14:paraId="2F24A7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366" w:type="pct"/>
                  <w:tcBorders>
                    <w:tl2br w:val="nil"/>
                    <w:tr2bl w:val="nil"/>
                  </w:tcBorders>
                  <w:shd w:val="clear" w:color="auto" w:fill="auto"/>
                  <w:vAlign w:val="center"/>
                </w:tcPr>
                <w:p w14:paraId="05388C06">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6</w:t>
                  </w:r>
                </w:p>
              </w:tc>
              <w:tc>
                <w:tcPr>
                  <w:tcW w:w="536" w:type="pct"/>
                  <w:vMerge w:val="continue"/>
                  <w:tcBorders>
                    <w:tl2br w:val="nil"/>
                    <w:tr2bl w:val="nil"/>
                  </w:tcBorders>
                  <w:shd w:val="clear" w:color="auto" w:fill="auto"/>
                  <w:vAlign w:val="center"/>
                </w:tcPr>
                <w:p w14:paraId="3031A19C">
                  <w:pPr>
                    <w:widowControl/>
                    <w:jc w:val="center"/>
                    <w:textAlignment w:val="center"/>
                    <w:rPr>
                      <w:rFonts w:hint="default" w:ascii="Times New Roman" w:hAnsi="Times New Roman" w:eastAsia="宋体" w:cs="Times New Roman"/>
                      <w:b w:val="0"/>
                      <w:bCs w:val="0"/>
                      <w:color w:val="auto"/>
                      <w:kern w:val="0"/>
                      <w:sz w:val="21"/>
                      <w:szCs w:val="21"/>
                      <w:highlight w:val="none"/>
                      <w:lang w:bidi="ar"/>
                    </w:rPr>
                  </w:pPr>
                </w:p>
              </w:tc>
              <w:tc>
                <w:tcPr>
                  <w:tcW w:w="484" w:type="pct"/>
                  <w:tcBorders>
                    <w:tl2br w:val="nil"/>
                    <w:tr2bl w:val="nil"/>
                  </w:tcBorders>
                  <w:shd w:val="clear" w:color="auto" w:fill="auto"/>
                  <w:vAlign w:val="center"/>
                </w:tcPr>
                <w:p w14:paraId="40E239A9">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339m</w:t>
                  </w:r>
                </w:p>
              </w:tc>
              <w:tc>
                <w:tcPr>
                  <w:tcW w:w="1567" w:type="pct"/>
                  <w:tcBorders>
                    <w:tl2br w:val="nil"/>
                    <w:tr2bl w:val="nil"/>
                  </w:tcBorders>
                  <w:shd w:val="clear" w:color="auto" w:fill="auto"/>
                  <w:vAlign w:val="center"/>
                </w:tcPr>
                <w:p w14:paraId="6A9492BD">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白湾派出所</w:t>
                  </w:r>
                </w:p>
              </w:tc>
              <w:tc>
                <w:tcPr>
                  <w:tcW w:w="601" w:type="pct"/>
                  <w:tcBorders>
                    <w:tl2br w:val="nil"/>
                    <w:tr2bl w:val="nil"/>
                  </w:tcBorders>
                  <w:shd w:val="clear" w:color="auto" w:fill="auto"/>
                  <w:vAlign w:val="center"/>
                </w:tcPr>
                <w:p w14:paraId="6F2785E1">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2F/6m</w:t>
                  </w:r>
                </w:p>
              </w:tc>
              <w:tc>
                <w:tcPr>
                  <w:tcW w:w="721" w:type="pct"/>
                  <w:tcBorders>
                    <w:tl2br w:val="nil"/>
                    <w:tr2bl w:val="nil"/>
                  </w:tcBorders>
                  <w:shd w:val="clear" w:color="auto" w:fill="auto"/>
                  <w:vAlign w:val="center"/>
                </w:tcPr>
                <w:p w14:paraId="413FF925">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事业单位</w:t>
                  </w:r>
                </w:p>
              </w:tc>
              <w:tc>
                <w:tcPr>
                  <w:tcW w:w="722" w:type="pct"/>
                  <w:tcBorders>
                    <w:tl2br w:val="nil"/>
                    <w:tr2bl w:val="nil"/>
                  </w:tcBorders>
                  <w:shd w:val="clear" w:color="auto" w:fill="auto"/>
                  <w:vAlign w:val="center"/>
                </w:tcPr>
                <w:p w14:paraId="7CEABAF0">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约30人</w:t>
                  </w:r>
                </w:p>
              </w:tc>
            </w:tr>
            <w:tr w14:paraId="538403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366" w:type="pct"/>
                  <w:tcBorders>
                    <w:tl2br w:val="nil"/>
                    <w:tr2bl w:val="nil"/>
                  </w:tcBorders>
                  <w:shd w:val="clear" w:color="auto" w:fill="auto"/>
                  <w:vAlign w:val="center"/>
                </w:tcPr>
                <w:p w14:paraId="217F63EA">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7</w:t>
                  </w:r>
                </w:p>
              </w:tc>
              <w:tc>
                <w:tcPr>
                  <w:tcW w:w="536" w:type="pct"/>
                  <w:tcBorders>
                    <w:tl2br w:val="nil"/>
                    <w:tr2bl w:val="nil"/>
                  </w:tcBorders>
                  <w:shd w:val="clear" w:color="auto" w:fill="auto"/>
                  <w:vAlign w:val="center"/>
                </w:tcPr>
                <w:p w14:paraId="43B45E09">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西侧</w:t>
                  </w:r>
                </w:p>
              </w:tc>
              <w:tc>
                <w:tcPr>
                  <w:tcW w:w="484" w:type="pct"/>
                  <w:tcBorders>
                    <w:tl2br w:val="nil"/>
                    <w:tr2bl w:val="nil"/>
                  </w:tcBorders>
                  <w:shd w:val="clear" w:color="auto" w:fill="auto"/>
                  <w:vAlign w:val="center"/>
                </w:tcPr>
                <w:p w14:paraId="32B6FBCB">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179m</w:t>
                  </w:r>
                </w:p>
              </w:tc>
              <w:tc>
                <w:tcPr>
                  <w:tcW w:w="1567" w:type="pct"/>
                  <w:tcBorders>
                    <w:tl2br w:val="nil"/>
                    <w:tr2bl w:val="nil"/>
                  </w:tcBorders>
                  <w:shd w:val="clear" w:color="auto" w:fill="auto"/>
                  <w:vAlign w:val="center"/>
                </w:tcPr>
                <w:p w14:paraId="70A23FC8">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自建房</w:t>
                  </w:r>
                </w:p>
              </w:tc>
              <w:tc>
                <w:tcPr>
                  <w:tcW w:w="601" w:type="pct"/>
                  <w:tcBorders>
                    <w:tl2br w:val="nil"/>
                    <w:tr2bl w:val="nil"/>
                  </w:tcBorders>
                  <w:shd w:val="clear" w:color="auto" w:fill="auto"/>
                  <w:vAlign w:val="center"/>
                </w:tcPr>
                <w:p w14:paraId="72D6FA41">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2F/6m</w:t>
                  </w:r>
                </w:p>
              </w:tc>
              <w:tc>
                <w:tcPr>
                  <w:tcW w:w="721" w:type="pct"/>
                  <w:tcBorders>
                    <w:tl2br w:val="nil"/>
                    <w:tr2bl w:val="nil"/>
                  </w:tcBorders>
                  <w:shd w:val="clear" w:color="auto" w:fill="auto"/>
                  <w:vAlign w:val="center"/>
                </w:tcPr>
                <w:p w14:paraId="6AD17201">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自住商业</w:t>
                  </w:r>
                </w:p>
              </w:tc>
              <w:tc>
                <w:tcPr>
                  <w:tcW w:w="722" w:type="pct"/>
                  <w:tcBorders>
                    <w:tl2br w:val="nil"/>
                    <w:tr2bl w:val="nil"/>
                  </w:tcBorders>
                  <w:shd w:val="clear" w:color="auto" w:fill="auto"/>
                  <w:vAlign w:val="center"/>
                </w:tcPr>
                <w:p w14:paraId="2248B81C">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约6人</w:t>
                  </w:r>
                </w:p>
              </w:tc>
            </w:tr>
            <w:tr w14:paraId="082151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6" w:type="pct"/>
                  <w:tcBorders>
                    <w:tl2br w:val="nil"/>
                    <w:tr2bl w:val="nil"/>
                  </w:tcBorders>
                  <w:shd w:val="clear" w:color="auto" w:fill="auto"/>
                  <w:vAlign w:val="center"/>
                </w:tcPr>
                <w:p w14:paraId="60BB6148">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8</w:t>
                  </w:r>
                </w:p>
              </w:tc>
              <w:tc>
                <w:tcPr>
                  <w:tcW w:w="536" w:type="pct"/>
                  <w:vMerge w:val="restart"/>
                  <w:tcBorders>
                    <w:tl2br w:val="nil"/>
                    <w:tr2bl w:val="nil"/>
                  </w:tcBorders>
                  <w:shd w:val="clear" w:color="auto" w:fill="auto"/>
                  <w:vAlign w:val="center"/>
                </w:tcPr>
                <w:p w14:paraId="69551CFE">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西南侧</w:t>
                  </w:r>
                </w:p>
              </w:tc>
              <w:tc>
                <w:tcPr>
                  <w:tcW w:w="484" w:type="pct"/>
                  <w:tcBorders>
                    <w:tl2br w:val="nil"/>
                    <w:tr2bl w:val="nil"/>
                  </w:tcBorders>
                  <w:shd w:val="clear" w:color="auto" w:fill="auto"/>
                  <w:vAlign w:val="center"/>
                </w:tcPr>
                <w:p w14:paraId="42B88B10">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20m</w:t>
                  </w:r>
                </w:p>
              </w:tc>
              <w:tc>
                <w:tcPr>
                  <w:tcW w:w="1567" w:type="pct"/>
                  <w:tcBorders>
                    <w:tl2br w:val="nil"/>
                    <w:tr2bl w:val="nil"/>
                  </w:tcBorders>
                  <w:shd w:val="clear" w:color="auto" w:fill="auto"/>
                  <w:vAlign w:val="center"/>
                </w:tcPr>
                <w:p w14:paraId="42886EB1">
                  <w:pPr>
                    <w:widowControl/>
                    <w:jc w:val="center"/>
                    <w:textAlignment w:val="center"/>
                    <w:rPr>
                      <w:rFonts w:hint="default" w:ascii="Times New Roman" w:hAnsi="Times New Roman" w:eastAsia="宋体" w:cs="Times New Roman"/>
                      <w:b w:val="0"/>
                      <w:bCs w:val="0"/>
                      <w:color w:val="auto"/>
                      <w:kern w:val="0"/>
                      <w:sz w:val="21"/>
                      <w:szCs w:val="21"/>
                      <w:highlight w:val="none"/>
                      <w:lang w:bidi="ar"/>
                    </w:rPr>
                  </w:pPr>
                  <w:r>
                    <w:rPr>
                      <w:rFonts w:hint="eastAsia" w:ascii="Times New Roman" w:hAnsi="Times New Roman" w:eastAsia="宋体" w:cs="Times New Roman"/>
                      <w:color w:val="auto"/>
                      <w:sz w:val="21"/>
                      <w:szCs w:val="21"/>
                      <w:highlight w:val="none"/>
                      <w:lang w:val="en-US" w:eastAsia="zh-CN"/>
                    </w:rPr>
                    <w:t>嘉绒印象小区</w:t>
                  </w:r>
                </w:p>
              </w:tc>
              <w:tc>
                <w:tcPr>
                  <w:tcW w:w="601" w:type="pct"/>
                  <w:tcBorders>
                    <w:tl2br w:val="nil"/>
                    <w:tr2bl w:val="nil"/>
                  </w:tcBorders>
                  <w:shd w:val="clear" w:color="auto" w:fill="auto"/>
                  <w:vAlign w:val="center"/>
                </w:tcPr>
                <w:p w14:paraId="7C890288">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20F/60m</w:t>
                  </w:r>
                </w:p>
              </w:tc>
              <w:tc>
                <w:tcPr>
                  <w:tcW w:w="721" w:type="pct"/>
                  <w:tcBorders>
                    <w:tl2br w:val="nil"/>
                    <w:tr2bl w:val="nil"/>
                  </w:tcBorders>
                  <w:shd w:val="clear" w:color="auto" w:fill="auto"/>
                  <w:vAlign w:val="center"/>
                </w:tcPr>
                <w:p w14:paraId="1F745403">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住宅</w:t>
                  </w:r>
                </w:p>
              </w:tc>
              <w:tc>
                <w:tcPr>
                  <w:tcW w:w="722" w:type="pct"/>
                  <w:tcBorders>
                    <w:tl2br w:val="nil"/>
                    <w:tr2bl w:val="nil"/>
                  </w:tcBorders>
                  <w:shd w:val="clear" w:color="auto" w:fill="auto"/>
                  <w:vAlign w:val="center"/>
                </w:tcPr>
                <w:p w14:paraId="10D78068">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约1200人</w:t>
                  </w:r>
                </w:p>
              </w:tc>
            </w:tr>
            <w:tr w14:paraId="76E82C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366" w:type="pct"/>
                  <w:tcBorders>
                    <w:tl2br w:val="nil"/>
                    <w:tr2bl w:val="nil"/>
                  </w:tcBorders>
                  <w:shd w:val="clear" w:color="auto" w:fill="auto"/>
                  <w:vAlign w:val="center"/>
                </w:tcPr>
                <w:p w14:paraId="0499F99A">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9</w:t>
                  </w:r>
                </w:p>
              </w:tc>
              <w:tc>
                <w:tcPr>
                  <w:tcW w:w="536" w:type="pct"/>
                  <w:vMerge w:val="continue"/>
                  <w:tcBorders>
                    <w:tl2br w:val="nil"/>
                    <w:tr2bl w:val="nil"/>
                  </w:tcBorders>
                  <w:shd w:val="clear" w:color="auto" w:fill="auto"/>
                  <w:vAlign w:val="center"/>
                </w:tcPr>
                <w:p w14:paraId="77378297">
                  <w:pPr>
                    <w:widowControl/>
                    <w:jc w:val="center"/>
                    <w:textAlignment w:val="center"/>
                    <w:rPr>
                      <w:rFonts w:hint="default" w:ascii="Times New Roman" w:hAnsi="Times New Roman" w:eastAsia="宋体" w:cs="Times New Roman"/>
                      <w:b w:val="0"/>
                      <w:bCs w:val="0"/>
                      <w:color w:val="auto"/>
                      <w:kern w:val="0"/>
                      <w:sz w:val="21"/>
                      <w:szCs w:val="21"/>
                      <w:highlight w:val="none"/>
                      <w:lang w:bidi="ar"/>
                    </w:rPr>
                  </w:pPr>
                </w:p>
              </w:tc>
              <w:tc>
                <w:tcPr>
                  <w:tcW w:w="484" w:type="pct"/>
                  <w:tcBorders>
                    <w:tl2br w:val="nil"/>
                    <w:tr2bl w:val="nil"/>
                  </w:tcBorders>
                  <w:shd w:val="clear" w:color="auto" w:fill="auto"/>
                  <w:vAlign w:val="center"/>
                </w:tcPr>
                <w:p w14:paraId="5EE779F3">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20m</w:t>
                  </w:r>
                </w:p>
              </w:tc>
              <w:tc>
                <w:tcPr>
                  <w:tcW w:w="1567" w:type="pct"/>
                  <w:tcBorders>
                    <w:tl2br w:val="nil"/>
                    <w:tr2bl w:val="nil"/>
                  </w:tcBorders>
                  <w:shd w:val="clear" w:color="auto" w:fill="auto"/>
                  <w:vAlign w:val="center"/>
                </w:tcPr>
                <w:p w14:paraId="42073C6C">
                  <w:pPr>
                    <w:widowControl/>
                    <w:jc w:val="center"/>
                    <w:textAlignment w:val="center"/>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color w:val="auto"/>
                      <w:kern w:val="0"/>
                      <w:sz w:val="21"/>
                      <w:szCs w:val="21"/>
                      <w:highlight w:val="none"/>
                      <w:lang w:val="en-US" w:eastAsia="zh-CN" w:bidi="ar"/>
                    </w:rPr>
                    <w:t>马尔康市公安局防暴大队</w:t>
                  </w:r>
                </w:p>
              </w:tc>
              <w:tc>
                <w:tcPr>
                  <w:tcW w:w="601" w:type="pct"/>
                  <w:tcBorders>
                    <w:tl2br w:val="nil"/>
                    <w:tr2bl w:val="nil"/>
                  </w:tcBorders>
                  <w:shd w:val="clear" w:color="auto" w:fill="auto"/>
                  <w:vAlign w:val="center"/>
                </w:tcPr>
                <w:p w14:paraId="0DF3FB0A">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2F/6m</w:t>
                  </w:r>
                </w:p>
              </w:tc>
              <w:tc>
                <w:tcPr>
                  <w:tcW w:w="721" w:type="pct"/>
                  <w:tcBorders>
                    <w:tl2br w:val="nil"/>
                    <w:tr2bl w:val="nil"/>
                  </w:tcBorders>
                  <w:shd w:val="clear" w:color="auto" w:fill="auto"/>
                  <w:vAlign w:val="center"/>
                </w:tcPr>
                <w:p w14:paraId="7C41C08A">
                  <w:pPr>
                    <w:widowControl/>
                    <w:jc w:val="center"/>
                    <w:textAlignment w:val="center"/>
                    <w:rPr>
                      <w:rFonts w:hint="default" w:ascii="Times New Roman" w:hAnsi="Times New Roman" w:eastAsia="宋体" w:cs="Times New Roman"/>
                      <w:b w:val="0"/>
                      <w:bCs w:val="0"/>
                      <w:color w:val="auto"/>
                      <w:kern w:val="0"/>
                      <w:sz w:val="21"/>
                      <w:szCs w:val="21"/>
                      <w:highlight w:val="none"/>
                      <w:lang w:bidi="ar"/>
                    </w:rPr>
                  </w:pPr>
                  <w:r>
                    <w:rPr>
                      <w:rFonts w:hint="eastAsia" w:ascii="Times New Roman" w:hAnsi="Times New Roman" w:eastAsia="宋体" w:cs="Times New Roman"/>
                      <w:b w:val="0"/>
                      <w:bCs w:val="0"/>
                      <w:color w:val="auto"/>
                      <w:kern w:val="0"/>
                      <w:sz w:val="21"/>
                      <w:szCs w:val="21"/>
                      <w:highlight w:val="none"/>
                      <w:lang w:val="en-US" w:eastAsia="zh-CN" w:bidi="ar"/>
                    </w:rPr>
                    <w:t>事业单位</w:t>
                  </w:r>
                </w:p>
              </w:tc>
              <w:tc>
                <w:tcPr>
                  <w:tcW w:w="722" w:type="pct"/>
                  <w:tcBorders>
                    <w:tl2br w:val="nil"/>
                    <w:tr2bl w:val="nil"/>
                  </w:tcBorders>
                  <w:shd w:val="clear" w:color="auto" w:fill="auto"/>
                  <w:vAlign w:val="center"/>
                </w:tcPr>
                <w:p w14:paraId="70D9785C">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约30人</w:t>
                  </w:r>
                </w:p>
              </w:tc>
            </w:tr>
            <w:tr w14:paraId="3E8807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366" w:type="pct"/>
                  <w:tcBorders>
                    <w:tl2br w:val="nil"/>
                    <w:tr2bl w:val="nil"/>
                  </w:tcBorders>
                  <w:shd w:val="clear" w:color="auto" w:fill="auto"/>
                  <w:vAlign w:val="center"/>
                </w:tcPr>
                <w:p w14:paraId="367E602F">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10</w:t>
                  </w:r>
                </w:p>
              </w:tc>
              <w:tc>
                <w:tcPr>
                  <w:tcW w:w="536" w:type="pct"/>
                  <w:tcBorders>
                    <w:tl2br w:val="nil"/>
                    <w:tr2bl w:val="nil"/>
                  </w:tcBorders>
                  <w:shd w:val="clear" w:color="auto" w:fill="auto"/>
                  <w:vAlign w:val="center"/>
                </w:tcPr>
                <w:p w14:paraId="49B6F6D8">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南侧</w:t>
                  </w:r>
                </w:p>
              </w:tc>
              <w:tc>
                <w:tcPr>
                  <w:tcW w:w="484" w:type="pct"/>
                  <w:tcBorders>
                    <w:tl2br w:val="nil"/>
                    <w:tr2bl w:val="nil"/>
                  </w:tcBorders>
                  <w:shd w:val="clear" w:color="auto" w:fill="auto"/>
                  <w:vAlign w:val="center"/>
                </w:tcPr>
                <w:p w14:paraId="4918EDD4">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20m</w:t>
                  </w:r>
                </w:p>
              </w:tc>
              <w:tc>
                <w:tcPr>
                  <w:tcW w:w="1567" w:type="pct"/>
                  <w:tcBorders>
                    <w:tl2br w:val="nil"/>
                    <w:tr2bl w:val="nil"/>
                  </w:tcBorders>
                  <w:shd w:val="clear" w:color="auto" w:fill="auto"/>
                  <w:vAlign w:val="center"/>
                </w:tcPr>
                <w:p w14:paraId="3A269FAB">
                  <w:pPr>
                    <w:widowControl/>
                    <w:jc w:val="center"/>
                    <w:textAlignment w:val="center"/>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color w:val="auto"/>
                      <w:kern w:val="0"/>
                      <w:sz w:val="21"/>
                      <w:szCs w:val="21"/>
                      <w:highlight w:val="none"/>
                      <w:lang w:val="en-US" w:eastAsia="zh-CN" w:bidi="ar"/>
                    </w:rPr>
                    <w:t>马尔康市本真林业工作站</w:t>
                  </w:r>
                </w:p>
              </w:tc>
              <w:tc>
                <w:tcPr>
                  <w:tcW w:w="601" w:type="pct"/>
                  <w:tcBorders>
                    <w:tl2br w:val="nil"/>
                    <w:tr2bl w:val="nil"/>
                  </w:tcBorders>
                  <w:shd w:val="clear" w:color="auto" w:fill="auto"/>
                  <w:vAlign w:val="center"/>
                </w:tcPr>
                <w:p w14:paraId="6F904920">
                  <w:pPr>
                    <w:widowControl/>
                    <w:jc w:val="center"/>
                    <w:textAlignment w:val="center"/>
                    <w:rPr>
                      <w:rFonts w:hint="default" w:ascii="Times New Roman" w:hAnsi="Times New Roman" w:eastAsia="宋体" w:cs="Times New Roman"/>
                      <w:b w:val="0"/>
                      <w:bCs w:val="0"/>
                      <w:color w:val="auto"/>
                      <w:kern w:val="0"/>
                      <w:sz w:val="21"/>
                      <w:szCs w:val="21"/>
                      <w:highlight w:val="none"/>
                      <w:lang w:bidi="ar"/>
                    </w:rPr>
                  </w:pPr>
                  <w:r>
                    <w:rPr>
                      <w:rFonts w:hint="eastAsia" w:ascii="Times New Roman" w:hAnsi="Times New Roman" w:eastAsia="宋体" w:cs="Times New Roman"/>
                      <w:b w:val="0"/>
                      <w:bCs w:val="0"/>
                      <w:color w:val="auto"/>
                      <w:kern w:val="0"/>
                      <w:sz w:val="21"/>
                      <w:szCs w:val="21"/>
                      <w:highlight w:val="none"/>
                      <w:lang w:val="en-US" w:eastAsia="zh-CN" w:bidi="ar"/>
                    </w:rPr>
                    <w:t>2F/6m</w:t>
                  </w:r>
                </w:p>
              </w:tc>
              <w:tc>
                <w:tcPr>
                  <w:tcW w:w="721" w:type="pct"/>
                  <w:tcBorders>
                    <w:tl2br w:val="nil"/>
                    <w:tr2bl w:val="nil"/>
                  </w:tcBorders>
                  <w:shd w:val="clear" w:color="auto" w:fill="auto"/>
                  <w:vAlign w:val="center"/>
                </w:tcPr>
                <w:p w14:paraId="496FF917">
                  <w:pPr>
                    <w:widowControl/>
                    <w:jc w:val="center"/>
                    <w:textAlignment w:val="center"/>
                    <w:rPr>
                      <w:rFonts w:hint="default" w:ascii="Times New Roman" w:hAnsi="Times New Roman" w:eastAsia="宋体" w:cs="Times New Roman"/>
                      <w:b w:val="0"/>
                      <w:bCs w:val="0"/>
                      <w:color w:val="auto"/>
                      <w:kern w:val="0"/>
                      <w:sz w:val="21"/>
                      <w:szCs w:val="21"/>
                      <w:highlight w:val="none"/>
                      <w:lang w:bidi="ar"/>
                    </w:rPr>
                  </w:pPr>
                  <w:r>
                    <w:rPr>
                      <w:rFonts w:hint="eastAsia" w:ascii="Times New Roman" w:hAnsi="Times New Roman" w:eastAsia="宋体" w:cs="Times New Roman"/>
                      <w:b w:val="0"/>
                      <w:bCs w:val="0"/>
                      <w:color w:val="auto"/>
                      <w:kern w:val="0"/>
                      <w:sz w:val="21"/>
                      <w:szCs w:val="21"/>
                      <w:highlight w:val="none"/>
                      <w:lang w:val="en-US" w:eastAsia="zh-CN" w:bidi="ar"/>
                    </w:rPr>
                    <w:t>事业单位</w:t>
                  </w:r>
                </w:p>
              </w:tc>
              <w:tc>
                <w:tcPr>
                  <w:tcW w:w="722" w:type="pct"/>
                  <w:tcBorders>
                    <w:tl2br w:val="nil"/>
                    <w:tr2bl w:val="nil"/>
                  </w:tcBorders>
                  <w:shd w:val="clear" w:color="auto" w:fill="auto"/>
                  <w:vAlign w:val="center"/>
                </w:tcPr>
                <w:p w14:paraId="6F9C26F3">
                  <w:pPr>
                    <w:widowControl/>
                    <w:jc w:val="center"/>
                    <w:textAlignment w:val="center"/>
                    <w:rPr>
                      <w:rFonts w:hint="default" w:ascii="Times New Roman" w:hAnsi="Times New Roman" w:eastAsia="宋体" w:cs="Times New Roman"/>
                      <w:b w:val="0"/>
                      <w:bCs w:val="0"/>
                      <w:color w:val="auto"/>
                      <w:kern w:val="0"/>
                      <w:sz w:val="21"/>
                      <w:szCs w:val="21"/>
                      <w:highlight w:val="none"/>
                      <w:lang w:bidi="ar"/>
                    </w:rPr>
                  </w:pPr>
                  <w:r>
                    <w:rPr>
                      <w:rFonts w:hint="eastAsia" w:ascii="Times New Roman" w:hAnsi="Times New Roman" w:eastAsia="宋体" w:cs="Times New Roman"/>
                      <w:b w:val="0"/>
                      <w:bCs w:val="0"/>
                      <w:color w:val="auto"/>
                      <w:kern w:val="0"/>
                      <w:sz w:val="21"/>
                      <w:szCs w:val="21"/>
                      <w:highlight w:val="none"/>
                      <w:lang w:val="en-US" w:eastAsia="zh-CN" w:bidi="ar"/>
                    </w:rPr>
                    <w:t>约50人</w:t>
                  </w:r>
                </w:p>
              </w:tc>
            </w:tr>
            <w:tr w14:paraId="53CC37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366" w:type="pct"/>
                  <w:tcBorders>
                    <w:tl2br w:val="nil"/>
                    <w:tr2bl w:val="nil"/>
                  </w:tcBorders>
                  <w:shd w:val="clear" w:color="auto" w:fill="auto"/>
                  <w:vAlign w:val="center"/>
                </w:tcPr>
                <w:p w14:paraId="42F0D52F">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11</w:t>
                  </w:r>
                </w:p>
              </w:tc>
              <w:tc>
                <w:tcPr>
                  <w:tcW w:w="536" w:type="pct"/>
                  <w:tcBorders>
                    <w:tl2br w:val="nil"/>
                    <w:tr2bl w:val="nil"/>
                  </w:tcBorders>
                  <w:shd w:val="clear" w:color="auto" w:fill="auto"/>
                  <w:vAlign w:val="center"/>
                </w:tcPr>
                <w:p w14:paraId="293DFEAE">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东南侧</w:t>
                  </w:r>
                </w:p>
              </w:tc>
              <w:tc>
                <w:tcPr>
                  <w:tcW w:w="484" w:type="pct"/>
                  <w:tcBorders>
                    <w:tl2br w:val="nil"/>
                    <w:tr2bl w:val="nil"/>
                  </w:tcBorders>
                  <w:shd w:val="clear" w:color="auto" w:fill="auto"/>
                  <w:vAlign w:val="center"/>
                </w:tcPr>
                <w:p w14:paraId="54836567">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20m</w:t>
                  </w:r>
                </w:p>
              </w:tc>
              <w:tc>
                <w:tcPr>
                  <w:tcW w:w="1567" w:type="pct"/>
                  <w:tcBorders>
                    <w:tl2br w:val="nil"/>
                    <w:tr2bl w:val="nil"/>
                  </w:tcBorders>
                  <w:shd w:val="clear" w:color="auto" w:fill="auto"/>
                  <w:vAlign w:val="center"/>
                </w:tcPr>
                <w:p w14:paraId="150B88D6">
                  <w:pPr>
                    <w:widowControl/>
                    <w:jc w:val="center"/>
                    <w:textAlignment w:val="center"/>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color w:val="auto"/>
                      <w:kern w:val="0"/>
                      <w:sz w:val="21"/>
                      <w:szCs w:val="21"/>
                      <w:highlight w:val="none"/>
                      <w:lang w:val="en-US" w:eastAsia="zh-CN" w:bidi="ar"/>
                    </w:rPr>
                    <w:t>马尔康市水务局</w:t>
                  </w:r>
                </w:p>
              </w:tc>
              <w:tc>
                <w:tcPr>
                  <w:tcW w:w="601" w:type="pct"/>
                  <w:tcBorders>
                    <w:tl2br w:val="nil"/>
                    <w:tr2bl w:val="nil"/>
                  </w:tcBorders>
                  <w:shd w:val="clear" w:color="auto" w:fill="auto"/>
                  <w:vAlign w:val="center"/>
                </w:tcPr>
                <w:p w14:paraId="1F834C8C">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3F/15m</w:t>
                  </w:r>
                </w:p>
              </w:tc>
              <w:tc>
                <w:tcPr>
                  <w:tcW w:w="721" w:type="pct"/>
                  <w:tcBorders>
                    <w:tl2br w:val="nil"/>
                    <w:tr2bl w:val="nil"/>
                  </w:tcBorders>
                  <w:shd w:val="clear" w:color="auto" w:fill="auto"/>
                  <w:vAlign w:val="center"/>
                </w:tcPr>
                <w:p w14:paraId="01CD3FEE">
                  <w:pPr>
                    <w:widowControl/>
                    <w:jc w:val="center"/>
                    <w:textAlignment w:val="center"/>
                    <w:rPr>
                      <w:rFonts w:hint="default" w:ascii="Times New Roman" w:hAnsi="Times New Roman" w:eastAsia="宋体" w:cs="Times New Roman"/>
                      <w:b w:val="0"/>
                      <w:bCs w:val="0"/>
                      <w:color w:val="auto"/>
                      <w:kern w:val="0"/>
                      <w:sz w:val="21"/>
                      <w:szCs w:val="21"/>
                      <w:highlight w:val="none"/>
                      <w:lang w:bidi="ar"/>
                    </w:rPr>
                  </w:pPr>
                  <w:r>
                    <w:rPr>
                      <w:rFonts w:hint="eastAsia" w:ascii="Times New Roman" w:hAnsi="Times New Roman" w:eastAsia="宋体" w:cs="Times New Roman"/>
                      <w:b w:val="0"/>
                      <w:bCs w:val="0"/>
                      <w:color w:val="auto"/>
                      <w:kern w:val="0"/>
                      <w:sz w:val="21"/>
                      <w:szCs w:val="21"/>
                      <w:highlight w:val="none"/>
                      <w:lang w:val="en-US" w:eastAsia="zh-CN" w:bidi="ar"/>
                    </w:rPr>
                    <w:t>事业单位</w:t>
                  </w:r>
                </w:p>
              </w:tc>
              <w:tc>
                <w:tcPr>
                  <w:tcW w:w="722" w:type="pct"/>
                  <w:tcBorders>
                    <w:tl2br w:val="nil"/>
                    <w:tr2bl w:val="nil"/>
                  </w:tcBorders>
                  <w:shd w:val="clear" w:color="auto" w:fill="auto"/>
                  <w:vAlign w:val="center"/>
                </w:tcPr>
                <w:p w14:paraId="142F8ABC">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约88人</w:t>
                  </w:r>
                </w:p>
              </w:tc>
            </w:tr>
          </w:tbl>
          <w:p w14:paraId="5155CAE9">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综上，本项目周边主要为居民小区、行政办公区和企业等，本项目与外环境相容。</w:t>
            </w:r>
          </w:p>
          <w:p w14:paraId="27FB540B">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与</w:t>
            </w:r>
            <w:r>
              <w:rPr>
                <w:rFonts w:hint="eastAsia" w:ascii="Times New Roman" w:hAnsi="Times New Roman" w:eastAsia="宋体" w:cs="Times New Roman"/>
                <w:b/>
                <w:color w:val="auto"/>
                <w:sz w:val="24"/>
                <w:szCs w:val="24"/>
                <w:highlight w:val="none"/>
                <w:lang w:val="en-US" w:eastAsia="zh-CN"/>
              </w:rPr>
              <w:t>相关规范符合性和</w:t>
            </w:r>
            <w:r>
              <w:rPr>
                <w:rFonts w:hint="eastAsia" w:ascii="Times New Roman" w:hAnsi="Times New Roman" w:eastAsia="宋体" w:cs="Times New Roman"/>
                <w:b/>
                <w:color w:val="auto"/>
                <w:sz w:val="24"/>
                <w:szCs w:val="24"/>
                <w:highlight w:val="none"/>
              </w:rPr>
              <w:t>选址合理性分析</w:t>
            </w:r>
          </w:p>
          <w:p w14:paraId="0CAD1300">
            <w:pPr>
              <w:spacing w:line="360" w:lineRule="auto"/>
              <w:ind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①</w:t>
            </w:r>
            <w:r>
              <w:rPr>
                <w:rFonts w:hint="eastAsia" w:ascii="Times New Roman" w:hAnsi="Times New Roman" w:eastAsia="宋体" w:cs="Times New Roman"/>
                <w:b/>
                <w:bCs/>
                <w:color w:val="auto"/>
                <w:sz w:val="24"/>
                <w:szCs w:val="24"/>
                <w:highlight w:val="none"/>
                <w:lang w:val="en-US" w:eastAsia="zh-CN"/>
              </w:rPr>
              <w:t>与《中小学设计规范》（GB50099-2011）符合性分析</w:t>
            </w:r>
          </w:p>
          <w:p w14:paraId="370E578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本项目与《中小学设计规范》（GB50099-2011）符合性分析如下：</w:t>
            </w:r>
          </w:p>
          <w:p w14:paraId="61EFF33D">
            <w:pPr>
              <w:pStyle w:val="113"/>
              <w:bidi w:val="0"/>
              <w:rPr>
                <w:rFonts w:hint="eastAsia"/>
                <w:color w:val="auto"/>
                <w:lang w:val="en-US" w:eastAsia="zh-CN"/>
              </w:rPr>
            </w:pPr>
            <w:r>
              <w:rPr>
                <w:rFonts w:hint="eastAsia"/>
                <w:color w:val="auto"/>
                <w:lang w:val="en-US" w:eastAsia="zh-CN"/>
              </w:rPr>
              <w:t>与《中小学设计规范》（GB50099-2011）符合性分析</w:t>
            </w:r>
          </w:p>
          <w:tbl>
            <w:tblPr>
              <w:tblStyle w:val="4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3448"/>
              <w:gridCol w:w="3224"/>
              <w:gridCol w:w="1236"/>
            </w:tblGrid>
            <w:tr w14:paraId="1DC89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vAlign w:val="center"/>
                </w:tcPr>
                <w:p w14:paraId="5758E0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条文号</w:t>
                  </w:r>
                </w:p>
              </w:tc>
              <w:tc>
                <w:tcPr>
                  <w:tcW w:w="3448" w:type="dxa"/>
                  <w:tcBorders>
                    <w:tl2br w:val="nil"/>
                    <w:tr2bl w:val="nil"/>
                  </w:tcBorders>
                  <w:vAlign w:val="center"/>
                </w:tcPr>
                <w:p w14:paraId="2CBE8F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规范要求</w:t>
                  </w:r>
                </w:p>
              </w:tc>
              <w:tc>
                <w:tcPr>
                  <w:tcW w:w="3224" w:type="dxa"/>
                  <w:tcBorders>
                    <w:tl2br w:val="nil"/>
                    <w:tr2bl w:val="nil"/>
                  </w:tcBorders>
                  <w:vAlign w:val="center"/>
                </w:tcPr>
                <w:p w14:paraId="1A5501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本项目</w:t>
                  </w:r>
                </w:p>
              </w:tc>
              <w:tc>
                <w:tcPr>
                  <w:tcW w:w="1236" w:type="dxa"/>
                  <w:tcBorders>
                    <w:tl2br w:val="nil"/>
                    <w:tr2bl w:val="nil"/>
                  </w:tcBorders>
                  <w:vAlign w:val="center"/>
                </w:tcPr>
                <w:p w14:paraId="195643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符合性</w:t>
                  </w:r>
                </w:p>
              </w:tc>
            </w:tr>
            <w:tr w14:paraId="46A1B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vAlign w:val="center"/>
                </w:tcPr>
                <w:p w14:paraId="47AAE1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4.1.1</w:t>
                  </w:r>
                </w:p>
              </w:tc>
              <w:tc>
                <w:tcPr>
                  <w:tcW w:w="3448" w:type="dxa"/>
                  <w:tcBorders>
                    <w:tl2br w:val="nil"/>
                    <w:tr2bl w:val="nil"/>
                  </w:tcBorders>
                  <w:vAlign w:val="center"/>
                </w:tcPr>
                <w:p w14:paraId="2AD16B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 xml:space="preserve">中小学校应建设在阳光充足、空气流动、场地干燥、排水通畅、地势较高的宜建地段。 </w:t>
                  </w:r>
                </w:p>
                <w:p w14:paraId="2CA7AE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校内应有布置运动场地和提供设置基础市政设施的条件。</w:t>
                  </w:r>
                </w:p>
              </w:tc>
              <w:tc>
                <w:tcPr>
                  <w:tcW w:w="3224" w:type="dxa"/>
                  <w:tcBorders>
                    <w:tl2br w:val="nil"/>
                    <w:tr2bl w:val="nil"/>
                  </w:tcBorders>
                  <w:vAlign w:val="center"/>
                </w:tcPr>
                <w:p w14:paraId="086549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sz w:val="21"/>
                      <w:szCs w:val="21"/>
                      <w:highlight w:val="none"/>
                      <w:vertAlign w:val="baseline"/>
                      <w:lang w:val="en-US" w:eastAsia="zh-CN"/>
                    </w:rPr>
                    <w:t>本项目周边主要为居民小区、行政办公区等</w:t>
                  </w:r>
                  <w:r>
                    <w:rPr>
                      <w:rFonts w:hint="eastAsia" w:ascii="Times New Roman" w:hAnsi="Times New Roman" w:eastAsia="宋体" w:cs="Times New Roman"/>
                      <w:color w:val="auto"/>
                      <w:sz w:val="21"/>
                      <w:szCs w:val="21"/>
                      <w:highlight w:val="none"/>
                      <w:vertAlign w:val="baseline"/>
                      <w:lang w:val="en-US" w:eastAsia="zh-CN"/>
                    </w:rPr>
                    <w:t>，校内布置有运动场地和排水管道。</w:t>
                  </w:r>
                </w:p>
              </w:tc>
              <w:tc>
                <w:tcPr>
                  <w:tcW w:w="1236" w:type="dxa"/>
                  <w:tcBorders>
                    <w:tl2br w:val="nil"/>
                    <w:tr2bl w:val="nil"/>
                  </w:tcBorders>
                  <w:vAlign w:val="center"/>
                </w:tcPr>
                <w:p w14:paraId="2023A7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303249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vAlign w:val="center"/>
                </w:tcPr>
                <w:p w14:paraId="5D48BD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4.1.2</w:t>
                  </w:r>
                </w:p>
              </w:tc>
              <w:tc>
                <w:tcPr>
                  <w:tcW w:w="3448" w:type="dxa"/>
                  <w:tcBorders>
                    <w:tl2br w:val="nil"/>
                    <w:tr2bl w:val="nil"/>
                  </w:tcBorders>
                  <w:vAlign w:val="center"/>
                </w:tcPr>
                <w:p w14:paraId="2F972F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中小学校严禁建设在地震、地质塌裂、暗河、洪涝等自然灾害及人为风险高的地段和污染超标的地段。校园及校内建筑与污染源的距离应符合对各类污染源实施控制的国家现行有关标准的规定。</w:t>
                  </w:r>
                </w:p>
              </w:tc>
              <w:tc>
                <w:tcPr>
                  <w:tcW w:w="3224" w:type="dxa"/>
                  <w:tcBorders>
                    <w:tl2br w:val="nil"/>
                    <w:tr2bl w:val="nil"/>
                  </w:tcBorders>
                  <w:vAlign w:val="center"/>
                </w:tcPr>
                <w:p w14:paraId="18E80D58">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eastAsia" w:ascii="宋体" w:hAnsi="宋体" w:eastAsia="宋体" w:cs="宋体"/>
                      <w:color w:val="auto"/>
                      <w:kern w:val="0"/>
                      <w:sz w:val="21"/>
                      <w:szCs w:val="21"/>
                      <w:lang w:val="en-US" w:eastAsia="zh-CN" w:bidi="ar"/>
                    </w:rPr>
                    <w:t>项目地块地质稳定，校园及校内建筑与污染源的距离符合对各类污染源实施控制的国家现行有关标准的规定。</w:t>
                  </w:r>
                </w:p>
              </w:tc>
              <w:tc>
                <w:tcPr>
                  <w:tcW w:w="1236" w:type="dxa"/>
                  <w:tcBorders>
                    <w:tl2br w:val="nil"/>
                    <w:tr2bl w:val="nil"/>
                  </w:tcBorders>
                  <w:vAlign w:val="center"/>
                </w:tcPr>
                <w:p w14:paraId="39A2E2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335DE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vAlign w:val="center"/>
                </w:tcPr>
                <w:p w14:paraId="356D05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4.1.3</w:t>
                  </w:r>
                </w:p>
              </w:tc>
              <w:tc>
                <w:tcPr>
                  <w:tcW w:w="3448" w:type="dxa"/>
                  <w:tcBorders>
                    <w:tl2br w:val="nil"/>
                    <w:tr2bl w:val="nil"/>
                  </w:tcBorders>
                  <w:vAlign w:val="center"/>
                </w:tcPr>
                <w:p w14:paraId="46FF90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中小学校建设应远离殡仪馆、医院的太平间、传染病院等建筑，与易燃易爆场场所间的距离应符合现行国家标准《建筑设计防火规范》 GB 50016 的有关规定。</w:t>
                  </w:r>
                </w:p>
              </w:tc>
              <w:tc>
                <w:tcPr>
                  <w:tcW w:w="3224" w:type="dxa"/>
                  <w:tcBorders>
                    <w:tl2br w:val="nil"/>
                    <w:tr2bl w:val="nil"/>
                  </w:tcBorders>
                  <w:vAlign w:val="center"/>
                </w:tcPr>
                <w:p w14:paraId="4BBED0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项目周边500m范围内无殡仪馆、医院的太平间、传染病院等建筑。</w:t>
                  </w:r>
                </w:p>
              </w:tc>
              <w:tc>
                <w:tcPr>
                  <w:tcW w:w="1236" w:type="dxa"/>
                  <w:tcBorders>
                    <w:tl2br w:val="nil"/>
                    <w:tr2bl w:val="nil"/>
                  </w:tcBorders>
                  <w:vAlign w:val="center"/>
                </w:tcPr>
                <w:p w14:paraId="1ECB93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3DFB8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vAlign w:val="center"/>
                </w:tcPr>
                <w:p w14:paraId="4370C2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4.1.4</w:t>
                  </w:r>
                </w:p>
              </w:tc>
              <w:tc>
                <w:tcPr>
                  <w:tcW w:w="3448" w:type="dxa"/>
                  <w:tcBorders>
                    <w:tl2br w:val="nil"/>
                    <w:tr2bl w:val="nil"/>
                  </w:tcBorders>
                  <w:vAlign w:val="center"/>
                </w:tcPr>
                <w:p w14:paraId="15A673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城镇完全小学的服务半径宜为500m，城镇初级中学的服务半径宜为1000m</w:t>
                  </w:r>
                  <w:r>
                    <w:rPr>
                      <w:rFonts w:hint="eastAsia" w:ascii="Times New Roman" w:hAnsi="Times New Roman" w:eastAsia="宋体" w:cs="Times New Roman"/>
                      <w:color w:val="auto"/>
                      <w:sz w:val="21"/>
                      <w:szCs w:val="21"/>
                      <w:highlight w:val="none"/>
                      <w:vertAlign w:val="baseline"/>
                      <w:lang w:val="en-US" w:eastAsia="zh-CN"/>
                    </w:rPr>
                    <w:t>。</w:t>
                  </w:r>
                </w:p>
              </w:tc>
              <w:tc>
                <w:tcPr>
                  <w:tcW w:w="3224" w:type="dxa"/>
                  <w:tcBorders>
                    <w:tl2br w:val="nil"/>
                    <w:tr2bl w:val="nil"/>
                  </w:tcBorders>
                  <w:vAlign w:val="center"/>
                </w:tcPr>
                <w:p w14:paraId="6EF96CE0">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eastAsia" w:ascii="宋体" w:hAnsi="宋体" w:eastAsia="宋体" w:cs="宋体"/>
                      <w:color w:val="auto"/>
                      <w:kern w:val="0"/>
                      <w:sz w:val="21"/>
                      <w:szCs w:val="21"/>
                      <w:lang w:val="en-US" w:eastAsia="zh-CN" w:bidi="ar"/>
                    </w:rPr>
                    <w:t>本项目服务半径为</w:t>
                  </w:r>
                  <w:r>
                    <w:rPr>
                      <w:rFonts w:hint="default" w:ascii="Times New Roman" w:hAnsi="Times New Roman" w:eastAsia="宋体" w:cs="Times New Roman"/>
                      <w:color w:val="auto"/>
                      <w:kern w:val="0"/>
                      <w:sz w:val="21"/>
                      <w:szCs w:val="21"/>
                      <w:lang w:val="en-US" w:eastAsia="zh-CN" w:bidi="ar"/>
                    </w:rPr>
                    <w:t>1000m</w:t>
                  </w:r>
                  <w:r>
                    <w:rPr>
                      <w:rFonts w:hint="eastAsia" w:ascii="宋体" w:hAnsi="宋体" w:eastAsia="宋体" w:cs="宋体"/>
                      <w:color w:val="auto"/>
                      <w:kern w:val="0"/>
                      <w:sz w:val="21"/>
                      <w:szCs w:val="21"/>
                      <w:lang w:val="en-US" w:eastAsia="zh-CN" w:bidi="ar"/>
                    </w:rPr>
                    <w:t>，项目符合规划</w:t>
                  </w:r>
                </w:p>
              </w:tc>
              <w:tc>
                <w:tcPr>
                  <w:tcW w:w="1236" w:type="dxa"/>
                  <w:tcBorders>
                    <w:tl2br w:val="nil"/>
                    <w:tr2bl w:val="nil"/>
                  </w:tcBorders>
                  <w:vAlign w:val="center"/>
                </w:tcPr>
                <w:p w14:paraId="769B94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7651B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vAlign w:val="center"/>
                </w:tcPr>
                <w:p w14:paraId="620969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4.1.5</w:t>
                  </w:r>
                </w:p>
              </w:tc>
              <w:tc>
                <w:tcPr>
                  <w:tcW w:w="3448" w:type="dxa"/>
                  <w:tcBorders>
                    <w:tl2br w:val="nil"/>
                    <w:tr2bl w:val="nil"/>
                  </w:tcBorders>
                  <w:vAlign w:val="center"/>
                </w:tcPr>
                <w:p w14:paraId="4B0F45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学校周边应有良好的交通条件，有条件时宜设置临时停车场地。学校的规划布局应与生源分布及周边交通相协调。与学校毗邻的城市主干道应设置适当的安全设施，以保障学生安全跨越。</w:t>
                  </w:r>
                </w:p>
              </w:tc>
              <w:tc>
                <w:tcPr>
                  <w:tcW w:w="3224" w:type="dxa"/>
                  <w:tcBorders>
                    <w:tl2br w:val="nil"/>
                    <w:tr2bl w:val="nil"/>
                  </w:tcBorders>
                  <w:vAlign w:val="center"/>
                </w:tcPr>
                <w:p w14:paraId="40092E16">
                  <w:pPr>
                    <w:keepNext w:val="0"/>
                    <w:keepLines w:val="0"/>
                    <w:widowControl/>
                    <w:suppressLineNumbers w:val="0"/>
                    <w:jc w:val="center"/>
                    <w:rPr>
                      <w:color w:val="auto"/>
                      <w:sz w:val="21"/>
                      <w:szCs w:val="21"/>
                    </w:rPr>
                  </w:pPr>
                  <w:r>
                    <w:rPr>
                      <w:rFonts w:hint="eastAsia" w:ascii="宋体" w:hAnsi="宋体" w:eastAsia="宋体" w:cs="宋体"/>
                      <w:color w:val="auto"/>
                      <w:kern w:val="0"/>
                      <w:sz w:val="21"/>
                      <w:szCs w:val="21"/>
                      <w:lang w:val="en-US" w:eastAsia="zh-CN" w:bidi="ar"/>
                    </w:rPr>
                    <w:t>学校周边有良好的交通条件，学校外设置有公交车、临时停车场地。</w:t>
                  </w:r>
                </w:p>
                <w:p w14:paraId="26F6B0E2">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eastAsia" w:ascii="宋体" w:hAnsi="宋体" w:eastAsia="宋体" w:cs="宋体"/>
                      <w:color w:val="auto"/>
                      <w:kern w:val="0"/>
                      <w:sz w:val="21"/>
                      <w:szCs w:val="21"/>
                      <w:lang w:val="en-US" w:eastAsia="zh-CN" w:bidi="ar"/>
                    </w:rPr>
                    <w:t>与学校毗邻的达萨街三段设置有适当的安全设施红绿灯，以保障学生安全跨越。</w:t>
                  </w:r>
                </w:p>
              </w:tc>
              <w:tc>
                <w:tcPr>
                  <w:tcW w:w="1236" w:type="dxa"/>
                  <w:tcBorders>
                    <w:tl2br w:val="nil"/>
                    <w:tr2bl w:val="nil"/>
                  </w:tcBorders>
                  <w:vAlign w:val="center"/>
                </w:tcPr>
                <w:p w14:paraId="3536E5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1BF2A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vAlign w:val="center"/>
                </w:tcPr>
                <w:p w14:paraId="44D423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4.1.6</w:t>
                  </w:r>
                </w:p>
              </w:tc>
              <w:tc>
                <w:tcPr>
                  <w:tcW w:w="3448" w:type="dxa"/>
                  <w:tcBorders>
                    <w:tl2br w:val="nil"/>
                    <w:tr2bl w:val="nil"/>
                  </w:tcBorders>
                  <w:vAlign w:val="center"/>
                </w:tcPr>
                <w:p w14:paraId="52BFA6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学校教学区的声环境质量应符合现行国家标准《民用建筑隔声设计规范》GB 50118的有关规定。学校主要教学用房设置窗户的外墙与铁路路轨的距离不应小于300m，与高速路、地上轨道交通线或城市主干道的距离不应小于80m。当距离不足时，应采取</w:t>
                  </w:r>
                  <w:r>
                    <w:rPr>
                      <w:rFonts w:hint="eastAsia" w:ascii="Times New Roman" w:hAnsi="Times New Roman" w:eastAsia="宋体" w:cs="Times New Roman"/>
                      <w:color w:val="auto"/>
                      <w:sz w:val="21"/>
                      <w:szCs w:val="21"/>
                      <w:highlight w:val="none"/>
                      <w:vertAlign w:val="baseline"/>
                      <w:lang w:val="en-US" w:eastAsia="zh-CN"/>
                    </w:rPr>
                    <w:t>有效的隔声措施。</w:t>
                  </w:r>
                </w:p>
              </w:tc>
              <w:tc>
                <w:tcPr>
                  <w:tcW w:w="3224" w:type="dxa"/>
                  <w:tcBorders>
                    <w:tl2br w:val="nil"/>
                    <w:tr2bl w:val="nil"/>
                  </w:tcBorders>
                  <w:vAlign w:val="center"/>
                </w:tcPr>
                <w:p w14:paraId="1B58F1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本项目教学区的声环境质量符合</w:t>
                  </w:r>
                  <w:r>
                    <w:rPr>
                      <w:rFonts w:hint="default" w:ascii="Times New Roman" w:hAnsi="Times New Roman" w:eastAsia="宋体" w:cs="Times New Roman"/>
                      <w:color w:val="auto"/>
                      <w:sz w:val="21"/>
                      <w:szCs w:val="21"/>
                      <w:highlight w:val="none"/>
                      <w:vertAlign w:val="baseline"/>
                      <w:lang w:val="en-US" w:eastAsia="zh-CN"/>
                    </w:rPr>
                    <w:t>国家标准《民用建筑隔声设计规范》GB 50118的有关规定</w:t>
                  </w:r>
                  <w:r>
                    <w:rPr>
                      <w:rFonts w:hint="eastAsia" w:ascii="Times New Roman" w:hAnsi="Times New Roman" w:eastAsia="宋体" w:cs="Times New Roman"/>
                      <w:color w:val="auto"/>
                      <w:sz w:val="21"/>
                      <w:szCs w:val="21"/>
                      <w:highlight w:val="none"/>
                      <w:vertAlign w:val="baseline"/>
                      <w:lang w:val="en-US" w:eastAsia="zh-CN"/>
                    </w:rPr>
                    <w:t>。学校主要教学用房设置窗户的外墙300m范围内无铁路路轨，80m范围内无</w:t>
                  </w:r>
                  <w:r>
                    <w:rPr>
                      <w:rFonts w:hint="default" w:ascii="Times New Roman" w:hAnsi="Times New Roman" w:eastAsia="宋体" w:cs="Times New Roman"/>
                      <w:color w:val="auto"/>
                      <w:sz w:val="21"/>
                      <w:szCs w:val="21"/>
                      <w:highlight w:val="none"/>
                      <w:vertAlign w:val="baseline"/>
                      <w:lang w:val="en-US" w:eastAsia="zh-CN"/>
                    </w:rPr>
                    <w:t>高速路、地上轨道交通线或城市主干道</w:t>
                  </w:r>
                  <w:r>
                    <w:rPr>
                      <w:rFonts w:hint="eastAsia" w:ascii="Times New Roman" w:hAnsi="Times New Roman" w:eastAsia="宋体" w:cs="Times New Roman"/>
                      <w:color w:val="auto"/>
                      <w:sz w:val="21"/>
                      <w:szCs w:val="21"/>
                      <w:highlight w:val="none"/>
                      <w:vertAlign w:val="baseline"/>
                      <w:lang w:val="en-US" w:eastAsia="zh-CN"/>
                    </w:rPr>
                    <w:t>。</w:t>
                  </w:r>
                </w:p>
              </w:tc>
              <w:tc>
                <w:tcPr>
                  <w:tcW w:w="1236" w:type="dxa"/>
                  <w:tcBorders>
                    <w:tl2br w:val="nil"/>
                    <w:tr2bl w:val="nil"/>
                  </w:tcBorders>
                  <w:vAlign w:val="center"/>
                </w:tcPr>
                <w:p w14:paraId="380F17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6D9C0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vAlign w:val="center"/>
                </w:tcPr>
                <w:p w14:paraId="3B0A6D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4.1.7</w:t>
                  </w:r>
                </w:p>
              </w:tc>
              <w:tc>
                <w:tcPr>
                  <w:tcW w:w="3448" w:type="dxa"/>
                  <w:tcBorders>
                    <w:tl2br w:val="nil"/>
                    <w:tr2bl w:val="nil"/>
                  </w:tcBorders>
                  <w:vAlign w:val="center"/>
                </w:tcPr>
                <w:p w14:paraId="6F0034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学校周界外25m范围内已有邻里建筑处的噪声级不应超过现行国家标准《民用建筑隔声设计规范》GB50118 有关规定的限值。</w:t>
                  </w:r>
                </w:p>
              </w:tc>
              <w:tc>
                <w:tcPr>
                  <w:tcW w:w="3224" w:type="dxa"/>
                  <w:tcBorders>
                    <w:tl2br w:val="nil"/>
                    <w:tr2bl w:val="nil"/>
                  </w:tcBorders>
                  <w:vAlign w:val="center"/>
                </w:tcPr>
                <w:p w14:paraId="4E66D6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根据声环境现状监测结果，满足相关要求。</w:t>
                  </w:r>
                </w:p>
              </w:tc>
              <w:tc>
                <w:tcPr>
                  <w:tcW w:w="1236" w:type="dxa"/>
                  <w:tcBorders>
                    <w:tl2br w:val="nil"/>
                    <w:tr2bl w:val="nil"/>
                  </w:tcBorders>
                  <w:vAlign w:val="center"/>
                </w:tcPr>
                <w:p w14:paraId="2253BC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54F8F4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vAlign w:val="center"/>
                </w:tcPr>
                <w:p w14:paraId="67DB2F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4.1.8</w:t>
                  </w:r>
                </w:p>
              </w:tc>
              <w:tc>
                <w:tcPr>
                  <w:tcW w:w="3448" w:type="dxa"/>
                  <w:tcBorders>
                    <w:tl2br w:val="nil"/>
                    <w:tr2bl w:val="nil"/>
                  </w:tcBorders>
                  <w:vAlign w:val="center"/>
                </w:tcPr>
                <w:p w14:paraId="7F50DC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高压电线、长输天然气管道、输油管道严禁穿越或跨越学校校园；当在学校周边敷设时，安全防护距离及防护措施应符合相关规定。</w:t>
                  </w:r>
                </w:p>
              </w:tc>
              <w:tc>
                <w:tcPr>
                  <w:tcW w:w="3224" w:type="dxa"/>
                  <w:tcBorders>
                    <w:tl2br w:val="nil"/>
                    <w:tr2bl w:val="nil"/>
                  </w:tcBorders>
                  <w:vAlign w:val="center"/>
                </w:tcPr>
                <w:p w14:paraId="3A7CA7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学校校园无高压电线、长输天然气管道、输油管道穿越或跨越学校校园。</w:t>
                  </w:r>
                </w:p>
              </w:tc>
              <w:tc>
                <w:tcPr>
                  <w:tcW w:w="1236" w:type="dxa"/>
                  <w:tcBorders>
                    <w:tl2br w:val="nil"/>
                    <w:tr2bl w:val="nil"/>
                  </w:tcBorders>
                  <w:vAlign w:val="center"/>
                </w:tcPr>
                <w:p w14:paraId="0B5057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bl>
          <w:p w14:paraId="1AEFB55E">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综上所述，本项目满足《中小学校设计规范》（GB50099-2011）中的选址要求</w:t>
            </w:r>
          </w:p>
          <w:p w14:paraId="11865857">
            <w:pPr>
              <w:autoSpaceDE w:val="0"/>
              <w:autoSpaceDN w:val="0"/>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eastAsia="宋体" w:cs="Times New Roman"/>
                <w:b/>
                <w:bCs/>
                <w:color w:val="auto"/>
                <w:kern w:val="0"/>
                <w:sz w:val="24"/>
                <w:szCs w:val="24"/>
                <w:highlight w:val="none"/>
                <w:lang w:val="en-US" w:eastAsia="zh-CN"/>
              </w:rPr>
              <w:t>②</w:t>
            </w:r>
            <w:r>
              <w:rPr>
                <w:rFonts w:hint="default" w:ascii="Times New Roman" w:hAnsi="Times New Roman" w:cs="Times New Roman"/>
                <w:b/>
                <w:bCs/>
                <w:color w:val="auto"/>
                <w:sz w:val="24"/>
              </w:rPr>
              <w:t>与</w:t>
            </w:r>
            <w:r>
              <w:rPr>
                <w:rFonts w:hint="default" w:ascii="Times New Roman" w:hAnsi="Times New Roman" w:cs="Times New Roman"/>
                <w:b/>
                <w:bCs/>
                <w:color w:val="auto"/>
                <w:sz w:val="24"/>
                <w:lang w:eastAsia="zh-CN"/>
              </w:rPr>
              <w:t>实验室建设相关规范</w:t>
            </w:r>
            <w:r>
              <w:rPr>
                <w:rFonts w:hint="default" w:ascii="Times New Roman" w:hAnsi="Times New Roman" w:cs="Times New Roman"/>
                <w:b/>
                <w:bCs/>
                <w:color w:val="auto"/>
                <w:sz w:val="24"/>
              </w:rPr>
              <w:t>符合性分析</w:t>
            </w:r>
          </w:p>
          <w:p w14:paraId="3966E09C">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contextualSpacing/>
              <w:jc w:val="both"/>
              <w:textAlignment w:val="auto"/>
              <w:rPr>
                <w:rFonts w:hint="default" w:eastAsia="宋体"/>
                <w:b w:val="0"/>
                <w:bCs w:val="0"/>
                <w:color w:val="auto"/>
                <w:kern w:val="0"/>
                <w:sz w:val="24"/>
                <w:lang w:val="en-US" w:eastAsia="zh-CN"/>
              </w:rPr>
            </w:pPr>
            <w:r>
              <w:rPr>
                <w:rFonts w:hint="default" w:ascii="Times New Roman" w:hAnsi="Times New Roman" w:cs="Times New Roman"/>
                <w:b w:val="0"/>
                <w:bCs w:val="0"/>
                <w:color w:val="auto"/>
                <w:kern w:val="0"/>
                <w:sz w:val="24"/>
                <w:lang w:val="en-US" w:eastAsia="zh-CN"/>
              </w:rPr>
              <w:t>项目教学楼设置生物实验室、物理实验室、化学实验室，</w:t>
            </w:r>
            <w:r>
              <w:rPr>
                <w:rFonts w:hint="default" w:ascii="Times New Roman" w:hAnsi="Times New Roman" w:cs="Times New Roman"/>
                <w:b w:val="0"/>
                <w:bCs w:val="0"/>
                <w:i/>
                <w:iCs/>
                <w:color w:val="auto"/>
                <w:kern w:val="0"/>
                <w:sz w:val="24"/>
                <w:lang w:val="en-US" w:eastAsia="zh-CN"/>
              </w:rPr>
              <w:t>主要</w:t>
            </w:r>
            <w:r>
              <w:rPr>
                <w:rFonts w:hint="default" w:ascii="Times New Roman" w:hAnsi="Times New Roman" w:cs="Times New Roman"/>
                <w:b/>
                <w:bCs/>
                <w:i w:val="0"/>
                <w:iCs w:val="0"/>
                <w:color w:val="auto"/>
                <w:kern w:val="0"/>
                <w:sz w:val="24"/>
                <w:u w:val="single"/>
                <w:lang w:val="en-US" w:eastAsia="zh-CN"/>
              </w:rPr>
              <w:t>配套初中教学实验室操作，不涉及微生物实验室</w:t>
            </w:r>
            <w:r>
              <w:rPr>
                <w:rFonts w:hint="default" w:ascii="Times New Roman" w:hAnsi="Times New Roman" w:cs="Times New Roman"/>
                <w:b w:val="0"/>
                <w:bCs w:val="0"/>
                <w:color w:val="auto"/>
                <w:kern w:val="0"/>
                <w:sz w:val="24"/>
                <w:lang w:val="en-US" w:eastAsia="zh-CN"/>
              </w:rPr>
              <w:t>。项目实验室建设与《实验室生物安全通用要求》（GB19489-2008）中相关要求符合性分析见下表：</w:t>
            </w:r>
          </w:p>
          <w:p w14:paraId="2382EDC7">
            <w:pPr>
              <w:pStyle w:val="113"/>
              <w:bidi w:val="0"/>
              <w:rPr>
                <w:rFonts w:hint="eastAsia"/>
                <w:color w:val="auto"/>
              </w:rPr>
            </w:pPr>
            <w:r>
              <w:rPr>
                <w:rFonts w:hint="eastAsia"/>
                <w:color w:val="auto"/>
              </w:rPr>
              <w:t>项目与</w:t>
            </w:r>
            <w:r>
              <w:rPr>
                <w:rFonts w:hint="eastAsia"/>
                <w:color w:val="auto"/>
                <w:lang w:val="en-US" w:eastAsia="zh-CN"/>
              </w:rPr>
              <w:t>《实验室生物安全通用要求》</w:t>
            </w:r>
            <w:r>
              <w:rPr>
                <w:rFonts w:hint="eastAsia"/>
                <w:color w:val="auto"/>
              </w:rPr>
              <w:t>符合性分析一览表</w:t>
            </w:r>
          </w:p>
          <w:tbl>
            <w:tblPr>
              <w:tblStyle w:val="41"/>
              <w:tblW w:w="869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1973"/>
              <w:gridCol w:w="3452"/>
              <w:gridCol w:w="2336"/>
            </w:tblGrid>
            <w:tr w14:paraId="72758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2" w:type="dxa"/>
                  <w:gridSpan w:val="3"/>
                  <w:tcBorders>
                    <w:tl2br w:val="nil"/>
                    <w:tr2bl w:val="nil"/>
                  </w:tcBorders>
                  <w:noWrap w:val="0"/>
                  <w:vAlign w:val="center"/>
                </w:tcPr>
                <w:p w14:paraId="58CF3CDD">
                  <w:pPr>
                    <w:autoSpaceDE w:val="0"/>
                    <w:autoSpaceDN w:val="0"/>
                    <w:adjustRightInd w:val="0"/>
                    <w:spacing w:line="240" w:lineRule="auto"/>
                    <w:contextualSpacing/>
                    <w:jc w:val="center"/>
                    <w:rPr>
                      <w:rFonts w:hint="default" w:ascii="Times New Roman" w:hAnsi="Times New Roman" w:eastAsia="宋体" w:cs="Times New Roman"/>
                      <w:b/>
                      <w:bCs/>
                      <w:color w:val="auto"/>
                      <w:kern w:val="0"/>
                      <w:sz w:val="21"/>
                      <w:szCs w:val="21"/>
                      <w:vertAlign w:val="baseline"/>
                      <w:lang w:eastAsia="zh-CN"/>
                    </w:rPr>
                  </w:pPr>
                  <w:r>
                    <w:rPr>
                      <w:rFonts w:hint="default" w:ascii="Times New Roman" w:hAnsi="Times New Roman" w:cs="Times New Roman"/>
                      <w:b/>
                      <w:bCs/>
                      <w:color w:val="auto"/>
                      <w:kern w:val="0"/>
                      <w:sz w:val="21"/>
                      <w:szCs w:val="21"/>
                      <w:vertAlign w:val="baseline"/>
                      <w:lang w:eastAsia="zh-CN"/>
                    </w:rPr>
                    <w:t>《实验室生物安全通用要求》（</w:t>
                  </w:r>
                  <w:r>
                    <w:rPr>
                      <w:rFonts w:hint="default" w:ascii="Times New Roman" w:hAnsi="Times New Roman" w:cs="Times New Roman"/>
                      <w:b/>
                      <w:bCs/>
                      <w:color w:val="auto"/>
                      <w:kern w:val="0"/>
                      <w:sz w:val="21"/>
                      <w:szCs w:val="21"/>
                      <w:vertAlign w:val="baseline"/>
                      <w:lang w:val="en-US" w:eastAsia="zh-CN"/>
                    </w:rPr>
                    <w:t>GB19489-2008</w:t>
                  </w:r>
                  <w:r>
                    <w:rPr>
                      <w:rFonts w:hint="default" w:ascii="Times New Roman" w:hAnsi="Times New Roman" w:cs="Times New Roman"/>
                      <w:b/>
                      <w:bCs/>
                      <w:color w:val="auto"/>
                      <w:kern w:val="0"/>
                      <w:sz w:val="21"/>
                      <w:szCs w:val="21"/>
                      <w:vertAlign w:val="baseline"/>
                      <w:lang w:eastAsia="zh-CN"/>
                    </w:rPr>
                    <w:t>）相关要求</w:t>
                  </w:r>
                </w:p>
              </w:tc>
              <w:tc>
                <w:tcPr>
                  <w:tcW w:w="2336" w:type="dxa"/>
                  <w:vMerge w:val="restart"/>
                  <w:tcBorders>
                    <w:tl2br w:val="nil"/>
                    <w:tr2bl w:val="nil"/>
                  </w:tcBorders>
                  <w:noWrap w:val="0"/>
                  <w:vAlign w:val="center"/>
                </w:tcPr>
                <w:p w14:paraId="76164109">
                  <w:pPr>
                    <w:autoSpaceDE w:val="0"/>
                    <w:autoSpaceDN w:val="0"/>
                    <w:adjustRightInd w:val="0"/>
                    <w:spacing w:line="240" w:lineRule="auto"/>
                    <w:contextualSpacing/>
                    <w:jc w:val="center"/>
                    <w:rPr>
                      <w:rFonts w:hint="default" w:ascii="Times New Roman" w:hAnsi="Times New Roman" w:eastAsia="宋体" w:cs="Times New Roman"/>
                      <w:b w:val="0"/>
                      <w:bCs w:val="0"/>
                      <w:color w:val="auto"/>
                      <w:kern w:val="0"/>
                      <w:sz w:val="21"/>
                      <w:szCs w:val="21"/>
                      <w:vertAlign w:val="baseline"/>
                      <w:lang w:eastAsia="zh-CN"/>
                    </w:rPr>
                  </w:pPr>
                  <w:r>
                    <w:rPr>
                      <w:rFonts w:hint="default" w:ascii="Times New Roman" w:hAnsi="Times New Roman" w:cs="Times New Roman"/>
                      <w:b/>
                      <w:bCs/>
                      <w:color w:val="auto"/>
                      <w:kern w:val="0"/>
                      <w:sz w:val="21"/>
                      <w:szCs w:val="21"/>
                      <w:vertAlign w:val="baseline"/>
                      <w:lang w:eastAsia="zh-CN"/>
                    </w:rPr>
                    <w:t>本项目符合性</w:t>
                  </w:r>
                </w:p>
              </w:tc>
            </w:tr>
            <w:tr w14:paraId="382A6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7" w:type="dxa"/>
                  <w:tcBorders>
                    <w:tl2br w:val="nil"/>
                    <w:tr2bl w:val="nil"/>
                  </w:tcBorders>
                  <w:noWrap w:val="0"/>
                  <w:vAlign w:val="center"/>
                </w:tcPr>
                <w:p w14:paraId="5367579A">
                  <w:pPr>
                    <w:autoSpaceDE w:val="0"/>
                    <w:autoSpaceDN w:val="0"/>
                    <w:adjustRightInd w:val="0"/>
                    <w:spacing w:line="240" w:lineRule="auto"/>
                    <w:contextualSpacing/>
                    <w:jc w:val="center"/>
                    <w:rPr>
                      <w:rFonts w:hint="default" w:ascii="Times New Roman" w:hAnsi="Times New Roman" w:eastAsia="宋体" w:cs="Times New Roman"/>
                      <w:b/>
                      <w:bCs/>
                      <w:color w:val="auto"/>
                      <w:kern w:val="0"/>
                      <w:sz w:val="21"/>
                      <w:szCs w:val="21"/>
                      <w:vertAlign w:val="baseline"/>
                      <w:lang w:eastAsia="zh-CN"/>
                    </w:rPr>
                  </w:pPr>
                  <w:r>
                    <w:rPr>
                      <w:rFonts w:hint="default" w:ascii="Times New Roman" w:hAnsi="Times New Roman" w:cs="Times New Roman"/>
                      <w:b/>
                      <w:bCs/>
                      <w:color w:val="auto"/>
                      <w:kern w:val="0"/>
                      <w:sz w:val="21"/>
                      <w:szCs w:val="21"/>
                      <w:vertAlign w:val="baseline"/>
                      <w:lang w:eastAsia="zh-CN"/>
                    </w:rPr>
                    <w:t>分级</w:t>
                  </w:r>
                </w:p>
              </w:tc>
              <w:tc>
                <w:tcPr>
                  <w:tcW w:w="1973" w:type="dxa"/>
                  <w:tcBorders>
                    <w:tl2br w:val="nil"/>
                    <w:tr2bl w:val="nil"/>
                  </w:tcBorders>
                  <w:noWrap w:val="0"/>
                  <w:vAlign w:val="center"/>
                </w:tcPr>
                <w:p w14:paraId="5C113C33">
                  <w:pPr>
                    <w:autoSpaceDE w:val="0"/>
                    <w:autoSpaceDN w:val="0"/>
                    <w:adjustRightInd w:val="0"/>
                    <w:spacing w:line="240" w:lineRule="auto"/>
                    <w:contextualSpacing/>
                    <w:jc w:val="center"/>
                    <w:rPr>
                      <w:rFonts w:hint="default" w:ascii="Times New Roman" w:hAnsi="Times New Roman" w:eastAsia="宋体" w:cs="Times New Roman"/>
                      <w:b/>
                      <w:bCs/>
                      <w:color w:val="auto"/>
                      <w:kern w:val="0"/>
                      <w:sz w:val="21"/>
                      <w:szCs w:val="21"/>
                      <w:vertAlign w:val="baseline"/>
                      <w:lang w:eastAsia="zh-CN"/>
                    </w:rPr>
                  </w:pPr>
                  <w:r>
                    <w:rPr>
                      <w:rFonts w:hint="default" w:ascii="Times New Roman" w:hAnsi="Times New Roman" w:cs="Times New Roman"/>
                      <w:b/>
                      <w:bCs/>
                      <w:color w:val="auto"/>
                      <w:kern w:val="0"/>
                      <w:sz w:val="21"/>
                      <w:szCs w:val="21"/>
                      <w:vertAlign w:val="baseline"/>
                      <w:lang w:eastAsia="zh-CN"/>
                    </w:rPr>
                    <w:t>生物危害程度</w:t>
                  </w:r>
                </w:p>
              </w:tc>
              <w:tc>
                <w:tcPr>
                  <w:tcW w:w="3452" w:type="dxa"/>
                  <w:tcBorders>
                    <w:tl2br w:val="nil"/>
                    <w:tr2bl w:val="nil"/>
                  </w:tcBorders>
                  <w:noWrap w:val="0"/>
                  <w:vAlign w:val="center"/>
                </w:tcPr>
                <w:p w14:paraId="586F1857">
                  <w:pPr>
                    <w:autoSpaceDE w:val="0"/>
                    <w:autoSpaceDN w:val="0"/>
                    <w:adjustRightInd w:val="0"/>
                    <w:spacing w:line="240" w:lineRule="auto"/>
                    <w:contextualSpacing/>
                    <w:jc w:val="center"/>
                    <w:rPr>
                      <w:rFonts w:hint="default" w:ascii="Times New Roman" w:hAnsi="Times New Roman" w:eastAsia="宋体" w:cs="Times New Roman"/>
                      <w:b/>
                      <w:bCs/>
                      <w:color w:val="auto"/>
                      <w:kern w:val="0"/>
                      <w:sz w:val="21"/>
                      <w:szCs w:val="21"/>
                      <w:vertAlign w:val="baseline"/>
                      <w:lang w:eastAsia="zh-CN"/>
                    </w:rPr>
                  </w:pPr>
                  <w:r>
                    <w:rPr>
                      <w:rFonts w:hint="default" w:ascii="Times New Roman" w:hAnsi="Times New Roman" w:cs="Times New Roman"/>
                      <w:b/>
                      <w:bCs/>
                      <w:color w:val="auto"/>
                      <w:kern w:val="0"/>
                      <w:sz w:val="21"/>
                      <w:szCs w:val="21"/>
                      <w:vertAlign w:val="baseline"/>
                      <w:lang w:eastAsia="zh-CN"/>
                    </w:rPr>
                    <w:t>处理对象</w:t>
                  </w:r>
                </w:p>
              </w:tc>
              <w:tc>
                <w:tcPr>
                  <w:tcW w:w="2336" w:type="dxa"/>
                  <w:vMerge w:val="continue"/>
                  <w:tcBorders>
                    <w:tl2br w:val="nil"/>
                    <w:tr2bl w:val="nil"/>
                  </w:tcBorders>
                  <w:noWrap w:val="0"/>
                  <w:vAlign w:val="center"/>
                </w:tcPr>
                <w:p w14:paraId="1406683C">
                  <w:pPr>
                    <w:autoSpaceDE w:val="0"/>
                    <w:autoSpaceDN w:val="0"/>
                    <w:adjustRightInd w:val="0"/>
                    <w:spacing w:line="240" w:lineRule="auto"/>
                    <w:contextualSpacing/>
                    <w:jc w:val="center"/>
                    <w:rPr>
                      <w:rFonts w:hint="default" w:ascii="Times New Roman" w:hAnsi="Times New Roman" w:cs="Times New Roman"/>
                      <w:b w:val="0"/>
                      <w:bCs w:val="0"/>
                      <w:color w:val="auto"/>
                      <w:kern w:val="0"/>
                      <w:sz w:val="21"/>
                      <w:szCs w:val="21"/>
                      <w:vertAlign w:val="baseline"/>
                    </w:rPr>
                  </w:pPr>
                </w:p>
              </w:tc>
            </w:tr>
            <w:tr w14:paraId="2A300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7" w:type="dxa"/>
                  <w:tcBorders>
                    <w:tl2br w:val="nil"/>
                    <w:tr2bl w:val="nil"/>
                  </w:tcBorders>
                  <w:noWrap w:val="0"/>
                  <w:vAlign w:val="center"/>
                </w:tcPr>
                <w:p w14:paraId="3CEFDE81">
                  <w:pPr>
                    <w:autoSpaceDE w:val="0"/>
                    <w:autoSpaceDN w:val="0"/>
                    <w:adjustRightInd w:val="0"/>
                    <w:spacing w:line="240" w:lineRule="auto"/>
                    <w:contextualSpacing/>
                    <w:jc w:val="center"/>
                    <w:rPr>
                      <w:rFonts w:hint="default" w:ascii="Times New Roman" w:hAnsi="Times New Roman" w:eastAsia="宋体" w:cs="Times New Roman"/>
                      <w:b w:val="0"/>
                      <w:bCs w:val="0"/>
                      <w:color w:val="auto"/>
                      <w:kern w:val="0"/>
                      <w:sz w:val="21"/>
                      <w:szCs w:val="21"/>
                      <w:vertAlign w:val="baseline"/>
                      <w:lang w:eastAsia="zh-CN"/>
                    </w:rPr>
                  </w:pPr>
                  <w:r>
                    <w:rPr>
                      <w:rFonts w:hint="default" w:ascii="Times New Roman" w:hAnsi="Times New Roman" w:cs="Times New Roman"/>
                      <w:b w:val="0"/>
                      <w:bCs w:val="0"/>
                      <w:color w:val="auto"/>
                      <w:kern w:val="0"/>
                      <w:sz w:val="21"/>
                      <w:szCs w:val="21"/>
                      <w:vertAlign w:val="baseline"/>
                      <w:lang w:eastAsia="zh-CN"/>
                    </w:rPr>
                    <w:t>一级</w:t>
                  </w:r>
                </w:p>
              </w:tc>
              <w:tc>
                <w:tcPr>
                  <w:tcW w:w="1973" w:type="dxa"/>
                  <w:tcBorders>
                    <w:tl2br w:val="nil"/>
                    <w:tr2bl w:val="nil"/>
                  </w:tcBorders>
                  <w:noWrap w:val="0"/>
                  <w:vAlign w:val="center"/>
                </w:tcPr>
                <w:p w14:paraId="04E0CF5C">
                  <w:pPr>
                    <w:autoSpaceDE w:val="0"/>
                    <w:autoSpaceDN w:val="0"/>
                    <w:adjustRightInd w:val="0"/>
                    <w:spacing w:line="240" w:lineRule="auto"/>
                    <w:contextualSpacing/>
                    <w:jc w:val="center"/>
                    <w:rPr>
                      <w:rFonts w:hint="default" w:ascii="Times New Roman" w:hAnsi="Times New Roman" w:eastAsia="宋体" w:cs="Times New Roman"/>
                      <w:b w:val="0"/>
                      <w:bCs w:val="0"/>
                      <w:color w:val="auto"/>
                      <w:kern w:val="0"/>
                      <w:sz w:val="21"/>
                      <w:szCs w:val="21"/>
                      <w:vertAlign w:val="baseline"/>
                      <w:lang w:eastAsia="zh-CN"/>
                    </w:rPr>
                  </w:pPr>
                  <w:r>
                    <w:rPr>
                      <w:rFonts w:hint="default" w:ascii="Times New Roman" w:hAnsi="Times New Roman" w:cs="Times New Roman"/>
                      <w:b w:val="0"/>
                      <w:bCs w:val="0"/>
                      <w:color w:val="auto"/>
                      <w:kern w:val="0"/>
                      <w:sz w:val="21"/>
                      <w:szCs w:val="21"/>
                      <w:vertAlign w:val="baseline"/>
                      <w:lang w:eastAsia="zh-CN"/>
                    </w:rPr>
                    <w:t>低个体危害，低群体危害</w:t>
                  </w:r>
                </w:p>
              </w:tc>
              <w:tc>
                <w:tcPr>
                  <w:tcW w:w="3452" w:type="dxa"/>
                  <w:tcBorders>
                    <w:tl2br w:val="nil"/>
                    <w:tr2bl w:val="nil"/>
                  </w:tcBorders>
                  <w:noWrap w:val="0"/>
                  <w:vAlign w:val="center"/>
                </w:tcPr>
                <w:p w14:paraId="6472BC33">
                  <w:pPr>
                    <w:autoSpaceDE w:val="0"/>
                    <w:autoSpaceDN w:val="0"/>
                    <w:adjustRightInd w:val="0"/>
                    <w:spacing w:line="240" w:lineRule="auto"/>
                    <w:contextualSpacing/>
                    <w:jc w:val="center"/>
                    <w:rPr>
                      <w:rFonts w:hint="default" w:ascii="Times New Roman" w:hAnsi="Times New Roman" w:cs="Times New Roman"/>
                      <w:b w:val="0"/>
                      <w:bCs w:val="0"/>
                      <w:color w:val="auto"/>
                      <w:kern w:val="0"/>
                      <w:sz w:val="21"/>
                      <w:szCs w:val="21"/>
                      <w:vertAlign w:val="baseline"/>
                    </w:rPr>
                  </w:pPr>
                  <w:r>
                    <w:rPr>
                      <w:rFonts w:hint="default" w:ascii="Times New Roman" w:hAnsi="Times New Roman" w:cs="Times New Roman"/>
                      <w:b w:val="0"/>
                      <w:bCs w:val="0"/>
                      <w:color w:val="auto"/>
                      <w:kern w:val="0"/>
                      <w:sz w:val="21"/>
                      <w:szCs w:val="21"/>
                      <w:vertAlign w:val="baseline"/>
                    </w:rPr>
                    <w:t>对人体、动植物或环境危害较低，不具有对健康成人、动植物致病的致病因子。</w:t>
                  </w:r>
                </w:p>
              </w:tc>
              <w:tc>
                <w:tcPr>
                  <w:tcW w:w="2336" w:type="dxa"/>
                  <w:vMerge w:val="restart"/>
                  <w:tcBorders>
                    <w:tl2br w:val="nil"/>
                    <w:tr2bl w:val="nil"/>
                  </w:tcBorders>
                  <w:noWrap w:val="0"/>
                  <w:vAlign w:val="center"/>
                </w:tcPr>
                <w:p w14:paraId="39E6035C">
                  <w:pPr>
                    <w:autoSpaceDE w:val="0"/>
                    <w:autoSpaceDN w:val="0"/>
                    <w:adjustRightInd w:val="0"/>
                    <w:spacing w:line="240" w:lineRule="auto"/>
                    <w:contextualSpacing/>
                    <w:jc w:val="center"/>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i w:val="0"/>
                      <w:iCs w:val="0"/>
                      <w:color w:val="auto"/>
                      <w:kern w:val="0"/>
                      <w:sz w:val="21"/>
                      <w:szCs w:val="21"/>
                      <w:vertAlign w:val="baseline"/>
                      <w:lang w:eastAsia="zh-CN"/>
                    </w:rPr>
                    <w:t>本项目生物实验室主要为简单的观察实验，生物实验不涉及动物饲养、微生物/病原体实验和动物解剖/标本制作，且以老师</w:t>
                  </w:r>
                  <w:r>
                    <w:rPr>
                      <w:rFonts w:hint="eastAsia" w:ascii="Times New Roman" w:hAnsi="Times New Roman" w:cs="Times New Roman"/>
                      <w:b w:val="0"/>
                      <w:bCs w:val="0"/>
                      <w:i w:val="0"/>
                      <w:iCs w:val="0"/>
                      <w:color w:val="auto"/>
                      <w:kern w:val="0"/>
                      <w:sz w:val="21"/>
                      <w:szCs w:val="21"/>
                      <w:vertAlign w:val="baseline"/>
                      <w:lang w:val="en-US" w:eastAsia="zh-CN"/>
                    </w:rPr>
                    <w:t>演示</w:t>
                  </w:r>
                  <w:r>
                    <w:rPr>
                      <w:rFonts w:hint="default" w:ascii="Times New Roman" w:hAnsi="Times New Roman" w:cs="Times New Roman"/>
                      <w:b w:val="0"/>
                      <w:bCs w:val="0"/>
                      <w:i w:val="0"/>
                      <w:iCs w:val="0"/>
                      <w:color w:val="auto"/>
                      <w:kern w:val="0"/>
                      <w:sz w:val="21"/>
                      <w:szCs w:val="21"/>
                      <w:vertAlign w:val="baseline"/>
                      <w:lang w:eastAsia="zh-CN"/>
                    </w:rPr>
                    <w:t>实验为主、学生实验操作为辅，涉及到显微镜观察的实验均使用永久装片，涉及有一定安全风险的实验采取观看视频及PPT的方式。故本项目实验室属于一级（</w:t>
                  </w:r>
                  <w:r>
                    <w:rPr>
                      <w:rFonts w:hint="default" w:ascii="Times New Roman" w:hAnsi="Times New Roman" w:cs="Times New Roman"/>
                      <w:b w:val="0"/>
                      <w:bCs w:val="0"/>
                      <w:i w:val="0"/>
                      <w:iCs w:val="0"/>
                      <w:color w:val="auto"/>
                      <w:kern w:val="0"/>
                      <w:sz w:val="21"/>
                      <w:szCs w:val="21"/>
                      <w:vertAlign w:val="baseline"/>
                      <w:lang w:val="en-US" w:eastAsia="zh-CN"/>
                    </w:rPr>
                    <w:t>P1</w:t>
                  </w:r>
                  <w:r>
                    <w:rPr>
                      <w:rFonts w:hint="default" w:ascii="Times New Roman" w:hAnsi="Times New Roman" w:cs="Times New Roman"/>
                      <w:b w:val="0"/>
                      <w:bCs w:val="0"/>
                      <w:i w:val="0"/>
                      <w:iCs w:val="0"/>
                      <w:color w:val="auto"/>
                      <w:kern w:val="0"/>
                      <w:sz w:val="21"/>
                      <w:szCs w:val="21"/>
                      <w:vertAlign w:val="baseline"/>
                      <w:lang w:eastAsia="zh-CN"/>
                    </w:rPr>
                    <w:t>）生物实验室，不属于</w:t>
                  </w:r>
                  <w:r>
                    <w:rPr>
                      <w:rFonts w:hint="default" w:ascii="Times New Roman" w:hAnsi="Times New Roman" w:cs="Times New Roman"/>
                      <w:b w:val="0"/>
                      <w:bCs w:val="0"/>
                      <w:i w:val="0"/>
                      <w:iCs w:val="0"/>
                      <w:color w:val="auto"/>
                      <w:kern w:val="0"/>
                      <w:sz w:val="21"/>
                      <w:szCs w:val="21"/>
                      <w:vertAlign w:val="baseline"/>
                      <w:lang w:val="en-US" w:eastAsia="zh-CN"/>
                    </w:rPr>
                    <w:t>P2、P3、P4生物实验室。</w:t>
                  </w:r>
                </w:p>
              </w:tc>
            </w:tr>
            <w:tr w14:paraId="6966F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7" w:type="dxa"/>
                  <w:tcBorders>
                    <w:tl2br w:val="nil"/>
                    <w:tr2bl w:val="nil"/>
                  </w:tcBorders>
                  <w:noWrap w:val="0"/>
                  <w:vAlign w:val="center"/>
                </w:tcPr>
                <w:p w14:paraId="6CE927DF">
                  <w:pPr>
                    <w:autoSpaceDE w:val="0"/>
                    <w:autoSpaceDN w:val="0"/>
                    <w:adjustRightInd w:val="0"/>
                    <w:spacing w:line="240" w:lineRule="auto"/>
                    <w:contextualSpacing/>
                    <w:jc w:val="center"/>
                    <w:rPr>
                      <w:rFonts w:hint="default" w:ascii="Times New Roman" w:hAnsi="Times New Roman" w:eastAsia="宋体" w:cs="Times New Roman"/>
                      <w:b w:val="0"/>
                      <w:bCs w:val="0"/>
                      <w:color w:val="auto"/>
                      <w:kern w:val="0"/>
                      <w:sz w:val="21"/>
                      <w:szCs w:val="21"/>
                      <w:vertAlign w:val="baseline"/>
                      <w:lang w:eastAsia="zh-CN"/>
                    </w:rPr>
                  </w:pPr>
                  <w:r>
                    <w:rPr>
                      <w:rFonts w:hint="default" w:ascii="Times New Roman" w:hAnsi="Times New Roman" w:cs="Times New Roman"/>
                      <w:b w:val="0"/>
                      <w:bCs w:val="0"/>
                      <w:color w:val="auto"/>
                      <w:kern w:val="0"/>
                      <w:sz w:val="21"/>
                      <w:szCs w:val="21"/>
                      <w:vertAlign w:val="baseline"/>
                      <w:lang w:eastAsia="zh-CN"/>
                    </w:rPr>
                    <w:t>二级</w:t>
                  </w:r>
                </w:p>
              </w:tc>
              <w:tc>
                <w:tcPr>
                  <w:tcW w:w="1973" w:type="dxa"/>
                  <w:tcBorders>
                    <w:tl2br w:val="nil"/>
                    <w:tr2bl w:val="nil"/>
                  </w:tcBorders>
                  <w:noWrap w:val="0"/>
                  <w:vAlign w:val="center"/>
                </w:tcPr>
                <w:p w14:paraId="2724232F">
                  <w:pPr>
                    <w:autoSpaceDE w:val="0"/>
                    <w:autoSpaceDN w:val="0"/>
                    <w:adjustRightInd w:val="0"/>
                    <w:spacing w:line="240" w:lineRule="auto"/>
                    <w:contextualSpacing/>
                    <w:jc w:val="center"/>
                    <w:rPr>
                      <w:rFonts w:hint="default" w:ascii="Times New Roman" w:hAnsi="Times New Roman" w:cs="Times New Roman"/>
                      <w:b w:val="0"/>
                      <w:bCs w:val="0"/>
                      <w:color w:val="auto"/>
                      <w:kern w:val="0"/>
                      <w:sz w:val="21"/>
                      <w:szCs w:val="21"/>
                      <w:vertAlign w:val="baseline"/>
                    </w:rPr>
                  </w:pPr>
                  <w:r>
                    <w:rPr>
                      <w:rFonts w:hint="default" w:ascii="Times New Roman" w:hAnsi="Times New Roman" w:cs="Times New Roman"/>
                      <w:b w:val="0"/>
                      <w:bCs w:val="0"/>
                      <w:color w:val="auto"/>
                      <w:kern w:val="0"/>
                      <w:sz w:val="21"/>
                      <w:szCs w:val="21"/>
                      <w:vertAlign w:val="baseline"/>
                      <w:lang w:eastAsia="zh-CN"/>
                    </w:rPr>
                    <w:t>中等个体危害，有限群体危害</w:t>
                  </w:r>
                </w:p>
              </w:tc>
              <w:tc>
                <w:tcPr>
                  <w:tcW w:w="3452" w:type="dxa"/>
                  <w:tcBorders>
                    <w:tl2br w:val="nil"/>
                    <w:tr2bl w:val="nil"/>
                  </w:tcBorders>
                  <w:noWrap w:val="0"/>
                  <w:vAlign w:val="center"/>
                </w:tcPr>
                <w:p w14:paraId="11D9A582">
                  <w:pPr>
                    <w:autoSpaceDE w:val="0"/>
                    <w:autoSpaceDN w:val="0"/>
                    <w:adjustRightInd w:val="0"/>
                    <w:spacing w:line="240" w:lineRule="auto"/>
                    <w:contextualSpacing/>
                    <w:jc w:val="center"/>
                    <w:rPr>
                      <w:rFonts w:hint="default" w:ascii="Times New Roman" w:hAnsi="Times New Roman" w:cs="Times New Roman"/>
                      <w:b w:val="0"/>
                      <w:bCs w:val="0"/>
                      <w:color w:val="auto"/>
                      <w:kern w:val="0"/>
                      <w:sz w:val="21"/>
                      <w:szCs w:val="21"/>
                      <w:vertAlign w:val="baseline"/>
                    </w:rPr>
                  </w:pPr>
                  <w:r>
                    <w:rPr>
                      <w:rFonts w:hint="default" w:ascii="Times New Roman" w:hAnsi="Times New Roman" w:cs="Times New Roman"/>
                      <w:b w:val="0"/>
                      <w:bCs w:val="0"/>
                      <w:color w:val="auto"/>
                      <w:kern w:val="0"/>
                      <w:sz w:val="21"/>
                      <w:szCs w:val="21"/>
                      <w:vertAlign w:val="baseline"/>
                    </w:rPr>
                    <w:t>对人体、动植物或环境具有中等危害或具有潜在危险的致病因子，对健康成人、动物和环境不会造成严重危害。</w:t>
                  </w:r>
                </w:p>
              </w:tc>
              <w:tc>
                <w:tcPr>
                  <w:tcW w:w="2336" w:type="dxa"/>
                  <w:vMerge w:val="continue"/>
                  <w:tcBorders>
                    <w:tl2br w:val="nil"/>
                    <w:tr2bl w:val="nil"/>
                  </w:tcBorders>
                  <w:noWrap w:val="0"/>
                  <w:vAlign w:val="center"/>
                </w:tcPr>
                <w:p w14:paraId="1C23140D">
                  <w:pPr>
                    <w:autoSpaceDE w:val="0"/>
                    <w:autoSpaceDN w:val="0"/>
                    <w:adjustRightInd w:val="0"/>
                    <w:spacing w:line="240" w:lineRule="auto"/>
                    <w:contextualSpacing/>
                    <w:jc w:val="center"/>
                    <w:rPr>
                      <w:rFonts w:hint="default" w:ascii="Times New Roman" w:hAnsi="Times New Roman" w:cs="Times New Roman"/>
                      <w:b w:val="0"/>
                      <w:bCs w:val="0"/>
                      <w:color w:val="auto"/>
                      <w:kern w:val="0"/>
                      <w:sz w:val="21"/>
                      <w:szCs w:val="21"/>
                      <w:vertAlign w:val="baseline"/>
                    </w:rPr>
                  </w:pPr>
                </w:p>
              </w:tc>
            </w:tr>
            <w:tr w14:paraId="6B836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7" w:type="dxa"/>
                  <w:tcBorders>
                    <w:tl2br w:val="nil"/>
                    <w:tr2bl w:val="nil"/>
                  </w:tcBorders>
                  <w:noWrap w:val="0"/>
                  <w:vAlign w:val="center"/>
                </w:tcPr>
                <w:p w14:paraId="5355752F">
                  <w:pPr>
                    <w:autoSpaceDE w:val="0"/>
                    <w:autoSpaceDN w:val="0"/>
                    <w:adjustRightInd w:val="0"/>
                    <w:spacing w:line="240" w:lineRule="auto"/>
                    <w:contextualSpacing/>
                    <w:jc w:val="center"/>
                    <w:rPr>
                      <w:rFonts w:hint="default" w:ascii="Times New Roman" w:hAnsi="Times New Roman" w:eastAsia="宋体" w:cs="Times New Roman"/>
                      <w:b w:val="0"/>
                      <w:bCs w:val="0"/>
                      <w:color w:val="auto"/>
                      <w:kern w:val="0"/>
                      <w:sz w:val="21"/>
                      <w:szCs w:val="21"/>
                      <w:vertAlign w:val="baseline"/>
                      <w:lang w:eastAsia="zh-CN"/>
                    </w:rPr>
                  </w:pPr>
                  <w:r>
                    <w:rPr>
                      <w:rFonts w:hint="default" w:ascii="Times New Roman" w:hAnsi="Times New Roman" w:cs="Times New Roman"/>
                      <w:b w:val="0"/>
                      <w:bCs w:val="0"/>
                      <w:color w:val="auto"/>
                      <w:kern w:val="0"/>
                      <w:sz w:val="21"/>
                      <w:szCs w:val="21"/>
                      <w:vertAlign w:val="baseline"/>
                      <w:lang w:eastAsia="zh-CN"/>
                    </w:rPr>
                    <w:t>三级</w:t>
                  </w:r>
                </w:p>
              </w:tc>
              <w:tc>
                <w:tcPr>
                  <w:tcW w:w="1973" w:type="dxa"/>
                  <w:tcBorders>
                    <w:tl2br w:val="nil"/>
                    <w:tr2bl w:val="nil"/>
                  </w:tcBorders>
                  <w:noWrap w:val="0"/>
                  <w:vAlign w:val="center"/>
                </w:tcPr>
                <w:p w14:paraId="6A90C9F8">
                  <w:pPr>
                    <w:autoSpaceDE w:val="0"/>
                    <w:autoSpaceDN w:val="0"/>
                    <w:adjustRightInd w:val="0"/>
                    <w:spacing w:line="240" w:lineRule="auto"/>
                    <w:contextualSpacing/>
                    <w:jc w:val="center"/>
                    <w:rPr>
                      <w:rFonts w:hint="default" w:ascii="Times New Roman" w:hAnsi="Times New Roman" w:cs="Times New Roman"/>
                      <w:b w:val="0"/>
                      <w:bCs w:val="0"/>
                      <w:color w:val="auto"/>
                      <w:kern w:val="0"/>
                      <w:sz w:val="21"/>
                      <w:szCs w:val="21"/>
                      <w:vertAlign w:val="baseline"/>
                    </w:rPr>
                  </w:pPr>
                  <w:r>
                    <w:rPr>
                      <w:rFonts w:hint="default" w:ascii="Times New Roman" w:hAnsi="Times New Roman" w:cs="Times New Roman"/>
                      <w:b w:val="0"/>
                      <w:bCs w:val="0"/>
                      <w:color w:val="auto"/>
                      <w:kern w:val="0"/>
                      <w:sz w:val="21"/>
                      <w:szCs w:val="21"/>
                      <w:vertAlign w:val="baseline"/>
                    </w:rPr>
                    <w:t>高个体危害，低群体危害</w:t>
                  </w:r>
                </w:p>
              </w:tc>
              <w:tc>
                <w:tcPr>
                  <w:tcW w:w="3452" w:type="dxa"/>
                  <w:tcBorders>
                    <w:tl2br w:val="nil"/>
                    <w:tr2bl w:val="nil"/>
                  </w:tcBorders>
                  <w:noWrap w:val="0"/>
                  <w:vAlign w:val="center"/>
                </w:tcPr>
                <w:p w14:paraId="25C2C7FD">
                  <w:pPr>
                    <w:autoSpaceDE w:val="0"/>
                    <w:autoSpaceDN w:val="0"/>
                    <w:adjustRightInd w:val="0"/>
                    <w:spacing w:line="240" w:lineRule="auto"/>
                    <w:contextualSpacing/>
                    <w:jc w:val="center"/>
                    <w:rPr>
                      <w:rFonts w:hint="default" w:ascii="Times New Roman" w:hAnsi="Times New Roman" w:cs="Times New Roman"/>
                      <w:b w:val="0"/>
                      <w:bCs w:val="0"/>
                      <w:color w:val="auto"/>
                      <w:kern w:val="0"/>
                      <w:sz w:val="21"/>
                      <w:szCs w:val="21"/>
                      <w:vertAlign w:val="baseline"/>
                    </w:rPr>
                  </w:pPr>
                  <w:r>
                    <w:rPr>
                      <w:rFonts w:hint="default" w:ascii="Times New Roman" w:hAnsi="Times New Roman" w:cs="Times New Roman"/>
                      <w:b w:val="0"/>
                      <w:bCs w:val="0"/>
                      <w:color w:val="auto"/>
                      <w:kern w:val="0"/>
                      <w:sz w:val="21"/>
                      <w:szCs w:val="21"/>
                      <w:vertAlign w:val="baseline"/>
                    </w:rPr>
                    <w:t>有有效的预防和治疗措施。对人体、动植物或环境具有高度危险性，主要通过气溶胶使人传染上严重的甚至是致命疾病，或对动植物和环境具有高度危害的致病因子。通常有预防治疗措施。</w:t>
                  </w:r>
                </w:p>
              </w:tc>
              <w:tc>
                <w:tcPr>
                  <w:tcW w:w="2336" w:type="dxa"/>
                  <w:vMerge w:val="continue"/>
                  <w:tcBorders>
                    <w:tl2br w:val="nil"/>
                    <w:tr2bl w:val="nil"/>
                  </w:tcBorders>
                  <w:noWrap w:val="0"/>
                  <w:vAlign w:val="center"/>
                </w:tcPr>
                <w:p w14:paraId="38FDDED1">
                  <w:pPr>
                    <w:autoSpaceDE w:val="0"/>
                    <w:autoSpaceDN w:val="0"/>
                    <w:adjustRightInd w:val="0"/>
                    <w:spacing w:line="240" w:lineRule="auto"/>
                    <w:contextualSpacing/>
                    <w:jc w:val="center"/>
                    <w:rPr>
                      <w:rFonts w:hint="default" w:ascii="Times New Roman" w:hAnsi="Times New Roman" w:cs="Times New Roman"/>
                      <w:b w:val="0"/>
                      <w:bCs w:val="0"/>
                      <w:color w:val="auto"/>
                      <w:kern w:val="0"/>
                      <w:sz w:val="21"/>
                      <w:szCs w:val="21"/>
                      <w:vertAlign w:val="baseline"/>
                    </w:rPr>
                  </w:pPr>
                </w:p>
              </w:tc>
            </w:tr>
            <w:tr w14:paraId="0B444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7" w:type="dxa"/>
                  <w:tcBorders>
                    <w:tl2br w:val="nil"/>
                    <w:tr2bl w:val="nil"/>
                  </w:tcBorders>
                  <w:noWrap w:val="0"/>
                  <w:vAlign w:val="center"/>
                </w:tcPr>
                <w:p w14:paraId="695C838E">
                  <w:pPr>
                    <w:autoSpaceDE w:val="0"/>
                    <w:autoSpaceDN w:val="0"/>
                    <w:adjustRightInd w:val="0"/>
                    <w:spacing w:line="240" w:lineRule="auto"/>
                    <w:contextualSpacing/>
                    <w:jc w:val="center"/>
                    <w:rPr>
                      <w:rFonts w:hint="default" w:ascii="Times New Roman" w:hAnsi="Times New Roman" w:cs="Times New Roman"/>
                      <w:b w:val="0"/>
                      <w:bCs w:val="0"/>
                      <w:color w:val="auto"/>
                      <w:kern w:val="0"/>
                      <w:sz w:val="21"/>
                      <w:szCs w:val="21"/>
                      <w:vertAlign w:val="baseline"/>
                      <w:lang w:eastAsia="zh-CN"/>
                    </w:rPr>
                  </w:pPr>
                  <w:r>
                    <w:rPr>
                      <w:rFonts w:hint="default" w:ascii="Times New Roman" w:hAnsi="Times New Roman" w:cs="Times New Roman"/>
                      <w:b w:val="0"/>
                      <w:bCs w:val="0"/>
                      <w:color w:val="auto"/>
                      <w:kern w:val="0"/>
                      <w:sz w:val="21"/>
                      <w:szCs w:val="21"/>
                      <w:vertAlign w:val="baseline"/>
                      <w:lang w:eastAsia="zh-CN"/>
                    </w:rPr>
                    <w:t>四级</w:t>
                  </w:r>
                </w:p>
              </w:tc>
              <w:tc>
                <w:tcPr>
                  <w:tcW w:w="1973" w:type="dxa"/>
                  <w:tcBorders>
                    <w:tl2br w:val="nil"/>
                    <w:tr2bl w:val="nil"/>
                  </w:tcBorders>
                  <w:noWrap w:val="0"/>
                  <w:vAlign w:val="center"/>
                </w:tcPr>
                <w:p w14:paraId="1F989F0E">
                  <w:pPr>
                    <w:autoSpaceDE w:val="0"/>
                    <w:autoSpaceDN w:val="0"/>
                    <w:adjustRightInd w:val="0"/>
                    <w:spacing w:line="240" w:lineRule="auto"/>
                    <w:contextualSpacing/>
                    <w:jc w:val="center"/>
                    <w:rPr>
                      <w:rFonts w:hint="default" w:ascii="Times New Roman" w:hAnsi="Times New Roman" w:cs="Times New Roman"/>
                      <w:b w:val="0"/>
                      <w:bCs w:val="0"/>
                      <w:color w:val="auto"/>
                      <w:kern w:val="0"/>
                      <w:sz w:val="21"/>
                      <w:szCs w:val="21"/>
                      <w:vertAlign w:val="baseline"/>
                    </w:rPr>
                  </w:pPr>
                  <w:r>
                    <w:rPr>
                      <w:rFonts w:hint="default" w:ascii="Times New Roman" w:hAnsi="Times New Roman" w:cs="Times New Roman"/>
                      <w:b w:val="0"/>
                      <w:bCs w:val="0"/>
                      <w:color w:val="auto"/>
                      <w:kern w:val="0"/>
                      <w:sz w:val="21"/>
                      <w:szCs w:val="21"/>
                      <w:vertAlign w:val="baseline"/>
                    </w:rPr>
                    <w:t>高个体危害。高群体危害</w:t>
                  </w:r>
                </w:p>
              </w:tc>
              <w:tc>
                <w:tcPr>
                  <w:tcW w:w="3452" w:type="dxa"/>
                  <w:tcBorders>
                    <w:tl2br w:val="nil"/>
                    <w:tr2bl w:val="nil"/>
                  </w:tcBorders>
                  <w:noWrap w:val="0"/>
                  <w:vAlign w:val="center"/>
                </w:tcPr>
                <w:p w14:paraId="3C5FDFEF">
                  <w:pPr>
                    <w:autoSpaceDE w:val="0"/>
                    <w:autoSpaceDN w:val="0"/>
                    <w:adjustRightInd w:val="0"/>
                    <w:spacing w:line="240" w:lineRule="auto"/>
                    <w:contextualSpacing/>
                    <w:jc w:val="center"/>
                    <w:rPr>
                      <w:rFonts w:hint="default" w:ascii="Times New Roman" w:hAnsi="Times New Roman" w:cs="Times New Roman"/>
                      <w:b w:val="0"/>
                      <w:bCs w:val="0"/>
                      <w:color w:val="auto"/>
                      <w:kern w:val="0"/>
                      <w:sz w:val="21"/>
                      <w:szCs w:val="21"/>
                      <w:vertAlign w:val="baseline"/>
                    </w:rPr>
                  </w:pPr>
                  <w:r>
                    <w:rPr>
                      <w:rFonts w:hint="default" w:ascii="Times New Roman" w:hAnsi="Times New Roman" w:cs="Times New Roman"/>
                      <w:b w:val="0"/>
                      <w:bCs w:val="0"/>
                      <w:color w:val="auto"/>
                      <w:kern w:val="0"/>
                      <w:sz w:val="21"/>
                      <w:szCs w:val="21"/>
                      <w:vertAlign w:val="baseline"/>
                    </w:rPr>
                    <w:t>对人体、动植物或环境具有高度危险性,通过气溶胶途径传播或传播途径不明，或未知的、危险的致病因子。没有预防治疗措施。</w:t>
                  </w:r>
                </w:p>
              </w:tc>
              <w:tc>
                <w:tcPr>
                  <w:tcW w:w="2336" w:type="dxa"/>
                  <w:vMerge w:val="continue"/>
                  <w:tcBorders>
                    <w:tl2br w:val="nil"/>
                    <w:tr2bl w:val="nil"/>
                  </w:tcBorders>
                  <w:noWrap w:val="0"/>
                  <w:vAlign w:val="center"/>
                </w:tcPr>
                <w:p w14:paraId="5B86F92F">
                  <w:pPr>
                    <w:autoSpaceDE w:val="0"/>
                    <w:autoSpaceDN w:val="0"/>
                    <w:adjustRightInd w:val="0"/>
                    <w:spacing w:line="240" w:lineRule="auto"/>
                    <w:contextualSpacing/>
                    <w:jc w:val="center"/>
                    <w:rPr>
                      <w:rFonts w:hint="default" w:ascii="Times New Roman" w:hAnsi="Times New Roman" w:cs="Times New Roman"/>
                      <w:b w:val="0"/>
                      <w:bCs w:val="0"/>
                      <w:color w:val="auto"/>
                      <w:kern w:val="0"/>
                      <w:sz w:val="21"/>
                      <w:szCs w:val="21"/>
                      <w:vertAlign w:val="baseline"/>
                    </w:rPr>
                  </w:pPr>
                </w:p>
              </w:tc>
            </w:tr>
            <w:tr w14:paraId="35D8B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2" w:type="dxa"/>
                  <w:gridSpan w:val="3"/>
                  <w:tcBorders>
                    <w:tl2br w:val="nil"/>
                    <w:tr2bl w:val="nil"/>
                  </w:tcBorders>
                  <w:noWrap w:val="0"/>
                  <w:vAlign w:val="center"/>
                </w:tcPr>
                <w:p w14:paraId="2590EBB9">
                  <w:pPr>
                    <w:autoSpaceDE w:val="0"/>
                    <w:autoSpaceDN w:val="0"/>
                    <w:adjustRightInd w:val="0"/>
                    <w:spacing w:line="240" w:lineRule="auto"/>
                    <w:contextualSpacing/>
                    <w:jc w:val="center"/>
                    <w:rPr>
                      <w:rFonts w:hint="default" w:ascii="Times New Roman" w:hAnsi="Times New Roman" w:cs="Times New Roman"/>
                      <w:b/>
                      <w:bCs/>
                      <w:color w:val="auto"/>
                      <w:kern w:val="0"/>
                      <w:sz w:val="21"/>
                      <w:szCs w:val="21"/>
                      <w:vertAlign w:val="baseline"/>
                      <w:lang w:val="en-US"/>
                    </w:rPr>
                  </w:pPr>
                  <w:r>
                    <w:rPr>
                      <w:rFonts w:hint="default" w:ascii="Times New Roman" w:hAnsi="Times New Roman" w:cs="Times New Roman"/>
                      <w:b/>
                      <w:bCs/>
                      <w:color w:val="auto"/>
                      <w:kern w:val="0"/>
                      <w:sz w:val="21"/>
                      <w:szCs w:val="21"/>
                      <w:vertAlign w:val="baseline"/>
                      <w:lang w:eastAsia="zh-CN"/>
                    </w:rPr>
                    <w:t>《实验室</w:t>
                  </w:r>
                  <w:r>
                    <w:rPr>
                      <w:rFonts w:hint="default" w:ascii="Times New Roman" w:hAnsi="Times New Roman" w:cs="Times New Roman"/>
                      <w:b/>
                      <w:bCs/>
                      <w:color w:val="auto"/>
                      <w:kern w:val="0"/>
                      <w:sz w:val="21"/>
                      <w:szCs w:val="21"/>
                      <w:vertAlign w:val="baseline"/>
                      <w:lang w:val="en-US" w:eastAsia="zh-CN"/>
                    </w:rPr>
                    <w:t xml:space="preserve"> </w:t>
                  </w:r>
                  <w:r>
                    <w:rPr>
                      <w:rFonts w:hint="default" w:ascii="Times New Roman" w:hAnsi="Times New Roman" w:cs="Times New Roman"/>
                      <w:b/>
                      <w:bCs/>
                      <w:color w:val="auto"/>
                      <w:kern w:val="0"/>
                      <w:sz w:val="21"/>
                      <w:szCs w:val="21"/>
                      <w:vertAlign w:val="baseline"/>
                      <w:lang w:eastAsia="zh-CN"/>
                    </w:rPr>
                    <w:t>生物安全通用要求》（</w:t>
                  </w:r>
                  <w:r>
                    <w:rPr>
                      <w:rFonts w:hint="default" w:ascii="Times New Roman" w:hAnsi="Times New Roman" w:cs="Times New Roman"/>
                      <w:b/>
                      <w:bCs/>
                      <w:color w:val="auto"/>
                      <w:kern w:val="0"/>
                      <w:sz w:val="21"/>
                      <w:szCs w:val="21"/>
                      <w:vertAlign w:val="baseline"/>
                      <w:lang w:val="en-US" w:eastAsia="zh-CN"/>
                    </w:rPr>
                    <w:t>GB19489-2008</w:t>
                  </w:r>
                  <w:r>
                    <w:rPr>
                      <w:rFonts w:hint="default" w:ascii="Times New Roman" w:hAnsi="Times New Roman" w:cs="Times New Roman"/>
                      <w:b/>
                      <w:bCs/>
                      <w:color w:val="auto"/>
                      <w:kern w:val="0"/>
                      <w:sz w:val="21"/>
                      <w:szCs w:val="21"/>
                      <w:vertAlign w:val="baseline"/>
                      <w:lang w:eastAsia="zh-CN"/>
                    </w:rPr>
                    <w:t>）中</w:t>
                  </w:r>
                  <w:r>
                    <w:rPr>
                      <w:rFonts w:hint="default" w:ascii="Times New Roman" w:hAnsi="Times New Roman" w:cs="Times New Roman"/>
                      <w:b/>
                      <w:bCs/>
                      <w:color w:val="auto"/>
                      <w:kern w:val="0"/>
                      <w:sz w:val="21"/>
                      <w:szCs w:val="21"/>
                      <w:vertAlign w:val="baseline"/>
                      <w:lang w:val="en-US" w:eastAsia="zh-CN"/>
                    </w:rPr>
                    <w:t>6实验室设施和设备要求—6.1 BSL-实验室相关要求</w:t>
                  </w:r>
                </w:p>
              </w:tc>
              <w:tc>
                <w:tcPr>
                  <w:tcW w:w="2336" w:type="dxa"/>
                  <w:tcBorders>
                    <w:tl2br w:val="nil"/>
                    <w:tr2bl w:val="nil"/>
                  </w:tcBorders>
                  <w:noWrap w:val="0"/>
                  <w:vAlign w:val="center"/>
                </w:tcPr>
                <w:p w14:paraId="4BAE2D6D">
                  <w:pPr>
                    <w:autoSpaceDE w:val="0"/>
                    <w:autoSpaceDN w:val="0"/>
                    <w:adjustRightInd w:val="0"/>
                    <w:spacing w:line="240" w:lineRule="auto"/>
                    <w:contextualSpacing/>
                    <w:jc w:val="center"/>
                    <w:rPr>
                      <w:rFonts w:hint="default" w:ascii="Times New Roman" w:hAnsi="Times New Roman" w:eastAsia="宋体" w:cs="Times New Roman"/>
                      <w:b/>
                      <w:bCs/>
                      <w:color w:val="auto"/>
                      <w:kern w:val="0"/>
                      <w:sz w:val="21"/>
                      <w:szCs w:val="21"/>
                      <w:vertAlign w:val="baseline"/>
                      <w:lang w:eastAsia="zh-CN"/>
                    </w:rPr>
                  </w:pPr>
                  <w:r>
                    <w:rPr>
                      <w:rFonts w:hint="default" w:ascii="Times New Roman" w:hAnsi="Times New Roman" w:cs="Times New Roman"/>
                      <w:b/>
                      <w:bCs/>
                      <w:color w:val="auto"/>
                      <w:kern w:val="0"/>
                      <w:sz w:val="21"/>
                      <w:szCs w:val="21"/>
                      <w:vertAlign w:val="baseline"/>
                      <w:lang w:eastAsia="zh-CN"/>
                    </w:rPr>
                    <w:t>本项目符合性</w:t>
                  </w:r>
                </w:p>
              </w:tc>
            </w:tr>
            <w:tr w14:paraId="3E729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2" w:type="dxa"/>
                  <w:gridSpan w:val="3"/>
                  <w:tcBorders>
                    <w:tl2br w:val="nil"/>
                    <w:tr2bl w:val="nil"/>
                  </w:tcBorders>
                  <w:noWrap w:val="0"/>
                  <w:vAlign w:val="center"/>
                </w:tcPr>
                <w:p w14:paraId="114D7547">
                  <w:pPr>
                    <w:autoSpaceDE w:val="0"/>
                    <w:autoSpaceDN w:val="0"/>
                    <w:adjustRightInd w:val="0"/>
                    <w:spacing w:line="240" w:lineRule="auto"/>
                    <w:contextualSpacing/>
                    <w:jc w:val="both"/>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6.1.1 实验室的门应有可视窗并可锁闭，门锁及门的开启方向应不妨碍室内人员逃生。</w:t>
                  </w:r>
                </w:p>
              </w:tc>
              <w:tc>
                <w:tcPr>
                  <w:tcW w:w="2336" w:type="dxa"/>
                  <w:tcBorders>
                    <w:tl2br w:val="nil"/>
                    <w:tr2bl w:val="nil"/>
                  </w:tcBorders>
                  <w:noWrap w:val="0"/>
                  <w:vAlign w:val="center"/>
                </w:tcPr>
                <w:p w14:paraId="7431D00F">
                  <w:pPr>
                    <w:autoSpaceDE w:val="0"/>
                    <w:autoSpaceDN w:val="0"/>
                    <w:adjustRightInd w:val="0"/>
                    <w:spacing w:line="240" w:lineRule="auto"/>
                    <w:contextualSpacing/>
                    <w:jc w:val="center"/>
                    <w:rPr>
                      <w:rFonts w:hint="default" w:ascii="Times New Roman" w:hAnsi="Times New Roman" w:eastAsia="宋体" w:cs="Times New Roman"/>
                      <w:b w:val="0"/>
                      <w:bCs w:val="0"/>
                      <w:color w:val="auto"/>
                      <w:kern w:val="0"/>
                      <w:sz w:val="21"/>
                      <w:szCs w:val="21"/>
                      <w:vertAlign w:val="baseline"/>
                      <w:lang w:eastAsia="zh-CN"/>
                    </w:rPr>
                  </w:pPr>
                  <w:r>
                    <w:rPr>
                      <w:rFonts w:hint="default" w:ascii="Times New Roman" w:hAnsi="Times New Roman" w:cs="Times New Roman"/>
                      <w:b w:val="0"/>
                      <w:bCs w:val="0"/>
                      <w:color w:val="auto"/>
                      <w:kern w:val="0"/>
                      <w:sz w:val="21"/>
                      <w:szCs w:val="21"/>
                      <w:vertAlign w:val="baseline"/>
                      <w:lang w:eastAsia="zh-CN"/>
                    </w:rPr>
                    <w:t>教学楼内单独设置实验室，设置有可视窗并可锁闭，按相关技术要求设置，门锁及门的开启方向不妨碍室内人员逃生。</w:t>
                  </w:r>
                </w:p>
              </w:tc>
            </w:tr>
            <w:tr w14:paraId="640C60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2" w:type="dxa"/>
                  <w:gridSpan w:val="3"/>
                  <w:tcBorders>
                    <w:tl2br w:val="nil"/>
                    <w:tr2bl w:val="nil"/>
                  </w:tcBorders>
                  <w:noWrap w:val="0"/>
                  <w:vAlign w:val="center"/>
                </w:tcPr>
                <w:p w14:paraId="23842D2B">
                  <w:pPr>
                    <w:autoSpaceDE w:val="0"/>
                    <w:autoSpaceDN w:val="0"/>
                    <w:adjustRightInd w:val="0"/>
                    <w:spacing w:line="240" w:lineRule="auto"/>
                    <w:contextualSpacing/>
                    <w:jc w:val="both"/>
                    <w:rPr>
                      <w:rFonts w:hint="default" w:ascii="Times New Roman" w:hAnsi="Times New Roman"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6.1.9 实验室可以利用自然通风。如果采样机械通风，应避免交叉污染。</w:t>
                  </w:r>
                </w:p>
              </w:tc>
              <w:tc>
                <w:tcPr>
                  <w:tcW w:w="2336" w:type="dxa"/>
                  <w:tcBorders>
                    <w:tl2br w:val="nil"/>
                    <w:tr2bl w:val="nil"/>
                  </w:tcBorders>
                  <w:noWrap w:val="0"/>
                  <w:vAlign w:val="center"/>
                </w:tcPr>
                <w:p w14:paraId="0C3BC8E0">
                  <w:pPr>
                    <w:autoSpaceDE w:val="0"/>
                    <w:autoSpaceDN w:val="0"/>
                    <w:adjustRightInd w:val="0"/>
                    <w:spacing w:line="240" w:lineRule="auto"/>
                    <w:contextualSpacing/>
                    <w:jc w:val="center"/>
                    <w:rPr>
                      <w:rFonts w:hint="default" w:ascii="Times New Roman" w:hAnsi="Times New Roman" w:cs="Times New Roman"/>
                      <w:b w:val="0"/>
                      <w:bCs w:val="0"/>
                      <w:color w:val="auto"/>
                      <w:kern w:val="0"/>
                      <w:sz w:val="21"/>
                      <w:szCs w:val="21"/>
                      <w:vertAlign w:val="baseline"/>
                      <w:lang w:eastAsia="zh-CN"/>
                    </w:rPr>
                  </w:pPr>
                  <w:r>
                    <w:rPr>
                      <w:rFonts w:hint="default" w:ascii="Times New Roman" w:hAnsi="Times New Roman" w:cs="Times New Roman"/>
                      <w:b w:val="0"/>
                      <w:bCs w:val="0"/>
                      <w:color w:val="auto"/>
                      <w:kern w:val="0"/>
                      <w:sz w:val="21"/>
                      <w:szCs w:val="21"/>
                      <w:vertAlign w:val="baseline"/>
                      <w:lang w:eastAsia="zh-CN"/>
                    </w:rPr>
                    <w:t>实验室采样自然通风。</w:t>
                  </w:r>
                </w:p>
              </w:tc>
            </w:tr>
          </w:tbl>
          <w:p w14:paraId="4EA39EFF">
            <w:pPr>
              <w:autoSpaceDE w:val="0"/>
              <w:autoSpaceDN w:val="0"/>
              <w:adjustRightInd w:val="0"/>
              <w:spacing w:line="360" w:lineRule="auto"/>
              <w:ind w:firstLine="480" w:firstLineChars="200"/>
              <w:contextualSpacing/>
              <w:jc w:val="left"/>
              <w:rPr>
                <w:rFonts w:hint="eastAsia" w:eastAsia="宋体"/>
                <w:b w:val="0"/>
                <w:bCs w:val="0"/>
                <w:i/>
                <w:iCs/>
                <w:color w:val="auto"/>
                <w:kern w:val="0"/>
                <w:sz w:val="24"/>
                <w:lang w:eastAsia="zh-CN"/>
              </w:rPr>
            </w:pPr>
            <w:r>
              <w:rPr>
                <w:rFonts w:hint="default" w:ascii="Times New Roman" w:hAnsi="Times New Roman" w:cs="Times New Roman"/>
                <w:b w:val="0"/>
                <w:bCs w:val="0"/>
                <w:i w:val="0"/>
                <w:iCs w:val="0"/>
                <w:color w:val="auto"/>
                <w:kern w:val="0"/>
                <w:sz w:val="24"/>
              </w:rPr>
              <w:t>本项目的实验室生物安全水平属于导致人或者动物致病性较低的微生物</w:t>
            </w:r>
            <w:r>
              <w:rPr>
                <w:rFonts w:hint="default" w:ascii="Times New Roman" w:hAnsi="Times New Roman" w:cs="Times New Roman"/>
                <w:b w:val="0"/>
                <w:bCs w:val="0"/>
                <w:i w:val="0"/>
                <w:iCs w:val="0"/>
                <w:color w:val="auto"/>
                <w:kern w:val="0"/>
                <w:sz w:val="24"/>
                <w:lang w:eastAsia="zh-CN"/>
              </w:rPr>
              <w:t>，</w:t>
            </w:r>
            <w:r>
              <w:rPr>
                <w:rFonts w:hint="default" w:ascii="Times New Roman" w:hAnsi="Times New Roman" w:cs="Times New Roman"/>
                <w:b w:val="0"/>
                <w:bCs w:val="0"/>
                <w:i w:val="0"/>
                <w:iCs w:val="0"/>
                <w:color w:val="auto"/>
                <w:kern w:val="0"/>
                <w:sz w:val="24"/>
              </w:rPr>
              <w:t>本项目涉及的酵母菌、大肠杆菌属于常规菌的实验研究。故该项目实验室属于一级（P1）生物实验室，不属于P2、P3、P4生物实验室。</w:t>
            </w:r>
            <w:r>
              <w:rPr>
                <w:rFonts w:hint="default" w:ascii="Times New Roman" w:hAnsi="Times New Roman" w:cs="Times New Roman"/>
                <w:b w:val="0"/>
                <w:bCs w:val="0"/>
                <w:i w:val="0"/>
                <w:iCs w:val="0"/>
                <w:color w:val="auto"/>
                <w:kern w:val="0"/>
                <w:sz w:val="24"/>
                <w:lang w:eastAsia="zh-CN"/>
              </w:rPr>
              <w:t>实验室建设符合《实验室</w:t>
            </w:r>
            <w:r>
              <w:rPr>
                <w:rFonts w:hint="default" w:ascii="Times New Roman" w:hAnsi="Times New Roman" w:cs="Times New Roman"/>
                <w:b w:val="0"/>
                <w:bCs w:val="0"/>
                <w:i w:val="0"/>
                <w:iCs w:val="0"/>
                <w:color w:val="auto"/>
                <w:kern w:val="0"/>
                <w:sz w:val="24"/>
                <w:lang w:val="en-US" w:eastAsia="zh-CN"/>
              </w:rPr>
              <w:t xml:space="preserve"> </w:t>
            </w:r>
            <w:r>
              <w:rPr>
                <w:rFonts w:hint="default" w:ascii="Times New Roman" w:hAnsi="Times New Roman" w:cs="Times New Roman"/>
                <w:b w:val="0"/>
                <w:bCs w:val="0"/>
                <w:i w:val="0"/>
                <w:iCs w:val="0"/>
                <w:color w:val="auto"/>
                <w:kern w:val="0"/>
                <w:sz w:val="24"/>
                <w:lang w:eastAsia="zh-CN"/>
              </w:rPr>
              <w:t>生物安全通用要求》（</w:t>
            </w:r>
            <w:r>
              <w:rPr>
                <w:rFonts w:hint="default" w:ascii="Times New Roman" w:hAnsi="Times New Roman" w:cs="Times New Roman"/>
                <w:b w:val="0"/>
                <w:bCs w:val="0"/>
                <w:i w:val="0"/>
                <w:iCs w:val="0"/>
                <w:color w:val="auto"/>
                <w:kern w:val="0"/>
                <w:sz w:val="24"/>
                <w:lang w:val="en-US" w:eastAsia="zh-CN"/>
              </w:rPr>
              <w:t>GB19489-2008</w:t>
            </w:r>
            <w:r>
              <w:rPr>
                <w:rFonts w:hint="default" w:ascii="Times New Roman" w:hAnsi="Times New Roman" w:cs="Times New Roman"/>
                <w:b w:val="0"/>
                <w:bCs w:val="0"/>
                <w:i w:val="0"/>
                <w:iCs w:val="0"/>
                <w:color w:val="auto"/>
                <w:kern w:val="0"/>
                <w:sz w:val="24"/>
                <w:lang w:eastAsia="zh-CN"/>
              </w:rPr>
              <w:t>）中相关要求。</w:t>
            </w:r>
          </w:p>
          <w:p w14:paraId="548E38B4">
            <w:pPr>
              <w:spacing w:line="360" w:lineRule="auto"/>
              <w:ind w:firstLine="480" w:firstLineChars="200"/>
              <w:rPr>
                <w:rFonts w:hint="default" w:ascii="Times New Roman" w:hAnsi="Times New Roman" w:cs="Times New Roman"/>
                <w:color w:val="auto"/>
                <w:kern w:val="0"/>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w:t>
            </w:r>
            <w:r>
              <w:rPr>
                <w:rFonts w:hint="eastAsia" w:ascii="宋体" w:hAnsi="宋体" w:eastAsia="宋体" w:cs="宋体"/>
                <w:color w:val="auto"/>
                <w:kern w:val="0"/>
                <w:sz w:val="24"/>
                <w:szCs w:val="24"/>
                <w:highlight w:val="none"/>
                <w:lang w:val="en-US" w:eastAsia="zh-CN"/>
              </w:rPr>
              <w:t>选址合理性</w:t>
            </w:r>
          </w:p>
          <w:p w14:paraId="7C1CCD8D">
            <w:pPr>
              <w:spacing w:line="360" w:lineRule="auto"/>
              <w:ind w:firstLine="480" w:firstLineChars="200"/>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 xml:space="preserve">本项目实验楼布设在校区西侧，项目运营过程中，仅开展与初中教学配套的化学、生物、物理实验，实验内容较为简单，所用化学品种类较少；同时根据学校建制可知，学校为单设初级中学，初一、初二、初三年级各设置7个班级，每个班级40名学生，各年级学生人数相对较少。因此项目运营过程中使用化学品种类较少且使用量均较小，实验过程中实验废气产生量较小，对外环境影响较小；并且，实验室外排废水经处理后达标排放，噪声做到场界达标，固废做到去向明确。综上，本项目污染物产生量较小，对外环境影响较小，同时学校投运至今未接到过环保投诉。 </w:t>
            </w:r>
          </w:p>
          <w:p w14:paraId="1C21BF5C">
            <w:pPr>
              <w:spacing w:line="360" w:lineRule="auto"/>
              <w:ind w:firstLine="482" w:firstLineChars="200"/>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b/>
                <w:bCs/>
                <w:color w:val="auto"/>
                <w:kern w:val="0"/>
                <w:sz w:val="24"/>
                <w:szCs w:val="24"/>
                <w:highlight w:val="none"/>
                <w:lang w:val="en-US" w:eastAsia="zh-CN"/>
              </w:rPr>
              <w:t>综上，本项目与外环境相容，外部因素对本项目的影响极小，本项目对外环境影响较小，故项目选址是合理的。</w:t>
            </w:r>
          </w:p>
          <w:p w14:paraId="441C881B">
            <w:pPr>
              <w:spacing w:line="360" w:lineRule="auto"/>
              <w:ind w:firstLine="480" w:firstLineChars="200"/>
              <w:rPr>
                <w:rFonts w:hint="default" w:ascii="Times New Roman" w:hAnsi="Times New Roman" w:cs="Times New Roman"/>
                <w:color w:val="auto"/>
                <w:kern w:val="0"/>
                <w:sz w:val="24"/>
                <w:szCs w:val="24"/>
                <w:highlight w:val="none"/>
                <w:lang w:val="en-US" w:eastAsia="zh-CN"/>
              </w:rPr>
            </w:pPr>
          </w:p>
          <w:p w14:paraId="3E715DE3">
            <w:pPr>
              <w:spacing w:line="360" w:lineRule="auto"/>
              <w:ind w:firstLine="480" w:firstLineChars="200"/>
              <w:rPr>
                <w:rFonts w:hint="default" w:ascii="Times New Roman" w:hAnsi="Times New Roman" w:cs="Times New Roman"/>
                <w:color w:val="auto"/>
                <w:kern w:val="0"/>
                <w:sz w:val="24"/>
                <w:szCs w:val="24"/>
                <w:highlight w:val="none"/>
                <w:lang w:val="en-US" w:eastAsia="zh-CN"/>
              </w:rPr>
            </w:pPr>
          </w:p>
          <w:p w14:paraId="58A03749">
            <w:pPr>
              <w:spacing w:line="360" w:lineRule="auto"/>
              <w:ind w:firstLine="480" w:firstLineChars="200"/>
              <w:rPr>
                <w:rFonts w:hint="default" w:ascii="Times New Roman" w:hAnsi="Times New Roman" w:cs="Times New Roman"/>
                <w:color w:val="auto"/>
                <w:kern w:val="0"/>
                <w:sz w:val="24"/>
                <w:szCs w:val="24"/>
                <w:highlight w:val="none"/>
                <w:lang w:val="en-US" w:eastAsia="zh-CN"/>
              </w:rPr>
            </w:pPr>
          </w:p>
          <w:p w14:paraId="0F5A5299">
            <w:pPr>
              <w:spacing w:line="360" w:lineRule="auto"/>
              <w:ind w:firstLine="480" w:firstLineChars="200"/>
              <w:rPr>
                <w:rFonts w:hint="default" w:ascii="Times New Roman" w:hAnsi="Times New Roman" w:cs="Times New Roman"/>
                <w:color w:val="auto"/>
                <w:kern w:val="0"/>
                <w:sz w:val="24"/>
                <w:szCs w:val="24"/>
                <w:highlight w:val="none"/>
                <w:lang w:val="en-US" w:eastAsia="zh-CN"/>
              </w:rPr>
            </w:pPr>
          </w:p>
          <w:p w14:paraId="61C68010">
            <w:pPr>
              <w:spacing w:line="360" w:lineRule="auto"/>
              <w:ind w:firstLine="480" w:firstLineChars="200"/>
              <w:rPr>
                <w:rFonts w:hint="default" w:ascii="Times New Roman" w:hAnsi="Times New Roman" w:cs="Times New Roman"/>
                <w:color w:val="auto"/>
                <w:kern w:val="0"/>
                <w:sz w:val="24"/>
                <w:szCs w:val="24"/>
                <w:highlight w:val="none"/>
                <w:lang w:val="en-US" w:eastAsia="zh-CN"/>
              </w:rPr>
            </w:pPr>
          </w:p>
          <w:p w14:paraId="355F15A9">
            <w:pPr>
              <w:pStyle w:val="39"/>
              <w:ind w:left="0" w:leftChars="0" w:firstLine="0" w:firstLineChars="0"/>
              <w:rPr>
                <w:color w:val="auto"/>
                <w:highlight w:val="none"/>
              </w:rPr>
            </w:pPr>
          </w:p>
        </w:tc>
      </w:tr>
    </w:tbl>
    <w:p w14:paraId="765A84EE">
      <w:pPr>
        <w:rPr>
          <w:rFonts w:ascii="黑体" w:hAnsi="黑体" w:eastAsia="黑体"/>
          <w:color w:val="auto"/>
          <w:sz w:val="30"/>
          <w:szCs w:val="30"/>
          <w:highlight w:val="none"/>
        </w:rPr>
      </w:pPr>
      <w:r>
        <w:rPr>
          <w:rFonts w:hint="eastAsia" w:ascii="黑体" w:hAnsi="黑体" w:eastAsia="黑体"/>
          <w:color w:val="auto"/>
          <w:sz w:val="30"/>
          <w:szCs w:val="30"/>
          <w:highlight w:val="none"/>
        </w:rPr>
        <w:br w:type="page"/>
      </w:r>
    </w:p>
    <w:p w14:paraId="11273D3A">
      <w:pPr>
        <w:pStyle w:val="36"/>
        <w:rPr>
          <w:color w:val="auto"/>
          <w:highlight w:val="none"/>
        </w:rPr>
      </w:pPr>
      <w:bookmarkStart w:id="2" w:name="_Toc130804816"/>
      <w:r>
        <w:rPr>
          <w:rFonts w:hint="eastAsia" w:ascii="黑体" w:hAnsi="黑体" w:eastAsia="黑体"/>
          <w:b w:val="0"/>
          <w:color w:val="auto"/>
          <w:sz w:val="30"/>
          <w:szCs w:val="30"/>
          <w:highlight w:val="none"/>
        </w:rPr>
        <w:t>二、建设项目工程分析</w:t>
      </w:r>
      <w:bookmarkEnd w:id="2"/>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9501"/>
      </w:tblGrid>
      <w:tr w14:paraId="523B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Align w:val="center"/>
          </w:tcPr>
          <w:p w14:paraId="1D24F88A">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建设内容</w:t>
            </w:r>
          </w:p>
        </w:tc>
        <w:tc>
          <w:tcPr>
            <w:tcW w:w="4590" w:type="pct"/>
          </w:tcPr>
          <w:p w14:paraId="66F388D1">
            <w:pPr>
              <w:spacing w:line="360" w:lineRule="auto"/>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1、项目背景</w:t>
            </w:r>
          </w:p>
          <w:p w14:paraId="747E64CB">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马尔康市第二中学位于马尔康市达萨街439号，始建于1984年9月，由马尔康市教育局创办，学校总占地面积为15865m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，学校总建筑面积为18336.25m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，校内设置了教学楼1栋、综合楼1栋、教师周转房1栋、宿舍2栋、食堂1座。</w:t>
            </w:r>
          </w:p>
          <w:p w14:paraId="6EA05368">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当前，学校实验室设在教学楼一楼，仅有三间教室分别用于生物、物理、化学实验教学，存在面积严重不足、设施设备陈旧、安全条件薄弱等突出问题。现有环境远不能支撑国家课程标准所要求的实验内容，严重制约学生动手能力、科学素养和创新精神的培养，无法适应新时代立德树人、全面发展的育人目标。为此，加快推进现代化、多功能、安全规范的新实验楼建设，已成为学校提升教学质量、保障实验课程开足开好的紧迫任务。</w:t>
            </w:r>
          </w:p>
          <w:p w14:paraId="17581A24">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受</w:t>
            </w:r>
            <w:r>
              <w:rPr>
                <w:rFonts w:hint="eastAsia" w:ascii="Times New Roman" w:hAnsi="Times New Roman" w:cs="Times New Roman"/>
                <w:color w:val="auto"/>
                <w:sz w:val="24"/>
                <w:szCs w:val="24"/>
                <w:highlight w:val="none"/>
                <w:lang w:eastAsia="zh-CN"/>
              </w:rPr>
              <w:t>马尔康市教育局</w:t>
            </w:r>
            <w:r>
              <w:rPr>
                <w:rFonts w:hint="eastAsia" w:ascii="Times New Roman" w:hAnsi="Times New Roman" w:cs="Times New Roman"/>
                <w:color w:val="auto"/>
                <w:sz w:val="24"/>
                <w:szCs w:val="24"/>
                <w:highlight w:val="none"/>
              </w:rPr>
              <w:t>委托，我公司承接了本项目环境影响评价工作。接受委托后，我公司即刻成立了工作小组，组织相关技术人员，在现场调查和收集有关资料的基础上，本着“科学、公正、客观”的态度，编制了本项目的环境影响报告表。</w:t>
            </w:r>
          </w:p>
          <w:p w14:paraId="68E290C7">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lang w:val="en-US" w:eastAsia="zh-CN"/>
              </w:rPr>
              <w:t>1</w:t>
            </w: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rPr>
              <w:t>环评形式</w:t>
            </w:r>
          </w:p>
          <w:p w14:paraId="01C3C3C9">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对照《建设项目环境影响评价分类管理名录（2021年版）》，本项目环评形式应为报告表，具体情况如下。</w:t>
            </w:r>
          </w:p>
          <w:p w14:paraId="04965EEA">
            <w:pPr>
              <w:pStyle w:val="114"/>
              <w:bidi w:val="0"/>
              <w:rPr>
                <w:rFonts w:hint="eastAsia"/>
                <w:color w:val="auto"/>
              </w:rPr>
            </w:pPr>
            <w:r>
              <w:rPr>
                <w:rFonts w:hint="eastAsia"/>
                <w:color w:val="auto"/>
              </w:rPr>
              <w:t>环评形式判定情况</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2311"/>
              <w:gridCol w:w="1888"/>
              <w:gridCol w:w="2159"/>
              <w:gridCol w:w="1921"/>
            </w:tblGrid>
            <w:tr w14:paraId="39B02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5" w:type="pct"/>
                  <w:gridSpan w:val="2"/>
                  <w:tcBorders>
                    <w:tl2br w:val="single" w:color="auto" w:sz="4" w:space="0"/>
                  </w:tcBorders>
                  <w:vAlign w:val="center"/>
                </w:tcPr>
                <w:p w14:paraId="5DEA3866">
                  <w:pPr>
                    <w:autoSpaceDE w:val="0"/>
                    <w:autoSpaceDN w:val="0"/>
                    <w:adjustRightInd w:val="0"/>
                    <w:snapToGrid w:val="0"/>
                    <w:jc w:val="right"/>
                    <w:rPr>
                      <w:rFonts w:ascii="Times New Roman" w:hAnsi="Times New Roman" w:cs="Times New Roman"/>
                      <w:b/>
                      <w:bCs/>
                      <w:color w:val="auto"/>
                      <w:kern w:val="0"/>
                      <w:szCs w:val="21"/>
                      <w:highlight w:val="none"/>
                    </w:rPr>
                  </w:pPr>
                  <w:r>
                    <w:rPr>
                      <w:rFonts w:ascii="Times New Roman" w:hAnsi="Times New Roman" w:cs="Times New Roman"/>
                      <w:b/>
                      <w:bCs/>
                      <w:color w:val="auto"/>
                      <w:kern w:val="0"/>
                      <w:szCs w:val="21"/>
                      <w:highlight w:val="none"/>
                    </w:rPr>
                    <w:t>环评类别</w:t>
                  </w:r>
                </w:p>
                <w:p w14:paraId="4B3B44A9">
                  <w:pPr>
                    <w:autoSpaceDE w:val="0"/>
                    <w:autoSpaceDN w:val="0"/>
                    <w:adjustRightInd w:val="0"/>
                    <w:snapToGrid w:val="0"/>
                    <w:jc w:val="left"/>
                    <w:rPr>
                      <w:rFonts w:ascii="Times New Roman" w:hAnsi="Times New Roman" w:cs="Times New Roman"/>
                      <w:b/>
                      <w:bCs/>
                      <w:color w:val="auto"/>
                      <w:kern w:val="0"/>
                      <w:szCs w:val="21"/>
                      <w:highlight w:val="none"/>
                    </w:rPr>
                  </w:pPr>
                  <w:r>
                    <w:rPr>
                      <w:rFonts w:ascii="Times New Roman" w:hAnsi="Times New Roman" w:cs="Times New Roman"/>
                      <w:b/>
                      <w:bCs/>
                      <w:color w:val="auto"/>
                      <w:kern w:val="0"/>
                      <w:szCs w:val="21"/>
                      <w:highlight w:val="none"/>
                    </w:rPr>
                    <w:t>项目类别</w:t>
                  </w:r>
                </w:p>
              </w:tc>
              <w:tc>
                <w:tcPr>
                  <w:tcW w:w="1017" w:type="pct"/>
                  <w:vAlign w:val="center"/>
                </w:tcPr>
                <w:p w14:paraId="449673AA">
                  <w:pPr>
                    <w:autoSpaceDE w:val="0"/>
                    <w:autoSpaceDN w:val="0"/>
                    <w:adjustRightInd w:val="0"/>
                    <w:snapToGrid w:val="0"/>
                    <w:jc w:val="center"/>
                    <w:rPr>
                      <w:rFonts w:ascii="Times New Roman" w:hAnsi="Times New Roman" w:cs="Times New Roman"/>
                      <w:b/>
                      <w:bCs/>
                      <w:color w:val="auto"/>
                      <w:kern w:val="0"/>
                      <w:szCs w:val="21"/>
                      <w:highlight w:val="none"/>
                    </w:rPr>
                  </w:pPr>
                  <w:r>
                    <w:rPr>
                      <w:rFonts w:ascii="Times New Roman" w:hAnsi="Times New Roman" w:cs="Times New Roman"/>
                      <w:b/>
                      <w:bCs/>
                      <w:color w:val="auto"/>
                      <w:kern w:val="0"/>
                      <w:szCs w:val="21"/>
                      <w:highlight w:val="none"/>
                    </w:rPr>
                    <w:t>报告书</w:t>
                  </w:r>
                </w:p>
              </w:tc>
              <w:tc>
                <w:tcPr>
                  <w:tcW w:w="1163" w:type="pct"/>
                  <w:vAlign w:val="center"/>
                </w:tcPr>
                <w:p w14:paraId="52C9C24E">
                  <w:pPr>
                    <w:autoSpaceDE w:val="0"/>
                    <w:autoSpaceDN w:val="0"/>
                    <w:adjustRightInd w:val="0"/>
                    <w:snapToGrid w:val="0"/>
                    <w:jc w:val="center"/>
                    <w:rPr>
                      <w:rFonts w:ascii="Times New Roman" w:hAnsi="Times New Roman" w:cs="Times New Roman"/>
                      <w:b/>
                      <w:bCs/>
                      <w:color w:val="auto"/>
                      <w:kern w:val="0"/>
                      <w:szCs w:val="21"/>
                      <w:highlight w:val="none"/>
                    </w:rPr>
                  </w:pPr>
                  <w:r>
                    <w:rPr>
                      <w:rFonts w:ascii="Times New Roman" w:hAnsi="Times New Roman" w:cs="Times New Roman"/>
                      <w:b/>
                      <w:bCs/>
                      <w:color w:val="auto"/>
                      <w:kern w:val="0"/>
                      <w:szCs w:val="21"/>
                      <w:highlight w:val="none"/>
                    </w:rPr>
                    <w:t>报告表</w:t>
                  </w:r>
                </w:p>
              </w:tc>
              <w:tc>
                <w:tcPr>
                  <w:tcW w:w="1033" w:type="pct"/>
                  <w:tcBorders>
                    <w:tl2br w:val="nil"/>
                    <w:tr2bl w:val="nil"/>
                  </w:tcBorders>
                  <w:vAlign w:val="center"/>
                </w:tcPr>
                <w:p w14:paraId="40211DA5">
                  <w:pPr>
                    <w:autoSpaceDE w:val="0"/>
                    <w:autoSpaceDN w:val="0"/>
                    <w:adjustRightInd w:val="0"/>
                    <w:snapToGrid w:val="0"/>
                    <w:jc w:val="center"/>
                    <w:rPr>
                      <w:rFonts w:ascii="Times New Roman" w:hAnsi="Times New Roman" w:cs="Times New Roman"/>
                      <w:b/>
                      <w:bCs/>
                      <w:color w:val="auto"/>
                      <w:kern w:val="0"/>
                      <w:szCs w:val="21"/>
                      <w:highlight w:val="none"/>
                    </w:rPr>
                  </w:pPr>
                  <w:r>
                    <w:rPr>
                      <w:rFonts w:ascii="Times New Roman" w:hAnsi="Times New Roman" w:cs="Times New Roman"/>
                      <w:b/>
                      <w:bCs/>
                      <w:color w:val="auto"/>
                      <w:kern w:val="0"/>
                      <w:szCs w:val="21"/>
                      <w:highlight w:val="none"/>
                    </w:rPr>
                    <w:t>登记表</w:t>
                  </w:r>
                </w:p>
              </w:tc>
            </w:tr>
            <w:tr w14:paraId="67ECA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vAlign w:val="center"/>
                </w:tcPr>
                <w:p w14:paraId="728EB938">
                  <w:pPr>
                    <w:autoSpaceDE w:val="0"/>
                    <w:autoSpaceDN w:val="0"/>
                    <w:adjustRightInd w:val="0"/>
                    <w:snapToGrid w:val="0"/>
                    <w:jc w:val="left"/>
                    <w:rPr>
                      <w:rFonts w:hint="default" w:ascii="Times New Roman" w:hAnsi="Times New Roman" w:cs="Times New Roman" w:eastAsiaTheme="minorEastAsia"/>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五十</w:t>
                  </w:r>
                  <w:r>
                    <w:rPr>
                      <w:rFonts w:ascii="Times New Roman" w:hAnsi="Times New Roman" w:cs="Times New Roman"/>
                      <w:color w:val="auto"/>
                      <w:kern w:val="0"/>
                      <w:szCs w:val="21"/>
                      <w:highlight w:val="none"/>
                    </w:rPr>
                    <w:t>、</w:t>
                  </w:r>
                  <w:r>
                    <w:rPr>
                      <w:rFonts w:hint="eastAsia" w:ascii="Times New Roman" w:hAnsi="Times New Roman" w:cs="Times New Roman"/>
                      <w:color w:val="auto"/>
                      <w:kern w:val="0"/>
                      <w:szCs w:val="21"/>
                      <w:highlight w:val="none"/>
                      <w:lang w:val="en-US" w:eastAsia="zh-CN"/>
                    </w:rPr>
                    <w:t>社会事业与服务业</w:t>
                  </w:r>
                </w:p>
              </w:tc>
            </w:tr>
            <w:tr w14:paraId="66E29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tcBorders>
                    <w:tl2br w:val="nil"/>
                    <w:tr2bl w:val="nil"/>
                  </w:tcBorders>
                  <w:vAlign w:val="center"/>
                </w:tcPr>
                <w:p w14:paraId="5885A5AE">
                  <w:pPr>
                    <w:autoSpaceDE w:val="0"/>
                    <w:autoSpaceDN w:val="0"/>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110</w:t>
                  </w:r>
                </w:p>
              </w:tc>
              <w:tc>
                <w:tcPr>
                  <w:tcW w:w="1245" w:type="pct"/>
                  <w:tcBorders>
                    <w:tl2br w:val="nil"/>
                    <w:tr2bl w:val="nil"/>
                  </w:tcBorders>
                  <w:vAlign w:val="center"/>
                </w:tcPr>
                <w:p w14:paraId="4D926968">
                  <w:pPr>
                    <w:autoSpaceDE w:val="0"/>
                    <w:autoSpaceDN w:val="0"/>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学校、福利院、养老院（建筑面积5000平方米及以上的）</w:t>
                  </w:r>
                </w:p>
              </w:tc>
              <w:tc>
                <w:tcPr>
                  <w:tcW w:w="1017" w:type="pct"/>
                  <w:tcBorders>
                    <w:tl2br w:val="nil"/>
                    <w:tr2bl w:val="nil"/>
                  </w:tcBorders>
                  <w:vAlign w:val="center"/>
                </w:tcPr>
                <w:p w14:paraId="31D69F4E">
                  <w:pPr>
                    <w:autoSpaceDE w:val="0"/>
                    <w:autoSpaceDN w:val="0"/>
                    <w:adjustRightInd w:val="0"/>
                    <w:snapToGrid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1163" w:type="pct"/>
                  <w:tcBorders>
                    <w:tl2br w:val="nil"/>
                    <w:tr2bl w:val="nil"/>
                  </w:tcBorders>
                  <w:vAlign w:val="center"/>
                </w:tcPr>
                <w:p w14:paraId="447D5779">
                  <w:pPr>
                    <w:autoSpaceDE w:val="0"/>
                    <w:autoSpaceDN w:val="0"/>
                    <w:adjustRightInd w:val="0"/>
                    <w:snapToGrid w:val="0"/>
                    <w:jc w:val="center"/>
                    <w:rPr>
                      <w:rFonts w:hint="default" w:ascii="Times New Roman" w:hAnsi="Times New Roman" w:cs="Times New Roman" w:eastAsiaTheme="minorEastAsia"/>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新建涉及环境敏感区的；有化学、生物实验室的学校</w:t>
                  </w:r>
                </w:p>
              </w:tc>
              <w:tc>
                <w:tcPr>
                  <w:tcW w:w="1033" w:type="pct"/>
                  <w:tcBorders>
                    <w:tl2br w:val="nil"/>
                    <w:tr2bl w:val="nil"/>
                  </w:tcBorders>
                  <w:vAlign w:val="center"/>
                </w:tcPr>
                <w:p w14:paraId="516C1B00">
                  <w:pPr>
                    <w:autoSpaceDE w:val="0"/>
                    <w:autoSpaceDN w:val="0"/>
                    <w:adjustRightInd w:val="0"/>
                    <w:snapToGrid w:val="0"/>
                    <w:jc w:val="center"/>
                    <w:rPr>
                      <w:rFonts w:hint="eastAsia" w:ascii="Times New Roman" w:hAnsi="Times New Roman" w:cs="Times New Roman" w:eastAsiaTheme="minorEastAsia"/>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w:t>
                  </w:r>
                </w:p>
              </w:tc>
            </w:tr>
          </w:tbl>
          <w:p w14:paraId="6CB9FE61">
            <w:pPr>
              <w:spacing w:line="360" w:lineRule="auto"/>
              <w:ind w:firstLine="480" w:firstLineChars="200"/>
              <w:rPr>
                <w:rFonts w:ascii="Times New Roman" w:hAnsi="Times New Roman" w:eastAsia="宋体" w:cs="Times New Roman"/>
                <w:color w:val="auto"/>
                <w:kern w:val="0"/>
                <w:sz w:val="24"/>
                <w:szCs w:val="24"/>
                <w:highlight w:val="none"/>
              </w:rPr>
            </w:pPr>
            <w:r>
              <w:rPr>
                <w:rFonts w:hint="eastAsia" w:ascii="Times New Roman" w:hAnsi="Times New Roman" w:cs="Times New Roman"/>
                <w:color w:val="auto"/>
                <w:sz w:val="24"/>
                <w:szCs w:val="24"/>
                <w:highlight w:val="none"/>
              </w:rPr>
              <w:t>本项目为</w:t>
            </w:r>
            <w:r>
              <w:rPr>
                <w:rFonts w:hint="eastAsia" w:ascii="Times New Roman" w:hAnsi="Times New Roman" w:cs="Times New Roman"/>
                <w:color w:val="auto"/>
                <w:sz w:val="24"/>
                <w:szCs w:val="24"/>
                <w:highlight w:val="none"/>
                <w:lang w:eastAsia="zh-CN"/>
              </w:rPr>
              <w:t>阿坝州马尔康市第二中学校实验楼建设项目</w:t>
            </w:r>
            <w:r>
              <w:rPr>
                <w:rFonts w:hint="eastAsia" w:ascii="Times New Roman" w:hAnsi="Times New Roman" w:cs="Times New Roman"/>
                <w:color w:val="auto"/>
                <w:sz w:val="24"/>
                <w:szCs w:val="24"/>
                <w:highlight w:val="none"/>
              </w:rPr>
              <w:t>，属于《建设项目环境影响评价分类管理名录（2021年版）》中“</w:t>
            </w:r>
            <w:r>
              <w:rPr>
                <w:rFonts w:hint="eastAsia" w:ascii="Times New Roman" w:hAnsi="Times New Roman" w:cs="Times New Roman"/>
                <w:color w:val="auto"/>
                <w:sz w:val="24"/>
                <w:szCs w:val="24"/>
                <w:highlight w:val="none"/>
                <w:lang w:val="en-US" w:eastAsia="zh-CN"/>
              </w:rPr>
              <w:t>五十</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社会事业与服务业 110 学校、福利院、养老院（建筑面积5000平方以上的） 新建涉及环境敏感区的；</w:t>
            </w:r>
            <w:r>
              <w:rPr>
                <w:rFonts w:hint="eastAsia" w:ascii="Times New Roman" w:hAnsi="Times New Roman" w:cs="Times New Roman"/>
                <w:b/>
                <w:bCs/>
                <w:color w:val="auto"/>
                <w:sz w:val="24"/>
                <w:szCs w:val="24"/>
                <w:highlight w:val="none"/>
                <w:lang w:val="en-US" w:eastAsia="zh-CN"/>
              </w:rPr>
              <w:t>有化学、生物实验室的学校</w:t>
            </w:r>
            <w:r>
              <w:rPr>
                <w:rFonts w:hint="eastAsia" w:ascii="Times New Roman" w:hAnsi="Times New Roman" w:cs="Times New Roman"/>
                <w:color w:val="auto"/>
                <w:sz w:val="24"/>
                <w:szCs w:val="24"/>
                <w:highlight w:val="none"/>
              </w:rPr>
              <w:t>”，因此本项目应编制环境影响报告表。</w:t>
            </w:r>
          </w:p>
          <w:p w14:paraId="7550A0EA">
            <w:pPr>
              <w:spacing w:line="360" w:lineRule="auto"/>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2</w:t>
            </w:r>
            <w:r>
              <w:rPr>
                <w:rFonts w:ascii="Times New Roman" w:hAnsi="Times New Roman" w:cs="Times New Roman"/>
                <w:b/>
                <w:bCs/>
                <w:color w:val="auto"/>
                <w:sz w:val="24"/>
                <w:szCs w:val="24"/>
                <w:highlight w:val="none"/>
              </w:rPr>
              <w:t>、项目概况</w:t>
            </w:r>
          </w:p>
          <w:p w14:paraId="0EC5A4C2">
            <w:pPr>
              <w:spacing w:line="360" w:lineRule="auto"/>
              <w:ind w:firstLine="482" w:firstLineChars="200"/>
              <w:rPr>
                <w:rFonts w:hint="eastAsia" w:ascii="Times New Roman" w:hAnsi="Times New Roman" w:cs="Times New Roman" w:eastAsiaTheme="minorEastAsia"/>
                <w:color w:val="auto"/>
                <w:sz w:val="24"/>
                <w:szCs w:val="24"/>
                <w:highlight w:val="none"/>
                <w:lang w:eastAsia="zh-CN"/>
              </w:rPr>
            </w:pPr>
            <w:r>
              <w:rPr>
                <w:rFonts w:ascii="Times New Roman" w:hAnsi="Times New Roman" w:cs="Times New Roman"/>
                <w:b/>
                <w:color w:val="auto"/>
                <w:sz w:val="24"/>
                <w:szCs w:val="24"/>
                <w:highlight w:val="none"/>
              </w:rPr>
              <w:t>项目名称：</w:t>
            </w:r>
            <w:r>
              <w:rPr>
                <w:rFonts w:hint="eastAsia" w:ascii="Times New Roman" w:hAnsi="Times New Roman" w:cs="Times New Roman"/>
                <w:color w:val="auto"/>
                <w:sz w:val="24"/>
                <w:szCs w:val="24"/>
                <w:highlight w:val="none"/>
                <w:lang w:eastAsia="zh-CN"/>
              </w:rPr>
              <w:t>阿坝州马尔康市第二中学校实验楼建设项目</w:t>
            </w:r>
          </w:p>
          <w:p w14:paraId="798A876E">
            <w:pPr>
              <w:spacing w:line="360" w:lineRule="auto"/>
              <w:ind w:firstLine="482" w:firstLineChars="200"/>
              <w:rPr>
                <w:rFonts w:hint="eastAsia" w:ascii="Times New Roman" w:hAnsi="Times New Roman" w:cs="Times New Roman" w:eastAsiaTheme="minorEastAsia"/>
                <w:color w:val="auto"/>
                <w:sz w:val="24"/>
                <w:szCs w:val="24"/>
                <w:highlight w:val="none"/>
                <w:lang w:eastAsia="zh-CN"/>
              </w:rPr>
            </w:pPr>
            <w:r>
              <w:rPr>
                <w:rFonts w:ascii="Times New Roman" w:hAnsi="Times New Roman" w:cs="Times New Roman"/>
                <w:b/>
                <w:color w:val="auto"/>
                <w:sz w:val="24"/>
                <w:szCs w:val="24"/>
                <w:highlight w:val="none"/>
              </w:rPr>
              <w:t>建设单位：</w:t>
            </w:r>
            <w:r>
              <w:rPr>
                <w:rFonts w:hint="eastAsia" w:ascii="Times New Roman" w:hAnsi="Times New Roman" w:cs="Times New Roman"/>
                <w:color w:val="auto"/>
                <w:sz w:val="24"/>
                <w:szCs w:val="24"/>
                <w:highlight w:val="none"/>
                <w:lang w:eastAsia="zh-CN"/>
              </w:rPr>
              <w:t>马尔康市教育局</w:t>
            </w:r>
          </w:p>
          <w:p w14:paraId="3876AD18">
            <w:pPr>
              <w:spacing w:line="360" w:lineRule="auto"/>
              <w:ind w:firstLine="482" w:firstLineChars="200"/>
              <w:rPr>
                <w:rFonts w:hint="eastAsia" w:ascii="Times New Roman" w:hAnsi="Times New Roman" w:cs="Times New Roman" w:eastAsiaTheme="minorEastAsia"/>
                <w:color w:val="auto"/>
                <w:sz w:val="24"/>
                <w:szCs w:val="24"/>
                <w:highlight w:val="none"/>
                <w:lang w:eastAsia="zh-CN"/>
              </w:rPr>
            </w:pPr>
            <w:r>
              <w:rPr>
                <w:rFonts w:ascii="Times New Roman" w:hAnsi="Times New Roman" w:cs="Times New Roman"/>
                <w:b/>
                <w:color w:val="auto"/>
                <w:sz w:val="24"/>
                <w:szCs w:val="24"/>
                <w:highlight w:val="none"/>
              </w:rPr>
              <w:t>项目性质：</w:t>
            </w:r>
            <w:r>
              <w:rPr>
                <w:rFonts w:hint="eastAsia" w:ascii="Times New Roman" w:hAnsi="Times New Roman" w:cs="Times New Roman"/>
                <w:b w:val="0"/>
                <w:bCs/>
                <w:color w:val="auto"/>
                <w:sz w:val="24"/>
                <w:szCs w:val="24"/>
                <w:highlight w:val="none"/>
                <w:lang w:val="en-US" w:eastAsia="zh-CN"/>
              </w:rPr>
              <w:t>改</w:t>
            </w:r>
            <w:r>
              <w:rPr>
                <w:rFonts w:hint="eastAsia" w:ascii="Times New Roman" w:hAnsi="Times New Roman" w:cs="Times New Roman"/>
                <w:color w:val="auto"/>
                <w:sz w:val="24"/>
                <w:szCs w:val="24"/>
                <w:highlight w:val="none"/>
              </w:rPr>
              <w:t>建</w:t>
            </w:r>
          </w:p>
          <w:p w14:paraId="045403A4">
            <w:pPr>
              <w:spacing w:line="360" w:lineRule="auto"/>
              <w:ind w:firstLine="482" w:firstLineChars="200"/>
              <w:rPr>
                <w:rFonts w:hint="eastAsia" w:ascii="Times New Roman" w:hAnsi="Times New Roman" w:cs="Times New Roman" w:eastAsiaTheme="minorEastAsia"/>
                <w:color w:val="auto"/>
                <w:sz w:val="24"/>
                <w:szCs w:val="24"/>
                <w:highlight w:val="none"/>
                <w:lang w:eastAsia="zh-CN"/>
              </w:rPr>
            </w:pPr>
            <w:r>
              <w:rPr>
                <w:rFonts w:ascii="Times New Roman" w:hAnsi="Times New Roman" w:cs="Times New Roman"/>
                <w:b/>
                <w:color w:val="auto"/>
                <w:sz w:val="24"/>
                <w:szCs w:val="24"/>
                <w:highlight w:val="none"/>
              </w:rPr>
              <w:t>建设地点：</w:t>
            </w:r>
            <w:r>
              <w:rPr>
                <w:rFonts w:hint="eastAsia" w:ascii="Times New Roman" w:hAnsi="Times New Roman" w:cs="Times New Roman"/>
                <w:b w:val="0"/>
                <w:bCs/>
                <w:color w:val="auto"/>
                <w:sz w:val="24"/>
                <w:szCs w:val="24"/>
                <w:highlight w:val="none"/>
                <w:lang w:val="en-US" w:eastAsia="zh-CN"/>
              </w:rPr>
              <w:t>四川省</w:t>
            </w:r>
            <w:r>
              <w:rPr>
                <w:rFonts w:hint="eastAsia" w:ascii="Times New Roman" w:hAnsi="Times New Roman" w:cs="Times New Roman"/>
                <w:color w:val="auto"/>
                <w:sz w:val="24"/>
                <w:szCs w:val="24"/>
                <w:highlight w:val="none"/>
                <w:lang w:eastAsia="zh-CN"/>
              </w:rPr>
              <w:t>马尔康市达萨街439号</w:t>
            </w:r>
          </w:p>
          <w:p w14:paraId="4E632264">
            <w:pPr>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color w:val="auto"/>
                <w:sz w:val="24"/>
                <w:szCs w:val="24"/>
                <w:highlight w:val="none"/>
              </w:rPr>
              <w:t>项目投资：</w:t>
            </w:r>
            <w:r>
              <w:rPr>
                <w:rFonts w:hint="eastAsia" w:ascii="Times New Roman" w:hAnsi="Times New Roman" w:eastAsia="宋体" w:cs="Times New Roman"/>
                <w:bCs/>
                <w:color w:val="auto"/>
                <w:sz w:val="24"/>
                <w:szCs w:val="24"/>
                <w:highlight w:val="none"/>
                <w:lang w:val="en-US" w:eastAsia="zh-CN"/>
              </w:rPr>
              <w:t>1000</w:t>
            </w:r>
            <w:r>
              <w:rPr>
                <w:rFonts w:hint="default" w:ascii="Times New Roman" w:hAnsi="Times New Roman" w:eastAsia="宋体" w:cs="Times New Roman"/>
                <w:color w:val="auto"/>
                <w:sz w:val="24"/>
                <w:szCs w:val="24"/>
                <w:highlight w:val="none"/>
              </w:rPr>
              <w:t>万元</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其中环保投资</w:t>
            </w:r>
            <w:r>
              <w:rPr>
                <w:rFonts w:hint="eastAsia" w:ascii="Times New Roman" w:hAnsi="Times New Roman" w:eastAsia="宋体" w:cs="Times New Roman"/>
                <w:color w:val="auto"/>
                <w:sz w:val="24"/>
                <w:szCs w:val="24"/>
                <w:lang w:val="en-US" w:eastAsia="zh-CN"/>
              </w:rPr>
              <w:t>45</w:t>
            </w:r>
            <w:r>
              <w:rPr>
                <w:rFonts w:hint="default" w:ascii="Times New Roman" w:hAnsi="Times New Roman" w:eastAsia="宋体" w:cs="Times New Roman"/>
                <w:color w:val="auto"/>
                <w:sz w:val="24"/>
                <w:szCs w:val="24"/>
                <w:lang w:val="en-US" w:eastAsia="zh-CN"/>
              </w:rPr>
              <w:t>万元，占总投资</w:t>
            </w:r>
            <w:r>
              <w:rPr>
                <w:rFonts w:hint="eastAsia" w:ascii="Times New Roman" w:hAnsi="Times New Roman" w:eastAsia="宋体" w:cs="Times New Roman"/>
                <w:color w:val="auto"/>
                <w:sz w:val="24"/>
                <w:szCs w:val="24"/>
                <w:lang w:val="en-US" w:eastAsia="zh-CN"/>
              </w:rPr>
              <w:t>4.5</w:t>
            </w:r>
            <w:r>
              <w:rPr>
                <w:rFonts w:hint="default" w:ascii="Times New Roman" w:hAnsi="Times New Roman" w:eastAsia="宋体" w:cs="Times New Roman"/>
                <w:color w:val="auto"/>
                <w:sz w:val="24"/>
                <w:szCs w:val="24"/>
                <w:lang w:val="en-US" w:eastAsia="zh-CN"/>
              </w:rPr>
              <w:t>%。</w:t>
            </w:r>
          </w:p>
          <w:p w14:paraId="2AF2D133">
            <w:pPr>
              <w:spacing w:line="360" w:lineRule="auto"/>
              <w:ind w:firstLine="482" w:firstLineChars="200"/>
              <w:rPr>
                <w:rFonts w:hint="eastAsia" w:ascii="Times New Roman" w:hAnsi="Times New Roman" w:cs="Times New Roman" w:eastAsiaTheme="minorEastAsia"/>
                <w:b/>
                <w:bCs/>
                <w:color w:val="auto"/>
                <w:sz w:val="24"/>
                <w:szCs w:val="24"/>
                <w:highlight w:val="none"/>
                <w:lang w:eastAsia="zh-CN"/>
              </w:rPr>
            </w:pPr>
            <w:r>
              <w:rPr>
                <w:rFonts w:ascii="Times New Roman" w:hAnsi="Times New Roman" w:cs="Times New Roman"/>
                <w:b/>
                <w:bCs/>
                <w:color w:val="auto"/>
                <w:sz w:val="24"/>
                <w:szCs w:val="24"/>
                <w:highlight w:val="none"/>
              </w:rPr>
              <w:t>建设内容及规模</w:t>
            </w: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新建实验楼2000m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及配套附属设施等。</w:t>
            </w:r>
          </w:p>
          <w:p w14:paraId="341ED31C">
            <w:pPr>
              <w:spacing w:line="360" w:lineRule="auto"/>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3</w:t>
            </w:r>
            <w:r>
              <w:rPr>
                <w:rFonts w:hint="eastAsia" w:ascii="Times New Roman" w:hAnsi="Times New Roman" w:cs="Times New Roman"/>
                <w:b/>
                <w:bCs/>
                <w:color w:val="auto"/>
                <w:sz w:val="24"/>
                <w:szCs w:val="24"/>
                <w:highlight w:val="none"/>
              </w:rPr>
              <w:t>、项目组成及主要环境问题</w:t>
            </w:r>
          </w:p>
          <w:p w14:paraId="70A81783">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本项目组成及涉及的主要环境问题详见下表。</w:t>
            </w:r>
          </w:p>
          <w:p w14:paraId="5E267A30">
            <w:pPr>
              <w:pStyle w:val="114"/>
              <w:bidi w:val="0"/>
              <w:rPr>
                <w:color w:val="auto"/>
              </w:rPr>
            </w:pPr>
            <w:r>
              <w:rPr>
                <w:color w:val="auto"/>
              </w:rPr>
              <w:t>项目组成及主要环境问题</w:t>
            </w:r>
          </w:p>
          <w:tbl>
            <w:tblPr>
              <w:tblStyle w:val="4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89"/>
              <w:gridCol w:w="1424"/>
              <w:gridCol w:w="4065"/>
              <w:gridCol w:w="1082"/>
              <w:gridCol w:w="1006"/>
              <w:gridCol w:w="1112"/>
            </w:tblGrid>
            <w:tr w14:paraId="0F40B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vMerge w:val="restart"/>
                  <w:tcBorders>
                    <w:tl2br w:val="nil"/>
                    <w:tr2bl w:val="nil"/>
                  </w:tcBorders>
                  <w:vAlign w:val="center"/>
                </w:tcPr>
                <w:p w14:paraId="22B6AC15">
                  <w:pPr>
                    <w:pStyle w:val="67"/>
                    <w:spacing w:beforeLines="0" w:afterLines="0" w:line="240" w:lineRule="auto"/>
                    <w:rPr>
                      <w:rFonts w:ascii="Times New Roman" w:hAnsi="Times New Roman" w:cs="Times New Roman"/>
                      <w:b/>
                      <w:color w:val="auto"/>
                      <w:szCs w:val="21"/>
                      <w:highlight w:val="none"/>
                    </w:rPr>
                  </w:pPr>
                  <w:r>
                    <w:rPr>
                      <w:rFonts w:ascii="Times New Roman" w:hAnsi="Times New Roman" w:cs="Times New Roman"/>
                      <w:b/>
                      <w:color w:val="auto"/>
                      <w:szCs w:val="21"/>
                      <w:highlight w:val="none"/>
                    </w:rPr>
                    <w:t>名称</w:t>
                  </w:r>
                </w:p>
              </w:tc>
              <w:tc>
                <w:tcPr>
                  <w:tcW w:w="2957" w:type="pct"/>
                  <w:gridSpan w:val="2"/>
                  <w:vMerge w:val="restart"/>
                  <w:tcBorders>
                    <w:tl2br w:val="nil"/>
                    <w:tr2bl w:val="nil"/>
                  </w:tcBorders>
                  <w:vAlign w:val="center"/>
                </w:tcPr>
                <w:p w14:paraId="64FB6631">
                  <w:pPr>
                    <w:pStyle w:val="67"/>
                    <w:spacing w:beforeLines="0" w:afterLines="0" w:line="240" w:lineRule="auto"/>
                    <w:rPr>
                      <w:rFonts w:ascii="Times New Roman" w:hAnsi="Times New Roman" w:cs="Times New Roman"/>
                      <w:b/>
                      <w:color w:val="auto"/>
                      <w:szCs w:val="21"/>
                      <w:highlight w:val="none"/>
                    </w:rPr>
                  </w:pPr>
                  <w:r>
                    <w:rPr>
                      <w:rFonts w:ascii="Times New Roman" w:hAnsi="Times New Roman" w:cs="Times New Roman"/>
                      <w:b/>
                      <w:color w:val="auto"/>
                      <w:szCs w:val="21"/>
                      <w:highlight w:val="none"/>
                    </w:rPr>
                    <w:t>主要建设内容及规模</w:t>
                  </w:r>
                </w:p>
              </w:tc>
              <w:tc>
                <w:tcPr>
                  <w:tcW w:w="1125" w:type="pct"/>
                  <w:gridSpan w:val="2"/>
                  <w:tcBorders>
                    <w:tl2br w:val="nil"/>
                    <w:tr2bl w:val="nil"/>
                  </w:tcBorders>
                  <w:vAlign w:val="center"/>
                </w:tcPr>
                <w:p w14:paraId="4696B2E1">
                  <w:pPr>
                    <w:pStyle w:val="67"/>
                    <w:spacing w:beforeLines="0" w:afterLines="0" w:line="240" w:lineRule="auto"/>
                    <w:rPr>
                      <w:rFonts w:ascii="Times New Roman" w:hAnsi="Times New Roman" w:cs="Times New Roman"/>
                      <w:b/>
                      <w:color w:val="auto"/>
                      <w:szCs w:val="21"/>
                      <w:highlight w:val="none"/>
                    </w:rPr>
                  </w:pPr>
                  <w:r>
                    <w:rPr>
                      <w:rFonts w:ascii="Times New Roman" w:hAnsi="Times New Roman" w:cs="Times New Roman"/>
                      <w:b/>
                      <w:color w:val="auto"/>
                      <w:szCs w:val="21"/>
                      <w:highlight w:val="none"/>
                    </w:rPr>
                    <w:t>主要环境问题</w:t>
                  </w:r>
                </w:p>
              </w:tc>
              <w:tc>
                <w:tcPr>
                  <w:tcW w:w="599" w:type="pct"/>
                  <w:vMerge w:val="restart"/>
                  <w:tcBorders>
                    <w:tl2br w:val="nil"/>
                    <w:tr2bl w:val="nil"/>
                  </w:tcBorders>
                  <w:vAlign w:val="center"/>
                </w:tcPr>
                <w:p w14:paraId="17879AEC">
                  <w:pPr>
                    <w:pStyle w:val="67"/>
                    <w:spacing w:beforeLines="0" w:afterLines="0" w:line="240" w:lineRule="auto"/>
                    <w:rPr>
                      <w:rFonts w:ascii="Times New Roman" w:hAnsi="Times New Roman" w:cs="Times New Roman"/>
                      <w:b/>
                      <w:color w:val="auto"/>
                      <w:szCs w:val="21"/>
                      <w:highlight w:val="none"/>
                    </w:rPr>
                  </w:pPr>
                  <w:r>
                    <w:rPr>
                      <w:rFonts w:ascii="Times New Roman" w:hAnsi="Times New Roman" w:cs="Times New Roman"/>
                      <w:b/>
                      <w:color w:val="auto"/>
                      <w:szCs w:val="21"/>
                      <w:highlight w:val="none"/>
                    </w:rPr>
                    <w:t>备注</w:t>
                  </w:r>
                </w:p>
              </w:tc>
            </w:tr>
            <w:tr w14:paraId="5162E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18" w:type="pct"/>
                  <w:vMerge w:val="continue"/>
                  <w:tcBorders>
                    <w:tl2br w:val="nil"/>
                    <w:tr2bl w:val="nil"/>
                  </w:tcBorders>
                  <w:vAlign w:val="center"/>
                </w:tcPr>
                <w:p w14:paraId="02938783">
                  <w:pPr>
                    <w:pStyle w:val="67"/>
                    <w:spacing w:beforeLines="0" w:afterLines="0" w:line="240" w:lineRule="auto"/>
                    <w:rPr>
                      <w:rFonts w:ascii="Times New Roman" w:hAnsi="Times New Roman" w:cs="Times New Roman"/>
                      <w:b/>
                      <w:color w:val="auto"/>
                      <w:szCs w:val="21"/>
                      <w:highlight w:val="none"/>
                    </w:rPr>
                  </w:pPr>
                </w:p>
              </w:tc>
              <w:tc>
                <w:tcPr>
                  <w:tcW w:w="2957" w:type="pct"/>
                  <w:gridSpan w:val="2"/>
                  <w:vMerge w:val="continue"/>
                  <w:tcBorders>
                    <w:tl2br w:val="nil"/>
                    <w:tr2bl w:val="nil"/>
                  </w:tcBorders>
                  <w:vAlign w:val="center"/>
                </w:tcPr>
                <w:p w14:paraId="6334B2B7">
                  <w:pPr>
                    <w:pStyle w:val="67"/>
                    <w:spacing w:beforeLines="0" w:afterLines="0" w:line="240" w:lineRule="auto"/>
                    <w:rPr>
                      <w:rFonts w:ascii="Times New Roman" w:hAnsi="Times New Roman" w:cs="Times New Roman"/>
                      <w:b/>
                      <w:color w:val="auto"/>
                      <w:szCs w:val="21"/>
                      <w:highlight w:val="none"/>
                    </w:rPr>
                  </w:pPr>
                </w:p>
              </w:tc>
              <w:tc>
                <w:tcPr>
                  <w:tcW w:w="583" w:type="pct"/>
                  <w:tcBorders>
                    <w:tl2br w:val="nil"/>
                    <w:tr2bl w:val="nil"/>
                  </w:tcBorders>
                  <w:vAlign w:val="center"/>
                </w:tcPr>
                <w:p w14:paraId="560577D5">
                  <w:pPr>
                    <w:pStyle w:val="67"/>
                    <w:spacing w:beforeLines="0" w:afterLines="0" w:line="240" w:lineRule="auto"/>
                    <w:rPr>
                      <w:rFonts w:ascii="Times New Roman" w:hAnsi="Times New Roman" w:cs="Times New Roman"/>
                      <w:b/>
                      <w:color w:val="auto"/>
                      <w:szCs w:val="21"/>
                      <w:highlight w:val="none"/>
                    </w:rPr>
                  </w:pPr>
                  <w:r>
                    <w:rPr>
                      <w:rFonts w:ascii="Times New Roman" w:hAnsi="Times New Roman" w:cs="Times New Roman"/>
                      <w:b/>
                      <w:color w:val="auto"/>
                      <w:szCs w:val="21"/>
                      <w:highlight w:val="none"/>
                    </w:rPr>
                    <w:t>施工期</w:t>
                  </w:r>
                </w:p>
              </w:tc>
              <w:tc>
                <w:tcPr>
                  <w:tcW w:w="541" w:type="pct"/>
                  <w:tcBorders>
                    <w:tl2br w:val="nil"/>
                    <w:tr2bl w:val="nil"/>
                  </w:tcBorders>
                  <w:vAlign w:val="center"/>
                </w:tcPr>
                <w:p w14:paraId="7A871B82">
                  <w:pPr>
                    <w:pStyle w:val="67"/>
                    <w:spacing w:beforeLines="0" w:afterLines="0" w:line="240" w:lineRule="auto"/>
                    <w:rPr>
                      <w:rFonts w:ascii="Times New Roman" w:hAnsi="Times New Roman" w:cs="Times New Roman"/>
                      <w:b/>
                      <w:color w:val="auto"/>
                      <w:szCs w:val="21"/>
                      <w:highlight w:val="none"/>
                    </w:rPr>
                  </w:pPr>
                  <w:r>
                    <w:rPr>
                      <w:rFonts w:ascii="Times New Roman" w:hAnsi="Times New Roman" w:cs="Times New Roman"/>
                      <w:b/>
                      <w:color w:val="auto"/>
                      <w:szCs w:val="21"/>
                      <w:highlight w:val="none"/>
                    </w:rPr>
                    <w:t>运营期</w:t>
                  </w:r>
                </w:p>
              </w:tc>
              <w:tc>
                <w:tcPr>
                  <w:tcW w:w="599" w:type="pct"/>
                  <w:vMerge w:val="continue"/>
                  <w:tcBorders>
                    <w:tl2br w:val="nil"/>
                    <w:tr2bl w:val="nil"/>
                  </w:tcBorders>
                  <w:vAlign w:val="center"/>
                </w:tcPr>
                <w:p w14:paraId="707DE6E0">
                  <w:pPr>
                    <w:pStyle w:val="67"/>
                    <w:spacing w:beforeLines="0" w:afterLines="0" w:line="240" w:lineRule="auto"/>
                    <w:rPr>
                      <w:rFonts w:ascii="Times New Roman" w:hAnsi="Times New Roman" w:cs="Times New Roman"/>
                      <w:b/>
                      <w:color w:val="auto"/>
                      <w:szCs w:val="21"/>
                      <w:highlight w:val="none"/>
                    </w:rPr>
                  </w:pPr>
                </w:p>
              </w:tc>
            </w:tr>
            <w:tr w14:paraId="640CB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vMerge w:val="restart"/>
                  <w:tcBorders>
                    <w:tl2br w:val="nil"/>
                    <w:tr2bl w:val="nil"/>
                  </w:tcBorders>
                  <w:vAlign w:val="center"/>
                </w:tcPr>
                <w:p w14:paraId="6B1E8E72">
                  <w:pPr>
                    <w:pStyle w:val="67"/>
                    <w:spacing w:beforeLines="0" w:afterLines="0" w:line="240" w:lineRule="auto"/>
                    <w:rPr>
                      <w:rFonts w:ascii="Times New Roman" w:hAnsi="Times New Roman" w:cs="Times New Roman"/>
                      <w:color w:val="auto"/>
                      <w:szCs w:val="21"/>
                      <w:highlight w:val="none"/>
                    </w:rPr>
                  </w:pPr>
                  <w:r>
                    <w:rPr>
                      <w:rFonts w:ascii="Times New Roman" w:hAnsi="Times New Roman" w:cs="Times New Roman"/>
                      <w:bCs/>
                      <w:color w:val="auto"/>
                      <w:szCs w:val="21"/>
                      <w:highlight w:val="none"/>
                    </w:rPr>
                    <w:t>主体工程</w:t>
                  </w:r>
                </w:p>
              </w:tc>
              <w:tc>
                <w:tcPr>
                  <w:tcW w:w="767" w:type="pct"/>
                  <w:tcBorders>
                    <w:tl2br w:val="nil"/>
                    <w:tr2bl w:val="nil"/>
                  </w:tcBorders>
                  <w:vAlign w:val="center"/>
                </w:tcPr>
                <w:p w14:paraId="4D13348E">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化学实验室</w:t>
                  </w:r>
                </w:p>
              </w:tc>
              <w:tc>
                <w:tcPr>
                  <w:tcW w:w="2189" w:type="pct"/>
                  <w:tcBorders>
                    <w:tl2br w:val="nil"/>
                    <w:tr2bl w:val="nil"/>
                  </w:tcBorders>
                  <w:vAlign w:val="center"/>
                </w:tcPr>
                <w:p w14:paraId="74986A96">
                  <w:pPr>
                    <w:pStyle w:val="18"/>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2层，位于实验楼1F~2F，设置了化学实验室、实验准备室、药品及仪器室、卫生间，单间实验室面积约180m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cs="Times New Roman"/>
                      <w:color w:val="auto"/>
                      <w:szCs w:val="21"/>
                      <w:highlight w:val="none"/>
                      <w:lang w:val="en-US" w:eastAsia="zh-CN"/>
                    </w:rPr>
                    <w:t>，单间实验室可同时容纳50名学生开展实验学习。</w:t>
                  </w:r>
                </w:p>
              </w:tc>
              <w:tc>
                <w:tcPr>
                  <w:tcW w:w="583" w:type="pct"/>
                  <w:vMerge w:val="restart"/>
                  <w:tcBorders>
                    <w:tl2br w:val="nil"/>
                    <w:tr2bl w:val="nil"/>
                  </w:tcBorders>
                  <w:vAlign w:val="center"/>
                </w:tcPr>
                <w:p w14:paraId="1CF7F0D9">
                  <w:pPr>
                    <w:pStyle w:val="67"/>
                    <w:spacing w:beforeLines="0" w:afterLines="0" w:line="24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施工废水</w:t>
                  </w:r>
                </w:p>
                <w:p w14:paraId="5B664683">
                  <w:pPr>
                    <w:pStyle w:val="67"/>
                    <w:spacing w:beforeLines="0" w:afterLines="0" w:line="24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施工废气</w:t>
                  </w:r>
                </w:p>
                <w:p w14:paraId="1D642F12">
                  <w:pPr>
                    <w:pStyle w:val="67"/>
                    <w:spacing w:beforeLines="0" w:afterLines="0" w:line="24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施工噪声</w:t>
                  </w:r>
                </w:p>
                <w:p w14:paraId="5A90DAA1">
                  <w:pPr>
                    <w:pStyle w:val="67"/>
                    <w:spacing w:beforeLines="0" w:afterLines="0" w:line="24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施工固废</w:t>
                  </w:r>
                </w:p>
              </w:tc>
              <w:tc>
                <w:tcPr>
                  <w:tcW w:w="541" w:type="pct"/>
                  <w:tcBorders>
                    <w:tl2br w:val="nil"/>
                    <w:tr2bl w:val="nil"/>
                  </w:tcBorders>
                  <w:vAlign w:val="center"/>
                </w:tcPr>
                <w:p w14:paraId="342EA4E7">
                  <w:pPr>
                    <w:pStyle w:val="67"/>
                    <w:spacing w:beforeLines="0" w:afterLines="0" w:line="240" w:lineRule="auto"/>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废气、废水、噪声、固废</w:t>
                  </w:r>
                </w:p>
              </w:tc>
              <w:tc>
                <w:tcPr>
                  <w:tcW w:w="599" w:type="pct"/>
                  <w:vMerge w:val="restart"/>
                  <w:tcBorders>
                    <w:tl2br w:val="nil"/>
                    <w:tr2bl w:val="nil"/>
                  </w:tcBorders>
                  <w:vAlign w:val="center"/>
                </w:tcPr>
                <w:p w14:paraId="1C3D9440">
                  <w:pPr>
                    <w:pStyle w:val="67"/>
                    <w:spacing w:beforeLines="0" w:afterLines="0" w:line="240" w:lineRule="auto"/>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新建</w:t>
                  </w:r>
                </w:p>
              </w:tc>
            </w:tr>
            <w:tr w14:paraId="0E6BC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vMerge w:val="continue"/>
                  <w:tcBorders>
                    <w:tl2br w:val="nil"/>
                    <w:tr2bl w:val="nil"/>
                  </w:tcBorders>
                  <w:vAlign w:val="center"/>
                </w:tcPr>
                <w:p w14:paraId="7BBFB0C5">
                  <w:pPr>
                    <w:pStyle w:val="67"/>
                    <w:spacing w:beforeLines="0" w:afterLines="0" w:line="240" w:lineRule="auto"/>
                    <w:rPr>
                      <w:rFonts w:ascii="Times New Roman" w:hAnsi="Times New Roman" w:cs="Times New Roman"/>
                      <w:color w:val="auto"/>
                      <w:szCs w:val="21"/>
                      <w:highlight w:val="none"/>
                    </w:rPr>
                  </w:pPr>
                </w:p>
              </w:tc>
              <w:tc>
                <w:tcPr>
                  <w:tcW w:w="767" w:type="pct"/>
                  <w:tcBorders>
                    <w:tl2br w:val="nil"/>
                    <w:tr2bl w:val="nil"/>
                  </w:tcBorders>
                  <w:vAlign w:val="center"/>
                </w:tcPr>
                <w:p w14:paraId="38948C0C">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生物实验室</w:t>
                  </w:r>
                </w:p>
              </w:tc>
              <w:tc>
                <w:tcPr>
                  <w:tcW w:w="2189" w:type="pct"/>
                  <w:tcBorders>
                    <w:tl2br w:val="nil"/>
                    <w:tr2bl w:val="nil"/>
                  </w:tcBorders>
                  <w:vAlign w:val="center"/>
                </w:tcPr>
                <w:p w14:paraId="7AAA7242">
                  <w:pPr>
                    <w:pStyle w:val="18"/>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1层，位于实验楼3F，设置了生物实验室、实验准备室、仪器室、卫生间等，单间实验室面积约180m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cs="Times New Roman"/>
                      <w:color w:val="auto"/>
                      <w:szCs w:val="21"/>
                      <w:highlight w:val="none"/>
                      <w:lang w:val="en-US" w:eastAsia="zh-CN"/>
                    </w:rPr>
                    <w:t>，可同时容纳50名学生开展实验学习。</w:t>
                  </w:r>
                </w:p>
              </w:tc>
              <w:tc>
                <w:tcPr>
                  <w:tcW w:w="583" w:type="pct"/>
                  <w:vMerge w:val="continue"/>
                  <w:tcBorders>
                    <w:tl2br w:val="nil"/>
                    <w:tr2bl w:val="nil"/>
                  </w:tcBorders>
                  <w:vAlign w:val="center"/>
                </w:tcPr>
                <w:p w14:paraId="5023AF78">
                  <w:pPr>
                    <w:pStyle w:val="67"/>
                    <w:spacing w:beforeLines="0" w:afterLines="0" w:line="240" w:lineRule="auto"/>
                    <w:rPr>
                      <w:rFonts w:ascii="Times New Roman" w:hAnsi="Times New Roman" w:cs="Times New Roman"/>
                      <w:color w:val="auto"/>
                      <w:szCs w:val="21"/>
                      <w:highlight w:val="none"/>
                    </w:rPr>
                  </w:pPr>
                </w:p>
              </w:tc>
              <w:tc>
                <w:tcPr>
                  <w:tcW w:w="541" w:type="pct"/>
                  <w:tcBorders>
                    <w:tl2br w:val="nil"/>
                    <w:tr2bl w:val="nil"/>
                  </w:tcBorders>
                  <w:vAlign w:val="center"/>
                </w:tcPr>
                <w:p w14:paraId="09823274">
                  <w:pPr>
                    <w:pStyle w:val="67"/>
                    <w:spacing w:beforeLines="0" w:afterLines="0" w:line="240" w:lineRule="auto"/>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废气、噪声、固废</w:t>
                  </w:r>
                </w:p>
              </w:tc>
              <w:tc>
                <w:tcPr>
                  <w:tcW w:w="599" w:type="pct"/>
                  <w:vMerge w:val="continue"/>
                  <w:tcBorders>
                    <w:tl2br w:val="nil"/>
                    <w:tr2bl w:val="nil"/>
                  </w:tcBorders>
                  <w:vAlign w:val="center"/>
                </w:tcPr>
                <w:p w14:paraId="2D08EAA5">
                  <w:pPr>
                    <w:pStyle w:val="67"/>
                    <w:spacing w:beforeLines="0" w:afterLines="0" w:line="240" w:lineRule="auto"/>
                    <w:rPr>
                      <w:rFonts w:hint="default" w:ascii="Times New Roman" w:hAnsi="Times New Roman" w:cs="Times New Roman" w:eastAsiaTheme="minorEastAsia"/>
                      <w:color w:val="auto"/>
                      <w:szCs w:val="21"/>
                      <w:highlight w:val="none"/>
                      <w:lang w:val="en-US" w:eastAsia="zh-CN"/>
                    </w:rPr>
                  </w:pPr>
                </w:p>
              </w:tc>
            </w:tr>
            <w:tr w14:paraId="5C992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vMerge w:val="continue"/>
                  <w:tcBorders>
                    <w:tl2br w:val="nil"/>
                    <w:tr2bl w:val="nil"/>
                  </w:tcBorders>
                  <w:vAlign w:val="center"/>
                </w:tcPr>
                <w:p w14:paraId="21A641F0">
                  <w:pPr>
                    <w:pStyle w:val="67"/>
                    <w:spacing w:beforeLines="0" w:afterLines="0" w:line="240" w:lineRule="auto"/>
                    <w:rPr>
                      <w:rFonts w:ascii="Times New Roman" w:hAnsi="Times New Roman" w:cs="Times New Roman"/>
                      <w:color w:val="auto"/>
                      <w:szCs w:val="21"/>
                      <w:highlight w:val="none"/>
                    </w:rPr>
                  </w:pPr>
                </w:p>
              </w:tc>
              <w:tc>
                <w:tcPr>
                  <w:tcW w:w="767" w:type="pct"/>
                  <w:tcBorders>
                    <w:tl2br w:val="nil"/>
                    <w:tr2bl w:val="nil"/>
                  </w:tcBorders>
                  <w:vAlign w:val="center"/>
                </w:tcPr>
                <w:p w14:paraId="19B84795">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物理实验室</w:t>
                  </w:r>
                </w:p>
              </w:tc>
              <w:tc>
                <w:tcPr>
                  <w:tcW w:w="2189" w:type="pct"/>
                  <w:tcBorders>
                    <w:tl2br w:val="nil"/>
                    <w:tr2bl w:val="nil"/>
                  </w:tcBorders>
                  <w:vAlign w:val="center"/>
                </w:tcPr>
                <w:p w14:paraId="48BC3BAD">
                  <w:pPr>
                    <w:pStyle w:val="18"/>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2层，位于实验室4F~5F，设置了物理实验室、实验准备室、仪器室、卫生间等，单间实验室面积约180m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cs="Times New Roman"/>
                      <w:color w:val="auto"/>
                      <w:szCs w:val="21"/>
                      <w:highlight w:val="none"/>
                      <w:lang w:val="en-US" w:eastAsia="zh-CN"/>
                    </w:rPr>
                    <w:t>，可同时容纳50名学生开展实验学习。</w:t>
                  </w:r>
                </w:p>
              </w:tc>
              <w:tc>
                <w:tcPr>
                  <w:tcW w:w="583" w:type="pct"/>
                  <w:vMerge w:val="continue"/>
                  <w:tcBorders>
                    <w:tl2br w:val="nil"/>
                    <w:tr2bl w:val="nil"/>
                  </w:tcBorders>
                  <w:vAlign w:val="center"/>
                </w:tcPr>
                <w:p w14:paraId="1D493F67">
                  <w:pPr>
                    <w:pStyle w:val="67"/>
                    <w:spacing w:beforeLines="0" w:afterLines="0" w:line="240" w:lineRule="auto"/>
                    <w:rPr>
                      <w:rFonts w:ascii="Times New Roman" w:hAnsi="Times New Roman" w:cs="Times New Roman"/>
                      <w:color w:val="auto"/>
                      <w:szCs w:val="21"/>
                      <w:highlight w:val="none"/>
                    </w:rPr>
                  </w:pPr>
                </w:p>
              </w:tc>
              <w:tc>
                <w:tcPr>
                  <w:tcW w:w="541" w:type="pct"/>
                  <w:tcBorders>
                    <w:tl2br w:val="nil"/>
                    <w:tr2bl w:val="nil"/>
                  </w:tcBorders>
                  <w:vAlign w:val="center"/>
                </w:tcPr>
                <w:p w14:paraId="26B8B591">
                  <w:pPr>
                    <w:pStyle w:val="67"/>
                    <w:spacing w:beforeLines="0" w:afterLines="0" w:line="240" w:lineRule="auto"/>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噪声、固废</w:t>
                  </w:r>
                </w:p>
              </w:tc>
              <w:tc>
                <w:tcPr>
                  <w:tcW w:w="599" w:type="pct"/>
                  <w:vMerge w:val="continue"/>
                  <w:tcBorders>
                    <w:tl2br w:val="nil"/>
                    <w:tr2bl w:val="nil"/>
                  </w:tcBorders>
                  <w:vAlign w:val="center"/>
                </w:tcPr>
                <w:p w14:paraId="5BF555F6">
                  <w:pPr>
                    <w:pStyle w:val="67"/>
                    <w:spacing w:beforeLines="0" w:afterLines="0" w:line="240" w:lineRule="auto"/>
                    <w:rPr>
                      <w:rFonts w:hint="default" w:ascii="Times New Roman" w:hAnsi="Times New Roman" w:cs="Times New Roman" w:eastAsiaTheme="minorEastAsia"/>
                      <w:color w:val="auto"/>
                      <w:szCs w:val="21"/>
                      <w:highlight w:val="none"/>
                      <w:lang w:val="en-US" w:eastAsia="zh-CN"/>
                    </w:rPr>
                  </w:pPr>
                </w:p>
              </w:tc>
            </w:tr>
            <w:tr w14:paraId="2854B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vMerge w:val="continue"/>
                  <w:tcBorders>
                    <w:tl2br w:val="nil"/>
                    <w:tr2bl w:val="nil"/>
                  </w:tcBorders>
                  <w:vAlign w:val="center"/>
                </w:tcPr>
                <w:p w14:paraId="32777712">
                  <w:pPr>
                    <w:pStyle w:val="67"/>
                    <w:spacing w:beforeLines="0" w:afterLines="0" w:line="240" w:lineRule="auto"/>
                    <w:rPr>
                      <w:rFonts w:ascii="Times New Roman" w:hAnsi="Times New Roman" w:cs="Times New Roman"/>
                      <w:color w:val="auto"/>
                      <w:szCs w:val="21"/>
                      <w:highlight w:val="none"/>
                    </w:rPr>
                  </w:pPr>
                </w:p>
              </w:tc>
              <w:tc>
                <w:tcPr>
                  <w:tcW w:w="767" w:type="pct"/>
                  <w:tcBorders>
                    <w:tl2br w:val="nil"/>
                    <w:tr2bl w:val="nil"/>
                  </w:tcBorders>
                  <w:vAlign w:val="center"/>
                </w:tcPr>
                <w:p w14:paraId="5220A857">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多功能用房</w:t>
                  </w:r>
                </w:p>
              </w:tc>
              <w:tc>
                <w:tcPr>
                  <w:tcW w:w="2189" w:type="pct"/>
                  <w:tcBorders>
                    <w:tl2br w:val="nil"/>
                    <w:tr2bl w:val="nil"/>
                  </w:tcBorders>
                  <w:vAlign w:val="center"/>
                </w:tcPr>
                <w:p w14:paraId="1E62C910">
                  <w:pPr>
                    <w:pStyle w:val="18"/>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1层，位于实验室6F。</w:t>
                  </w:r>
                </w:p>
              </w:tc>
              <w:tc>
                <w:tcPr>
                  <w:tcW w:w="583" w:type="pct"/>
                  <w:vMerge w:val="continue"/>
                  <w:tcBorders>
                    <w:tl2br w:val="nil"/>
                    <w:tr2bl w:val="nil"/>
                  </w:tcBorders>
                  <w:vAlign w:val="center"/>
                </w:tcPr>
                <w:p w14:paraId="083F631E">
                  <w:pPr>
                    <w:pStyle w:val="67"/>
                    <w:spacing w:beforeLines="0" w:afterLines="0" w:line="240" w:lineRule="auto"/>
                    <w:rPr>
                      <w:rFonts w:ascii="Times New Roman" w:hAnsi="Times New Roman" w:cs="Times New Roman"/>
                      <w:color w:val="auto"/>
                      <w:szCs w:val="21"/>
                      <w:highlight w:val="none"/>
                    </w:rPr>
                  </w:pPr>
                </w:p>
              </w:tc>
              <w:tc>
                <w:tcPr>
                  <w:tcW w:w="541" w:type="pct"/>
                  <w:tcBorders>
                    <w:tl2br w:val="nil"/>
                    <w:tr2bl w:val="nil"/>
                  </w:tcBorders>
                  <w:vAlign w:val="center"/>
                </w:tcPr>
                <w:p w14:paraId="20FEEC27">
                  <w:pPr>
                    <w:pStyle w:val="67"/>
                    <w:spacing w:beforeLines="0" w:afterLines="0" w:line="240" w:lineRule="auto"/>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噪声、固废</w:t>
                  </w:r>
                </w:p>
              </w:tc>
              <w:tc>
                <w:tcPr>
                  <w:tcW w:w="599" w:type="pct"/>
                  <w:vMerge w:val="continue"/>
                  <w:tcBorders>
                    <w:tl2br w:val="nil"/>
                    <w:tr2bl w:val="nil"/>
                  </w:tcBorders>
                  <w:vAlign w:val="center"/>
                </w:tcPr>
                <w:p w14:paraId="7E13DFD9">
                  <w:pPr>
                    <w:pStyle w:val="67"/>
                    <w:spacing w:beforeLines="0" w:afterLines="0" w:line="240" w:lineRule="auto"/>
                    <w:rPr>
                      <w:rFonts w:hint="default" w:ascii="Times New Roman" w:hAnsi="Times New Roman" w:cs="Times New Roman" w:eastAsiaTheme="minorEastAsia"/>
                      <w:color w:val="auto"/>
                      <w:szCs w:val="21"/>
                      <w:highlight w:val="none"/>
                      <w:lang w:val="en-US" w:eastAsia="zh-CN"/>
                    </w:rPr>
                  </w:pPr>
                </w:p>
              </w:tc>
            </w:tr>
            <w:tr w14:paraId="75A22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vMerge w:val="restart"/>
                  <w:tcBorders>
                    <w:tl2br w:val="nil"/>
                    <w:tr2bl w:val="nil"/>
                  </w:tcBorders>
                  <w:vAlign w:val="center"/>
                </w:tcPr>
                <w:p w14:paraId="58D57C20">
                  <w:pPr>
                    <w:pStyle w:val="67"/>
                    <w:spacing w:beforeLines="0" w:afterLines="0" w:line="240" w:lineRule="auto"/>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公用工程</w:t>
                  </w:r>
                </w:p>
              </w:tc>
              <w:tc>
                <w:tcPr>
                  <w:tcW w:w="767" w:type="pct"/>
                  <w:tcBorders>
                    <w:tl2br w:val="nil"/>
                    <w:tr2bl w:val="nil"/>
                  </w:tcBorders>
                  <w:vAlign w:val="center"/>
                </w:tcPr>
                <w:p w14:paraId="617DC889">
                  <w:pPr>
                    <w:pStyle w:val="67"/>
                    <w:spacing w:beforeLines="0" w:afterLines="0" w:line="240" w:lineRule="auto"/>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给排水</w:t>
                  </w:r>
                </w:p>
              </w:tc>
              <w:tc>
                <w:tcPr>
                  <w:tcW w:w="2189" w:type="pct"/>
                  <w:tcBorders>
                    <w:tl2br w:val="nil"/>
                    <w:tr2bl w:val="nil"/>
                  </w:tcBorders>
                  <w:vAlign w:val="center"/>
                </w:tcPr>
                <w:p w14:paraId="35FCA4B1">
                  <w:pPr>
                    <w:pStyle w:val="67"/>
                    <w:spacing w:beforeLines="0" w:afterLines="0" w:line="240" w:lineRule="auto"/>
                    <w:jc w:val="both"/>
                    <w:rPr>
                      <w:rFonts w:hint="default" w:ascii="Times New Roman" w:hAnsi="Times New Roman" w:cs="Times New Roman" w:eastAsiaTheme="minorEastAsia"/>
                      <w:bCs/>
                      <w:color w:val="auto"/>
                      <w:highlight w:val="none"/>
                      <w:lang w:val="en-US" w:eastAsia="zh-CN"/>
                    </w:rPr>
                  </w:pPr>
                  <w:r>
                    <w:rPr>
                      <w:rFonts w:hint="eastAsia" w:ascii="Times New Roman" w:hAnsi="Times New Roman" w:cs="Times New Roman"/>
                      <w:bCs/>
                      <w:color w:val="auto"/>
                      <w:highlight w:val="none"/>
                      <w:lang w:val="en-US" w:eastAsia="zh-CN"/>
                    </w:rPr>
                    <w:t>依托现有给排水设施、实现雨污分流制排水。</w:t>
                  </w:r>
                </w:p>
              </w:tc>
              <w:tc>
                <w:tcPr>
                  <w:tcW w:w="583" w:type="pct"/>
                  <w:vMerge w:val="continue"/>
                  <w:tcBorders>
                    <w:tl2br w:val="nil"/>
                    <w:tr2bl w:val="nil"/>
                  </w:tcBorders>
                  <w:vAlign w:val="center"/>
                </w:tcPr>
                <w:p w14:paraId="77A68BD8">
                  <w:pPr>
                    <w:pStyle w:val="67"/>
                    <w:spacing w:beforeLines="0" w:afterLines="0" w:line="240" w:lineRule="auto"/>
                    <w:rPr>
                      <w:rFonts w:ascii="Times New Roman" w:hAnsi="Times New Roman" w:cs="Times New Roman"/>
                      <w:color w:val="auto"/>
                      <w:szCs w:val="21"/>
                      <w:highlight w:val="none"/>
                    </w:rPr>
                  </w:pPr>
                </w:p>
              </w:tc>
              <w:tc>
                <w:tcPr>
                  <w:tcW w:w="541" w:type="pct"/>
                  <w:tcBorders>
                    <w:tl2br w:val="nil"/>
                    <w:tr2bl w:val="nil"/>
                  </w:tcBorders>
                  <w:vAlign w:val="center"/>
                </w:tcPr>
                <w:p w14:paraId="290897AD">
                  <w:pPr>
                    <w:pStyle w:val="67"/>
                    <w:spacing w:beforeLines="0" w:afterLines="0" w:line="240" w:lineRule="auto"/>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599" w:type="pct"/>
                  <w:tcBorders>
                    <w:tl2br w:val="nil"/>
                    <w:tr2bl w:val="nil"/>
                  </w:tcBorders>
                  <w:vAlign w:val="center"/>
                </w:tcPr>
                <w:p w14:paraId="3EA9631A">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依托现有</w:t>
                  </w:r>
                </w:p>
              </w:tc>
            </w:tr>
            <w:tr w14:paraId="32894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vMerge w:val="continue"/>
                  <w:tcBorders>
                    <w:tl2br w:val="nil"/>
                    <w:tr2bl w:val="nil"/>
                  </w:tcBorders>
                  <w:vAlign w:val="center"/>
                </w:tcPr>
                <w:p w14:paraId="7305E67D">
                  <w:pPr>
                    <w:pStyle w:val="67"/>
                    <w:spacing w:beforeLines="0" w:afterLines="0" w:line="240" w:lineRule="auto"/>
                    <w:rPr>
                      <w:rFonts w:hint="eastAsia" w:ascii="Times New Roman" w:hAnsi="Times New Roman" w:cs="Times New Roman"/>
                      <w:color w:val="auto"/>
                      <w:szCs w:val="21"/>
                      <w:highlight w:val="none"/>
                      <w:lang w:val="en-US" w:eastAsia="zh-CN"/>
                    </w:rPr>
                  </w:pPr>
                </w:p>
              </w:tc>
              <w:tc>
                <w:tcPr>
                  <w:tcW w:w="767" w:type="pct"/>
                  <w:tcBorders>
                    <w:tl2br w:val="nil"/>
                    <w:tr2bl w:val="nil"/>
                  </w:tcBorders>
                  <w:vAlign w:val="center"/>
                </w:tcPr>
                <w:p w14:paraId="6E0B6AF3">
                  <w:pPr>
                    <w:pStyle w:val="67"/>
                    <w:spacing w:beforeLines="0" w:afterLines="0" w:line="240" w:lineRule="auto"/>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供电</w:t>
                  </w:r>
                </w:p>
              </w:tc>
              <w:tc>
                <w:tcPr>
                  <w:tcW w:w="2189" w:type="pct"/>
                  <w:tcBorders>
                    <w:tl2br w:val="nil"/>
                    <w:tr2bl w:val="nil"/>
                  </w:tcBorders>
                  <w:vAlign w:val="center"/>
                </w:tcPr>
                <w:p w14:paraId="3F1E1068">
                  <w:pPr>
                    <w:pStyle w:val="67"/>
                    <w:spacing w:beforeLines="0" w:afterLines="0" w:line="240" w:lineRule="auto"/>
                    <w:jc w:val="both"/>
                    <w:rPr>
                      <w:rFonts w:hint="default" w:ascii="Times New Roman" w:hAnsi="Times New Roman" w:cs="Times New Roman" w:eastAsiaTheme="minorEastAsia"/>
                      <w:bCs/>
                      <w:color w:val="auto"/>
                      <w:highlight w:val="none"/>
                      <w:lang w:val="en-US" w:eastAsia="zh-CN"/>
                    </w:rPr>
                  </w:pPr>
                  <w:r>
                    <w:rPr>
                      <w:rFonts w:hint="eastAsia" w:ascii="Times New Roman" w:hAnsi="Times New Roman" w:cs="Times New Roman"/>
                      <w:bCs/>
                      <w:color w:val="auto"/>
                      <w:highlight w:val="none"/>
                      <w:lang w:val="en-US" w:eastAsia="zh-CN"/>
                    </w:rPr>
                    <w:t>由当地电网提供。</w:t>
                  </w:r>
                </w:p>
              </w:tc>
              <w:tc>
                <w:tcPr>
                  <w:tcW w:w="583" w:type="pct"/>
                  <w:vMerge w:val="continue"/>
                  <w:tcBorders>
                    <w:tl2br w:val="nil"/>
                    <w:tr2bl w:val="nil"/>
                  </w:tcBorders>
                  <w:vAlign w:val="center"/>
                </w:tcPr>
                <w:p w14:paraId="244BAB36">
                  <w:pPr>
                    <w:pStyle w:val="67"/>
                    <w:spacing w:beforeLines="0" w:afterLines="0" w:line="240" w:lineRule="auto"/>
                    <w:rPr>
                      <w:rFonts w:ascii="Times New Roman" w:hAnsi="Times New Roman" w:cs="Times New Roman"/>
                      <w:color w:val="auto"/>
                      <w:szCs w:val="21"/>
                      <w:highlight w:val="none"/>
                    </w:rPr>
                  </w:pPr>
                </w:p>
              </w:tc>
              <w:tc>
                <w:tcPr>
                  <w:tcW w:w="541" w:type="pct"/>
                  <w:tcBorders>
                    <w:tl2br w:val="nil"/>
                    <w:tr2bl w:val="nil"/>
                  </w:tcBorders>
                  <w:vAlign w:val="center"/>
                </w:tcPr>
                <w:p w14:paraId="24275EED">
                  <w:pPr>
                    <w:pStyle w:val="67"/>
                    <w:spacing w:beforeLines="0" w:afterLines="0" w:line="240" w:lineRule="auto"/>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599" w:type="pct"/>
                  <w:tcBorders>
                    <w:tl2br w:val="nil"/>
                    <w:tr2bl w:val="nil"/>
                  </w:tcBorders>
                  <w:vAlign w:val="center"/>
                </w:tcPr>
                <w:p w14:paraId="241E8820">
                  <w:pPr>
                    <w:pStyle w:val="67"/>
                    <w:spacing w:beforeLines="0" w:afterLines="0" w:line="240" w:lineRule="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依托现有</w:t>
                  </w:r>
                </w:p>
              </w:tc>
            </w:tr>
            <w:tr w14:paraId="7D978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vMerge w:val="continue"/>
                  <w:tcBorders>
                    <w:tl2br w:val="nil"/>
                    <w:tr2bl w:val="nil"/>
                  </w:tcBorders>
                  <w:vAlign w:val="center"/>
                </w:tcPr>
                <w:p w14:paraId="302EE77E">
                  <w:pPr>
                    <w:pStyle w:val="67"/>
                    <w:spacing w:beforeLines="0" w:afterLines="0" w:line="240" w:lineRule="auto"/>
                    <w:rPr>
                      <w:rFonts w:hint="eastAsia" w:ascii="Times New Roman" w:hAnsi="Times New Roman" w:cs="Times New Roman"/>
                      <w:color w:val="auto"/>
                      <w:szCs w:val="21"/>
                      <w:highlight w:val="none"/>
                      <w:lang w:val="en-US" w:eastAsia="zh-CN"/>
                    </w:rPr>
                  </w:pPr>
                </w:p>
              </w:tc>
              <w:tc>
                <w:tcPr>
                  <w:tcW w:w="767" w:type="pct"/>
                  <w:tcBorders>
                    <w:tl2br w:val="nil"/>
                    <w:tr2bl w:val="nil"/>
                  </w:tcBorders>
                  <w:vAlign w:val="center"/>
                </w:tcPr>
                <w:p w14:paraId="3C6A0FA4">
                  <w:pPr>
                    <w:pStyle w:val="67"/>
                    <w:spacing w:beforeLines="0" w:afterLines="0" w:line="240" w:lineRule="auto"/>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消防</w:t>
                  </w:r>
                </w:p>
              </w:tc>
              <w:tc>
                <w:tcPr>
                  <w:tcW w:w="2189" w:type="pct"/>
                  <w:tcBorders>
                    <w:tl2br w:val="nil"/>
                    <w:tr2bl w:val="nil"/>
                  </w:tcBorders>
                  <w:vAlign w:val="center"/>
                </w:tcPr>
                <w:p w14:paraId="1CDDA8C0">
                  <w:pPr>
                    <w:pStyle w:val="67"/>
                    <w:spacing w:beforeLines="0" w:afterLines="0" w:line="240" w:lineRule="auto"/>
                    <w:jc w:val="both"/>
                    <w:rPr>
                      <w:rFonts w:hint="default" w:ascii="Times New Roman" w:hAnsi="Times New Roman" w:cs="Times New Roman" w:eastAsiaTheme="minorEastAsia"/>
                      <w:bCs/>
                      <w:color w:val="auto"/>
                      <w:highlight w:val="none"/>
                      <w:lang w:val="en-US" w:eastAsia="zh-CN"/>
                    </w:rPr>
                  </w:pPr>
                  <w:r>
                    <w:rPr>
                      <w:rFonts w:hint="eastAsia" w:ascii="Times New Roman" w:hAnsi="Times New Roman" w:cs="Times New Roman"/>
                      <w:bCs/>
                      <w:color w:val="auto"/>
                      <w:highlight w:val="none"/>
                      <w:lang w:val="en-US" w:eastAsia="zh-CN"/>
                    </w:rPr>
                    <w:t>学校内设有消防栓、灭火器、沙袋。</w:t>
                  </w:r>
                </w:p>
              </w:tc>
              <w:tc>
                <w:tcPr>
                  <w:tcW w:w="583" w:type="pct"/>
                  <w:vMerge w:val="continue"/>
                  <w:tcBorders>
                    <w:tl2br w:val="nil"/>
                    <w:tr2bl w:val="nil"/>
                  </w:tcBorders>
                  <w:vAlign w:val="center"/>
                </w:tcPr>
                <w:p w14:paraId="3BF0C0AB">
                  <w:pPr>
                    <w:pStyle w:val="67"/>
                    <w:spacing w:beforeLines="0" w:afterLines="0" w:line="240" w:lineRule="auto"/>
                    <w:rPr>
                      <w:rFonts w:ascii="Times New Roman" w:hAnsi="Times New Roman" w:cs="Times New Roman"/>
                      <w:color w:val="auto"/>
                      <w:szCs w:val="21"/>
                      <w:highlight w:val="none"/>
                    </w:rPr>
                  </w:pPr>
                </w:p>
              </w:tc>
              <w:tc>
                <w:tcPr>
                  <w:tcW w:w="541" w:type="pct"/>
                  <w:tcBorders>
                    <w:tl2br w:val="nil"/>
                    <w:tr2bl w:val="nil"/>
                  </w:tcBorders>
                  <w:vAlign w:val="center"/>
                </w:tcPr>
                <w:p w14:paraId="1DAF3F5A">
                  <w:pPr>
                    <w:pStyle w:val="67"/>
                    <w:spacing w:beforeLines="0" w:afterLines="0" w:line="240" w:lineRule="auto"/>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599" w:type="pct"/>
                  <w:tcBorders>
                    <w:tl2br w:val="nil"/>
                    <w:tr2bl w:val="nil"/>
                  </w:tcBorders>
                  <w:vAlign w:val="center"/>
                </w:tcPr>
                <w:p w14:paraId="7EFB0C64">
                  <w:pPr>
                    <w:pStyle w:val="67"/>
                    <w:spacing w:beforeLines="0" w:afterLines="0" w:line="240" w:lineRule="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依托现有</w:t>
                  </w:r>
                </w:p>
              </w:tc>
            </w:tr>
            <w:tr w14:paraId="0EE29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tcBorders>
                    <w:tl2br w:val="nil"/>
                    <w:tr2bl w:val="nil"/>
                  </w:tcBorders>
                  <w:vAlign w:val="center"/>
                </w:tcPr>
                <w:p w14:paraId="13C0C0CA">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辅助工程</w:t>
                  </w:r>
                </w:p>
              </w:tc>
              <w:tc>
                <w:tcPr>
                  <w:tcW w:w="767" w:type="pct"/>
                  <w:tcBorders>
                    <w:tl2br w:val="nil"/>
                    <w:tr2bl w:val="nil"/>
                  </w:tcBorders>
                  <w:vAlign w:val="center"/>
                </w:tcPr>
                <w:p w14:paraId="56F524A1">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空调系统</w:t>
                  </w:r>
                </w:p>
              </w:tc>
              <w:tc>
                <w:tcPr>
                  <w:tcW w:w="2189" w:type="pct"/>
                  <w:tcBorders>
                    <w:tl2br w:val="nil"/>
                    <w:tr2bl w:val="nil"/>
                  </w:tcBorders>
                  <w:vAlign w:val="center"/>
                </w:tcPr>
                <w:p w14:paraId="63E59FFD">
                  <w:pPr>
                    <w:pStyle w:val="67"/>
                    <w:spacing w:beforeLines="0" w:afterLines="0" w:line="240" w:lineRule="auto"/>
                    <w:jc w:val="both"/>
                    <w:rPr>
                      <w:rFonts w:hint="eastAsia" w:ascii="Times New Roman" w:hAnsi="Times New Roman" w:cs="Times New Roman"/>
                      <w:bCs/>
                      <w:color w:val="auto"/>
                      <w:highlight w:val="none"/>
                      <w:lang w:val="en-US" w:eastAsia="zh-CN"/>
                    </w:rPr>
                  </w:pPr>
                  <w:r>
                    <w:rPr>
                      <w:rFonts w:hint="eastAsia" w:ascii="Times New Roman" w:hAnsi="Times New Roman" w:cs="Times New Roman"/>
                      <w:bCs/>
                      <w:color w:val="auto"/>
                      <w:highlight w:val="none"/>
                    </w:rPr>
                    <w:t>本项目不设中央空调，采用单台挂式或者柜机，位于各楼层的两侧</w:t>
                  </w:r>
                  <w:r>
                    <w:rPr>
                      <w:rFonts w:hint="eastAsia" w:ascii="Times New Roman" w:hAnsi="Times New Roman" w:cs="Times New Roman"/>
                      <w:bCs/>
                      <w:color w:val="auto"/>
                      <w:highlight w:val="none"/>
                      <w:lang w:eastAsia="zh-CN"/>
                    </w:rPr>
                    <w:t>，</w:t>
                  </w:r>
                  <w:r>
                    <w:rPr>
                      <w:rFonts w:hint="eastAsia" w:ascii="Times New Roman" w:hAnsi="Times New Roman" w:cs="Times New Roman"/>
                      <w:bCs/>
                      <w:color w:val="auto"/>
                      <w:highlight w:val="none"/>
                      <w:lang w:val="en-US" w:eastAsia="zh-CN"/>
                    </w:rPr>
                    <w:t>实验楼设置12台空调挂机</w:t>
                  </w:r>
                  <w:r>
                    <w:rPr>
                      <w:rFonts w:hint="eastAsia" w:ascii="Times New Roman" w:hAnsi="Times New Roman" w:cs="Times New Roman"/>
                      <w:bCs/>
                      <w:color w:val="auto"/>
                      <w:highlight w:val="none"/>
                    </w:rPr>
                    <w:t>。</w:t>
                  </w:r>
                </w:p>
              </w:tc>
              <w:tc>
                <w:tcPr>
                  <w:tcW w:w="583" w:type="pct"/>
                  <w:vMerge w:val="continue"/>
                  <w:tcBorders>
                    <w:tl2br w:val="nil"/>
                    <w:tr2bl w:val="nil"/>
                  </w:tcBorders>
                  <w:vAlign w:val="center"/>
                </w:tcPr>
                <w:p w14:paraId="20DB775C">
                  <w:pPr>
                    <w:pStyle w:val="67"/>
                    <w:spacing w:beforeLines="0" w:afterLines="0" w:line="240" w:lineRule="auto"/>
                    <w:rPr>
                      <w:rFonts w:ascii="Times New Roman" w:hAnsi="Times New Roman" w:cs="Times New Roman"/>
                      <w:color w:val="auto"/>
                      <w:szCs w:val="21"/>
                      <w:highlight w:val="none"/>
                    </w:rPr>
                  </w:pPr>
                </w:p>
              </w:tc>
              <w:tc>
                <w:tcPr>
                  <w:tcW w:w="541" w:type="pct"/>
                  <w:tcBorders>
                    <w:tl2br w:val="nil"/>
                    <w:tr2bl w:val="nil"/>
                  </w:tcBorders>
                  <w:vAlign w:val="center"/>
                </w:tcPr>
                <w:p w14:paraId="1152E29A">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噪声</w:t>
                  </w:r>
                </w:p>
              </w:tc>
              <w:tc>
                <w:tcPr>
                  <w:tcW w:w="599" w:type="pct"/>
                  <w:tcBorders>
                    <w:tl2br w:val="nil"/>
                    <w:tr2bl w:val="nil"/>
                  </w:tcBorders>
                  <w:vAlign w:val="center"/>
                </w:tcPr>
                <w:p w14:paraId="63566ADA">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新建</w:t>
                  </w:r>
                </w:p>
              </w:tc>
            </w:tr>
            <w:tr w14:paraId="56C62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vMerge w:val="restart"/>
                  <w:tcBorders>
                    <w:tl2br w:val="nil"/>
                    <w:tr2bl w:val="nil"/>
                  </w:tcBorders>
                  <w:vAlign w:val="center"/>
                </w:tcPr>
                <w:p w14:paraId="4A07DD3B">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储运工程</w:t>
                  </w:r>
                </w:p>
              </w:tc>
              <w:tc>
                <w:tcPr>
                  <w:tcW w:w="767" w:type="pct"/>
                  <w:tcBorders>
                    <w:tl2br w:val="nil"/>
                    <w:tr2bl w:val="nil"/>
                  </w:tcBorders>
                  <w:vAlign w:val="center"/>
                </w:tcPr>
                <w:p w14:paraId="7220D30C">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化学药品及仪器室</w:t>
                  </w:r>
                </w:p>
              </w:tc>
              <w:tc>
                <w:tcPr>
                  <w:tcW w:w="2189" w:type="pct"/>
                  <w:tcBorders>
                    <w:tl2br w:val="nil"/>
                    <w:tr2bl w:val="nil"/>
                  </w:tcBorders>
                  <w:vAlign w:val="center"/>
                </w:tcPr>
                <w:p w14:paraId="2AAC4192">
                  <w:pPr>
                    <w:pStyle w:val="67"/>
                    <w:spacing w:beforeLines="0" w:afterLines="0" w:line="240" w:lineRule="auto"/>
                    <w:jc w:val="both"/>
                    <w:rPr>
                      <w:rFonts w:hint="default" w:ascii="Times New Roman" w:hAnsi="Times New Roman" w:cs="Times New Roman"/>
                      <w:bCs/>
                      <w:color w:val="auto"/>
                      <w:highlight w:val="none"/>
                      <w:lang w:val="en-US" w:eastAsia="zh-CN"/>
                    </w:rPr>
                  </w:pPr>
                  <w:r>
                    <w:rPr>
                      <w:rFonts w:hint="eastAsia" w:ascii="Times New Roman" w:hAnsi="Times New Roman" w:cs="Times New Roman"/>
                      <w:bCs/>
                      <w:color w:val="auto"/>
                      <w:highlight w:val="none"/>
                      <w:lang w:val="en-US" w:eastAsia="zh-CN"/>
                    </w:rPr>
                    <w:t>1间，设置于实验楼1F~2F，用于化学和生物实验室所用化学品、实验器具及实验耗材的存放；一般化学品储存在化学品柜内，强酸挥发性化学品储存在危险化学品安全柜内。</w:t>
                  </w:r>
                </w:p>
              </w:tc>
              <w:tc>
                <w:tcPr>
                  <w:tcW w:w="583" w:type="pct"/>
                  <w:vMerge w:val="continue"/>
                  <w:tcBorders>
                    <w:tl2br w:val="nil"/>
                    <w:tr2bl w:val="nil"/>
                  </w:tcBorders>
                  <w:vAlign w:val="center"/>
                </w:tcPr>
                <w:p w14:paraId="332766EC">
                  <w:pPr>
                    <w:pStyle w:val="67"/>
                    <w:spacing w:beforeLines="0" w:afterLines="0" w:line="240" w:lineRule="auto"/>
                    <w:rPr>
                      <w:rFonts w:ascii="Times New Roman" w:hAnsi="Times New Roman" w:cs="Times New Roman"/>
                      <w:color w:val="auto"/>
                      <w:szCs w:val="21"/>
                      <w:highlight w:val="none"/>
                    </w:rPr>
                  </w:pPr>
                </w:p>
              </w:tc>
              <w:tc>
                <w:tcPr>
                  <w:tcW w:w="541" w:type="pct"/>
                  <w:tcBorders>
                    <w:tl2br w:val="nil"/>
                    <w:tr2bl w:val="nil"/>
                  </w:tcBorders>
                  <w:vAlign w:val="center"/>
                </w:tcPr>
                <w:p w14:paraId="5A924132">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废气、废水、噪声、固废、</w:t>
                  </w:r>
                </w:p>
              </w:tc>
              <w:tc>
                <w:tcPr>
                  <w:tcW w:w="599" w:type="pct"/>
                  <w:tcBorders>
                    <w:tl2br w:val="nil"/>
                    <w:tr2bl w:val="nil"/>
                  </w:tcBorders>
                  <w:vAlign w:val="center"/>
                </w:tcPr>
                <w:p w14:paraId="22C99DD4">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新建</w:t>
                  </w:r>
                </w:p>
              </w:tc>
            </w:tr>
            <w:tr w14:paraId="11003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vMerge w:val="continue"/>
                  <w:tcBorders>
                    <w:tl2br w:val="nil"/>
                    <w:tr2bl w:val="nil"/>
                  </w:tcBorders>
                  <w:vAlign w:val="center"/>
                </w:tcPr>
                <w:p w14:paraId="7968853E">
                  <w:pPr>
                    <w:pStyle w:val="67"/>
                    <w:spacing w:beforeLines="0" w:afterLines="0" w:line="240" w:lineRule="auto"/>
                    <w:rPr>
                      <w:rFonts w:hint="eastAsia" w:ascii="Times New Roman" w:hAnsi="Times New Roman" w:cs="Times New Roman"/>
                      <w:color w:val="auto"/>
                      <w:szCs w:val="21"/>
                      <w:highlight w:val="none"/>
                      <w:lang w:val="en-US" w:eastAsia="zh-CN"/>
                    </w:rPr>
                  </w:pPr>
                </w:p>
              </w:tc>
              <w:tc>
                <w:tcPr>
                  <w:tcW w:w="767" w:type="pct"/>
                  <w:tcBorders>
                    <w:tl2br w:val="nil"/>
                    <w:tr2bl w:val="nil"/>
                  </w:tcBorders>
                  <w:vAlign w:val="center"/>
                </w:tcPr>
                <w:p w14:paraId="71919C25">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生物实验仪器室</w:t>
                  </w:r>
                </w:p>
              </w:tc>
              <w:tc>
                <w:tcPr>
                  <w:tcW w:w="2189" w:type="pct"/>
                  <w:tcBorders>
                    <w:tl2br w:val="nil"/>
                    <w:tr2bl w:val="nil"/>
                  </w:tcBorders>
                  <w:vAlign w:val="center"/>
                </w:tcPr>
                <w:p w14:paraId="029B1B1B">
                  <w:pPr>
                    <w:pStyle w:val="67"/>
                    <w:spacing w:beforeLines="0" w:afterLines="0" w:line="240" w:lineRule="auto"/>
                    <w:jc w:val="both"/>
                    <w:rPr>
                      <w:rFonts w:hint="default" w:ascii="Times New Roman" w:hAnsi="Times New Roman" w:cs="Times New Roman"/>
                      <w:bCs/>
                      <w:color w:val="auto"/>
                      <w:highlight w:val="none"/>
                      <w:lang w:val="en-US" w:eastAsia="zh-CN"/>
                    </w:rPr>
                  </w:pPr>
                  <w:r>
                    <w:rPr>
                      <w:rFonts w:hint="eastAsia" w:ascii="Times New Roman" w:hAnsi="Times New Roman" w:cs="Times New Roman"/>
                      <w:bCs/>
                      <w:color w:val="auto"/>
                      <w:highlight w:val="none"/>
                      <w:lang w:val="en-US" w:eastAsia="zh-CN"/>
                    </w:rPr>
                    <w:t>1间，设置于实验楼3F，用于生物实验室所用实验器具及实验耗材的存放。</w:t>
                  </w:r>
                </w:p>
              </w:tc>
              <w:tc>
                <w:tcPr>
                  <w:tcW w:w="583" w:type="pct"/>
                  <w:vMerge w:val="continue"/>
                  <w:tcBorders>
                    <w:tl2br w:val="nil"/>
                    <w:tr2bl w:val="nil"/>
                  </w:tcBorders>
                  <w:vAlign w:val="center"/>
                </w:tcPr>
                <w:p w14:paraId="1CCA3FE8">
                  <w:pPr>
                    <w:pStyle w:val="67"/>
                    <w:spacing w:beforeLines="0" w:afterLines="0" w:line="240" w:lineRule="auto"/>
                    <w:rPr>
                      <w:rFonts w:ascii="Times New Roman" w:hAnsi="Times New Roman" w:cs="Times New Roman"/>
                      <w:color w:val="auto"/>
                      <w:szCs w:val="21"/>
                      <w:highlight w:val="none"/>
                    </w:rPr>
                  </w:pPr>
                </w:p>
              </w:tc>
              <w:tc>
                <w:tcPr>
                  <w:tcW w:w="541" w:type="pct"/>
                  <w:tcBorders>
                    <w:tl2br w:val="nil"/>
                    <w:tr2bl w:val="nil"/>
                  </w:tcBorders>
                  <w:vAlign w:val="center"/>
                </w:tcPr>
                <w:p w14:paraId="58A4A0C9">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噪声、固废</w:t>
                  </w:r>
                </w:p>
              </w:tc>
              <w:tc>
                <w:tcPr>
                  <w:tcW w:w="599" w:type="pct"/>
                  <w:tcBorders>
                    <w:tl2br w:val="nil"/>
                    <w:tr2bl w:val="nil"/>
                  </w:tcBorders>
                  <w:vAlign w:val="center"/>
                </w:tcPr>
                <w:p w14:paraId="4184B09A">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新建</w:t>
                  </w:r>
                </w:p>
              </w:tc>
            </w:tr>
            <w:tr w14:paraId="0A699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vMerge w:val="continue"/>
                  <w:tcBorders>
                    <w:tl2br w:val="nil"/>
                    <w:tr2bl w:val="nil"/>
                  </w:tcBorders>
                  <w:vAlign w:val="center"/>
                </w:tcPr>
                <w:p w14:paraId="0F5488DC">
                  <w:pPr>
                    <w:pStyle w:val="67"/>
                    <w:spacing w:beforeLines="0" w:afterLines="0" w:line="240" w:lineRule="auto"/>
                    <w:rPr>
                      <w:rFonts w:hint="eastAsia" w:ascii="Times New Roman" w:hAnsi="Times New Roman" w:cs="Times New Roman"/>
                      <w:color w:val="auto"/>
                      <w:szCs w:val="21"/>
                      <w:highlight w:val="none"/>
                      <w:lang w:val="en-US" w:eastAsia="zh-CN"/>
                    </w:rPr>
                  </w:pPr>
                </w:p>
              </w:tc>
              <w:tc>
                <w:tcPr>
                  <w:tcW w:w="767" w:type="pct"/>
                  <w:tcBorders>
                    <w:tl2br w:val="nil"/>
                    <w:tr2bl w:val="nil"/>
                  </w:tcBorders>
                  <w:vAlign w:val="center"/>
                </w:tcPr>
                <w:p w14:paraId="63C6F4CF">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物理实验仪器室</w:t>
                  </w:r>
                </w:p>
              </w:tc>
              <w:tc>
                <w:tcPr>
                  <w:tcW w:w="2189" w:type="pct"/>
                  <w:tcBorders>
                    <w:tl2br w:val="nil"/>
                    <w:tr2bl w:val="nil"/>
                  </w:tcBorders>
                  <w:vAlign w:val="center"/>
                </w:tcPr>
                <w:p w14:paraId="06E6C4BB">
                  <w:pPr>
                    <w:pStyle w:val="67"/>
                    <w:spacing w:beforeLines="0" w:afterLines="0" w:line="240" w:lineRule="auto"/>
                    <w:jc w:val="both"/>
                    <w:rPr>
                      <w:rFonts w:hint="default" w:ascii="Times New Roman" w:hAnsi="Times New Roman" w:cs="Times New Roman"/>
                      <w:bCs/>
                      <w:color w:val="auto"/>
                      <w:highlight w:val="none"/>
                      <w:lang w:val="en-US" w:eastAsia="zh-CN"/>
                    </w:rPr>
                  </w:pPr>
                  <w:r>
                    <w:rPr>
                      <w:rFonts w:hint="eastAsia" w:ascii="Times New Roman" w:hAnsi="Times New Roman" w:cs="Times New Roman"/>
                      <w:bCs/>
                      <w:color w:val="auto"/>
                      <w:highlight w:val="none"/>
                      <w:lang w:val="en-US" w:eastAsia="zh-CN"/>
                    </w:rPr>
                    <w:t>1间，设置于实验楼4F~5F，用于物理实验室所用实验器具及实验耗材的存放。</w:t>
                  </w:r>
                </w:p>
              </w:tc>
              <w:tc>
                <w:tcPr>
                  <w:tcW w:w="583" w:type="pct"/>
                  <w:vMerge w:val="continue"/>
                  <w:tcBorders>
                    <w:tl2br w:val="nil"/>
                    <w:tr2bl w:val="nil"/>
                  </w:tcBorders>
                  <w:vAlign w:val="center"/>
                </w:tcPr>
                <w:p w14:paraId="36F5E38B">
                  <w:pPr>
                    <w:pStyle w:val="67"/>
                    <w:spacing w:beforeLines="0" w:afterLines="0" w:line="240" w:lineRule="auto"/>
                    <w:rPr>
                      <w:rFonts w:ascii="Times New Roman" w:hAnsi="Times New Roman" w:cs="Times New Roman"/>
                      <w:color w:val="auto"/>
                      <w:szCs w:val="21"/>
                      <w:highlight w:val="none"/>
                    </w:rPr>
                  </w:pPr>
                </w:p>
              </w:tc>
              <w:tc>
                <w:tcPr>
                  <w:tcW w:w="541" w:type="pct"/>
                  <w:tcBorders>
                    <w:tl2br w:val="nil"/>
                    <w:tr2bl w:val="nil"/>
                  </w:tcBorders>
                  <w:vAlign w:val="center"/>
                </w:tcPr>
                <w:p w14:paraId="2B6FF4FE">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噪声、固废</w:t>
                  </w:r>
                </w:p>
              </w:tc>
              <w:tc>
                <w:tcPr>
                  <w:tcW w:w="599" w:type="pct"/>
                  <w:tcBorders>
                    <w:tl2br w:val="nil"/>
                    <w:tr2bl w:val="nil"/>
                  </w:tcBorders>
                  <w:vAlign w:val="center"/>
                </w:tcPr>
                <w:p w14:paraId="12895A5F">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新建</w:t>
                  </w:r>
                </w:p>
              </w:tc>
            </w:tr>
            <w:tr w14:paraId="362A4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vMerge w:val="restart"/>
                  <w:tcBorders>
                    <w:tl2br w:val="nil"/>
                    <w:tr2bl w:val="nil"/>
                  </w:tcBorders>
                  <w:vAlign w:val="center"/>
                </w:tcPr>
                <w:p w14:paraId="10C66610">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环保工程</w:t>
                  </w:r>
                </w:p>
              </w:tc>
              <w:tc>
                <w:tcPr>
                  <w:tcW w:w="767" w:type="pct"/>
                  <w:tcBorders>
                    <w:tl2br w:val="nil"/>
                    <w:tr2bl w:val="nil"/>
                  </w:tcBorders>
                  <w:vAlign w:val="center"/>
                </w:tcPr>
                <w:p w14:paraId="0E4C65C5">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废气治理</w:t>
                  </w:r>
                </w:p>
              </w:tc>
              <w:tc>
                <w:tcPr>
                  <w:tcW w:w="2189" w:type="pct"/>
                  <w:tcBorders>
                    <w:tl2br w:val="nil"/>
                    <w:tr2bl w:val="nil"/>
                  </w:tcBorders>
                  <w:vAlign w:val="center"/>
                </w:tcPr>
                <w:p w14:paraId="5646B3B1">
                  <w:pPr>
                    <w:pStyle w:val="67"/>
                    <w:spacing w:beforeLines="0" w:afterLines="0" w:line="240" w:lineRule="auto"/>
                    <w:jc w:val="both"/>
                    <w:rPr>
                      <w:rFonts w:hint="default" w:ascii="Times New Roman" w:hAnsi="Times New Roman" w:cs="Times New Roman"/>
                      <w:bCs/>
                      <w:color w:val="auto"/>
                      <w:highlight w:val="none"/>
                      <w:lang w:val="en-US" w:eastAsia="zh-CN"/>
                    </w:rPr>
                  </w:pPr>
                  <w:r>
                    <w:rPr>
                      <w:rFonts w:hint="eastAsia" w:ascii="Times New Roman" w:hAnsi="Times New Roman" w:cs="Times New Roman"/>
                      <w:b/>
                      <w:bCs w:val="0"/>
                      <w:color w:val="auto"/>
                      <w:highlight w:val="none"/>
                      <w:lang w:val="en-US" w:eastAsia="zh-CN"/>
                    </w:rPr>
                    <w:t>实验废气：</w:t>
                  </w:r>
                  <w:r>
                    <w:rPr>
                      <w:rFonts w:hint="eastAsia" w:ascii="Times New Roman" w:hAnsi="Times New Roman" w:cs="Times New Roman"/>
                      <w:bCs/>
                      <w:color w:val="auto"/>
                      <w:highlight w:val="none"/>
                      <w:lang w:val="en-US" w:eastAsia="zh-CN"/>
                    </w:rPr>
                    <w:t>化学药品及仪器室内设置有药品柜，药品柜设有通风系统。化学实验配液由老师配制，在实验准备室设置通风橱1处，在通风橱内进行试剂配置，配置过程中产生的实验废气经收集后排出室外。学生操作实验台上方设置万向集气罩，实验操作产生的废气经集气罩收集后排出室外。</w:t>
                  </w:r>
                </w:p>
              </w:tc>
              <w:tc>
                <w:tcPr>
                  <w:tcW w:w="583" w:type="pct"/>
                  <w:vMerge w:val="continue"/>
                  <w:tcBorders>
                    <w:tl2br w:val="nil"/>
                    <w:tr2bl w:val="nil"/>
                  </w:tcBorders>
                  <w:vAlign w:val="center"/>
                </w:tcPr>
                <w:p w14:paraId="7AACC7CB">
                  <w:pPr>
                    <w:pStyle w:val="67"/>
                    <w:spacing w:beforeLines="0" w:afterLines="0" w:line="240" w:lineRule="auto"/>
                    <w:rPr>
                      <w:rFonts w:ascii="Times New Roman" w:hAnsi="Times New Roman" w:cs="Times New Roman"/>
                      <w:color w:val="auto"/>
                      <w:szCs w:val="21"/>
                      <w:highlight w:val="none"/>
                    </w:rPr>
                  </w:pPr>
                </w:p>
              </w:tc>
              <w:tc>
                <w:tcPr>
                  <w:tcW w:w="541" w:type="pct"/>
                  <w:tcBorders>
                    <w:tl2br w:val="nil"/>
                    <w:tr2bl w:val="nil"/>
                  </w:tcBorders>
                  <w:vAlign w:val="center"/>
                </w:tcPr>
                <w:p w14:paraId="732BFF96">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废气</w:t>
                  </w:r>
                </w:p>
              </w:tc>
              <w:tc>
                <w:tcPr>
                  <w:tcW w:w="599" w:type="pct"/>
                  <w:tcBorders>
                    <w:tl2br w:val="nil"/>
                    <w:tr2bl w:val="nil"/>
                  </w:tcBorders>
                  <w:vAlign w:val="center"/>
                </w:tcPr>
                <w:p w14:paraId="34D52B1C">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 xml:space="preserve">以新带老 </w:t>
                  </w:r>
                </w:p>
              </w:tc>
            </w:tr>
            <w:tr w14:paraId="0B2CA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18" w:type="pct"/>
                  <w:vMerge w:val="continue"/>
                  <w:tcBorders>
                    <w:tl2br w:val="nil"/>
                    <w:tr2bl w:val="nil"/>
                  </w:tcBorders>
                  <w:vAlign w:val="center"/>
                </w:tcPr>
                <w:p w14:paraId="308727F3">
                  <w:pPr>
                    <w:pStyle w:val="67"/>
                    <w:spacing w:beforeLines="0" w:afterLines="0" w:line="240" w:lineRule="auto"/>
                    <w:rPr>
                      <w:rFonts w:hint="eastAsia" w:ascii="Times New Roman" w:hAnsi="Times New Roman" w:cs="Times New Roman"/>
                      <w:color w:val="auto"/>
                      <w:szCs w:val="21"/>
                      <w:highlight w:val="none"/>
                      <w:lang w:val="en-US" w:eastAsia="zh-CN"/>
                    </w:rPr>
                  </w:pPr>
                </w:p>
              </w:tc>
              <w:tc>
                <w:tcPr>
                  <w:tcW w:w="767" w:type="pct"/>
                  <w:tcBorders>
                    <w:tl2br w:val="nil"/>
                    <w:tr2bl w:val="nil"/>
                  </w:tcBorders>
                  <w:vAlign w:val="center"/>
                </w:tcPr>
                <w:p w14:paraId="3F550BF1">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废水治理</w:t>
                  </w:r>
                </w:p>
              </w:tc>
              <w:tc>
                <w:tcPr>
                  <w:tcW w:w="2189" w:type="pct"/>
                  <w:tcBorders>
                    <w:tl2br w:val="nil"/>
                    <w:tr2bl w:val="nil"/>
                  </w:tcBorders>
                  <w:vAlign w:val="center"/>
                </w:tcPr>
                <w:p w14:paraId="7A7BC5EC">
                  <w:pPr>
                    <w:pStyle w:val="67"/>
                    <w:spacing w:beforeLines="0" w:afterLines="0" w:line="240" w:lineRule="auto"/>
                    <w:jc w:val="both"/>
                    <w:rPr>
                      <w:rFonts w:hint="default" w:ascii="Times New Roman" w:hAnsi="Times New Roman" w:cs="Times New Roman"/>
                      <w:bCs/>
                      <w:color w:val="auto"/>
                      <w:highlight w:val="none"/>
                      <w:lang w:val="en-US" w:eastAsia="zh-CN"/>
                    </w:rPr>
                  </w:pPr>
                  <w:r>
                    <w:rPr>
                      <w:rFonts w:hint="eastAsia" w:ascii="Times New Roman" w:hAnsi="Times New Roman" w:cs="Times New Roman"/>
                      <w:b/>
                      <w:bCs w:val="0"/>
                      <w:color w:val="auto"/>
                      <w:highlight w:val="none"/>
                      <w:lang w:val="en-US" w:eastAsia="zh-CN"/>
                    </w:rPr>
                    <w:t>实验室废水：</w:t>
                  </w:r>
                  <w:r>
                    <w:rPr>
                      <w:rFonts w:hint="eastAsia" w:ascii="Times New Roman" w:hAnsi="Times New Roman" w:cs="Times New Roman"/>
                      <w:bCs/>
                      <w:color w:val="auto"/>
                      <w:highlight w:val="none"/>
                      <w:lang w:val="en-US" w:eastAsia="zh-CN"/>
                    </w:rPr>
                    <w:t>实验室废液、前3次器皿清洗废水作为危废暂存在危废暂存间内，4次及以后清洗废水和实验辅助废水进入酸碱中和池中和后，依托已建预处理处理后排入市政污水管网。</w:t>
                  </w:r>
                </w:p>
              </w:tc>
              <w:tc>
                <w:tcPr>
                  <w:tcW w:w="583" w:type="pct"/>
                  <w:vMerge w:val="continue"/>
                  <w:tcBorders>
                    <w:tl2br w:val="nil"/>
                    <w:tr2bl w:val="nil"/>
                  </w:tcBorders>
                  <w:vAlign w:val="center"/>
                </w:tcPr>
                <w:p w14:paraId="28D90480">
                  <w:pPr>
                    <w:pStyle w:val="67"/>
                    <w:spacing w:beforeLines="0" w:afterLines="0" w:line="240" w:lineRule="auto"/>
                    <w:rPr>
                      <w:rFonts w:ascii="Times New Roman" w:hAnsi="Times New Roman" w:cs="Times New Roman"/>
                      <w:color w:val="auto"/>
                      <w:szCs w:val="21"/>
                      <w:highlight w:val="none"/>
                    </w:rPr>
                  </w:pPr>
                </w:p>
              </w:tc>
              <w:tc>
                <w:tcPr>
                  <w:tcW w:w="541" w:type="pct"/>
                  <w:tcBorders>
                    <w:tl2br w:val="nil"/>
                    <w:tr2bl w:val="nil"/>
                  </w:tcBorders>
                  <w:vAlign w:val="center"/>
                </w:tcPr>
                <w:p w14:paraId="1EF9F68B">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废水、固废</w:t>
                  </w:r>
                </w:p>
              </w:tc>
              <w:tc>
                <w:tcPr>
                  <w:tcW w:w="599" w:type="pct"/>
                  <w:tcBorders>
                    <w:tl2br w:val="nil"/>
                    <w:tr2bl w:val="nil"/>
                  </w:tcBorders>
                  <w:vAlign w:val="center"/>
                </w:tcPr>
                <w:p w14:paraId="1D78BB9F">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以新带老</w:t>
                  </w:r>
                </w:p>
              </w:tc>
            </w:tr>
            <w:tr w14:paraId="6915A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vMerge w:val="continue"/>
                  <w:tcBorders>
                    <w:tl2br w:val="nil"/>
                    <w:tr2bl w:val="nil"/>
                  </w:tcBorders>
                  <w:vAlign w:val="center"/>
                </w:tcPr>
                <w:p w14:paraId="2948283A">
                  <w:pPr>
                    <w:pStyle w:val="67"/>
                    <w:spacing w:beforeLines="0" w:afterLines="0" w:line="240" w:lineRule="auto"/>
                    <w:rPr>
                      <w:rFonts w:hint="eastAsia" w:ascii="Times New Roman" w:hAnsi="Times New Roman" w:cs="Times New Roman"/>
                      <w:color w:val="auto"/>
                      <w:szCs w:val="21"/>
                      <w:highlight w:val="none"/>
                      <w:lang w:val="en-US" w:eastAsia="zh-CN"/>
                    </w:rPr>
                  </w:pPr>
                </w:p>
              </w:tc>
              <w:tc>
                <w:tcPr>
                  <w:tcW w:w="767" w:type="pct"/>
                  <w:vMerge w:val="restart"/>
                  <w:tcBorders>
                    <w:tl2br w:val="nil"/>
                    <w:tr2bl w:val="nil"/>
                  </w:tcBorders>
                  <w:vAlign w:val="center"/>
                </w:tcPr>
                <w:p w14:paraId="37338436">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固废处置</w:t>
                  </w:r>
                </w:p>
              </w:tc>
              <w:tc>
                <w:tcPr>
                  <w:tcW w:w="2189" w:type="pct"/>
                  <w:tcBorders>
                    <w:tl2br w:val="nil"/>
                    <w:tr2bl w:val="nil"/>
                  </w:tcBorders>
                  <w:vAlign w:val="center"/>
                </w:tcPr>
                <w:p w14:paraId="4AE45CFB">
                  <w:pPr>
                    <w:pStyle w:val="67"/>
                    <w:spacing w:beforeLines="0" w:afterLines="0" w:line="240" w:lineRule="auto"/>
                    <w:jc w:val="both"/>
                    <w:rPr>
                      <w:rFonts w:hint="default" w:ascii="Times New Roman" w:hAnsi="Times New Roman" w:cs="Times New Roman"/>
                      <w:bCs/>
                      <w:color w:val="auto"/>
                      <w:highlight w:val="none"/>
                      <w:lang w:val="en-US" w:eastAsia="zh-CN"/>
                    </w:rPr>
                  </w:pPr>
                  <w:r>
                    <w:rPr>
                      <w:rFonts w:hint="eastAsia" w:ascii="Times New Roman" w:hAnsi="Times New Roman" w:cs="Times New Roman"/>
                      <w:b/>
                      <w:bCs w:val="0"/>
                      <w:color w:val="auto"/>
                      <w:highlight w:val="none"/>
                      <w:lang w:val="en-US" w:eastAsia="zh-CN"/>
                    </w:rPr>
                    <w:t>一般固体废物：</w:t>
                  </w:r>
                  <w:r>
                    <w:rPr>
                      <w:rFonts w:hint="eastAsia" w:ascii="Times New Roman" w:hAnsi="Times New Roman" w:cs="Times New Roman"/>
                      <w:bCs/>
                      <w:color w:val="auto"/>
                      <w:highlight w:val="none"/>
                      <w:lang w:val="en-US" w:eastAsia="zh-CN"/>
                    </w:rPr>
                    <w:t>实验室固体废物经垃圾桶收集后由环卫部门统一清运处置。</w:t>
                  </w:r>
                </w:p>
              </w:tc>
              <w:tc>
                <w:tcPr>
                  <w:tcW w:w="583" w:type="pct"/>
                  <w:vMerge w:val="continue"/>
                  <w:tcBorders>
                    <w:tl2br w:val="nil"/>
                    <w:tr2bl w:val="nil"/>
                  </w:tcBorders>
                  <w:vAlign w:val="center"/>
                </w:tcPr>
                <w:p w14:paraId="4FE2A2E7">
                  <w:pPr>
                    <w:pStyle w:val="67"/>
                    <w:spacing w:beforeLines="0" w:afterLines="0" w:line="240" w:lineRule="auto"/>
                    <w:rPr>
                      <w:rFonts w:ascii="Times New Roman" w:hAnsi="Times New Roman" w:cs="Times New Roman"/>
                      <w:color w:val="auto"/>
                      <w:szCs w:val="21"/>
                      <w:highlight w:val="none"/>
                    </w:rPr>
                  </w:pPr>
                </w:p>
              </w:tc>
              <w:tc>
                <w:tcPr>
                  <w:tcW w:w="541" w:type="pct"/>
                  <w:tcBorders>
                    <w:tl2br w:val="nil"/>
                    <w:tr2bl w:val="nil"/>
                  </w:tcBorders>
                  <w:vAlign w:val="center"/>
                </w:tcPr>
                <w:p w14:paraId="020007B5">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一般固废</w:t>
                  </w:r>
                </w:p>
              </w:tc>
              <w:tc>
                <w:tcPr>
                  <w:tcW w:w="599" w:type="pct"/>
                  <w:tcBorders>
                    <w:tl2br w:val="nil"/>
                    <w:tr2bl w:val="nil"/>
                  </w:tcBorders>
                  <w:vAlign w:val="center"/>
                </w:tcPr>
                <w:p w14:paraId="269ADAD1">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利旧</w:t>
                  </w:r>
                </w:p>
              </w:tc>
            </w:tr>
            <w:tr w14:paraId="48340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vMerge w:val="continue"/>
                  <w:tcBorders>
                    <w:tl2br w:val="nil"/>
                    <w:tr2bl w:val="nil"/>
                  </w:tcBorders>
                  <w:vAlign w:val="center"/>
                </w:tcPr>
                <w:p w14:paraId="723C1E3B">
                  <w:pPr>
                    <w:pStyle w:val="67"/>
                    <w:spacing w:beforeLines="0" w:afterLines="0" w:line="240" w:lineRule="auto"/>
                    <w:rPr>
                      <w:rFonts w:hint="eastAsia" w:ascii="Times New Roman" w:hAnsi="Times New Roman" w:cs="Times New Roman"/>
                      <w:color w:val="auto"/>
                      <w:szCs w:val="21"/>
                      <w:highlight w:val="none"/>
                      <w:lang w:val="en-US" w:eastAsia="zh-CN"/>
                    </w:rPr>
                  </w:pPr>
                </w:p>
              </w:tc>
              <w:tc>
                <w:tcPr>
                  <w:tcW w:w="767" w:type="pct"/>
                  <w:vMerge w:val="continue"/>
                  <w:tcBorders>
                    <w:tl2br w:val="nil"/>
                    <w:tr2bl w:val="nil"/>
                  </w:tcBorders>
                  <w:vAlign w:val="center"/>
                </w:tcPr>
                <w:p w14:paraId="7ED1EC33">
                  <w:pPr>
                    <w:pStyle w:val="67"/>
                    <w:spacing w:beforeLines="0" w:afterLines="0" w:line="240" w:lineRule="auto"/>
                    <w:rPr>
                      <w:rFonts w:hint="eastAsia" w:ascii="Times New Roman" w:hAnsi="Times New Roman" w:cs="Times New Roman"/>
                      <w:color w:val="auto"/>
                      <w:szCs w:val="21"/>
                      <w:highlight w:val="none"/>
                      <w:lang w:val="en-US" w:eastAsia="zh-CN"/>
                    </w:rPr>
                  </w:pPr>
                </w:p>
              </w:tc>
              <w:tc>
                <w:tcPr>
                  <w:tcW w:w="2189" w:type="pct"/>
                  <w:tcBorders>
                    <w:tl2br w:val="nil"/>
                    <w:tr2bl w:val="nil"/>
                  </w:tcBorders>
                  <w:vAlign w:val="center"/>
                </w:tcPr>
                <w:p w14:paraId="0C9F4ABF">
                  <w:pPr>
                    <w:pStyle w:val="67"/>
                    <w:spacing w:beforeLines="0" w:afterLines="0" w:line="240" w:lineRule="auto"/>
                    <w:jc w:val="both"/>
                    <w:rPr>
                      <w:rFonts w:hint="default" w:ascii="Times New Roman" w:hAnsi="Times New Roman" w:cs="Times New Roman"/>
                      <w:bCs/>
                      <w:color w:val="auto"/>
                      <w:highlight w:val="none"/>
                      <w:lang w:val="en-US" w:eastAsia="zh-CN"/>
                    </w:rPr>
                  </w:pPr>
                  <w:r>
                    <w:rPr>
                      <w:rFonts w:hint="eastAsia" w:ascii="Times New Roman" w:hAnsi="Times New Roman" w:cs="Times New Roman"/>
                      <w:b/>
                      <w:bCs w:val="0"/>
                      <w:color w:val="auto"/>
                      <w:highlight w:val="none"/>
                      <w:lang w:val="en-US" w:eastAsia="zh-CN"/>
                    </w:rPr>
                    <w:t>危险废物暂存间：</w:t>
                  </w:r>
                  <w:r>
                    <w:rPr>
                      <w:rFonts w:hint="eastAsia" w:ascii="Times New Roman" w:hAnsi="Times New Roman" w:cs="Times New Roman"/>
                      <w:bCs/>
                      <w:color w:val="auto"/>
                      <w:highlight w:val="none"/>
                      <w:lang w:val="en-US" w:eastAsia="zh-CN"/>
                    </w:rPr>
                    <w:t>在实验楼2楼实验准备室内设置1间危废暂存间，面积约2m</w:t>
                  </w:r>
                  <w:r>
                    <w:rPr>
                      <w:rFonts w:hint="eastAsia" w:ascii="Times New Roman" w:hAnsi="Times New Roman" w:cs="Times New Roman"/>
                      <w:bCs/>
                      <w:color w:val="auto"/>
                      <w:highlight w:val="none"/>
                      <w:vertAlign w:val="superscript"/>
                      <w:lang w:val="en-US" w:eastAsia="zh-CN"/>
                    </w:rPr>
                    <w:t>2</w:t>
                  </w:r>
                  <w:r>
                    <w:rPr>
                      <w:rFonts w:hint="eastAsia" w:ascii="Times New Roman" w:hAnsi="Times New Roman" w:cs="Times New Roman"/>
                      <w:bCs/>
                      <w:color w:val="auto"/>
                      <w:highlight w:val="none"/>
                      <w:lang w:val="en-US" w:eastAsia="zh-CN"/>
                    </w:rPr>
                    <w:t>，用于暂存教学实验产生的危险废物，设置防渗托盘进行防渗处理，同时设置标识标牌，建立危险废物台账，危险废物暂存在危废暂存间内，定期交有危废处置单位运输处置。</w:t>
                  </w:r>
                </w:p>
              </w:tc>
              <w:tc>
                <w:tcPr>
                  <w:tcW w:w="583" w:type="pct"/>
                  <w:vMerge w:val="continue"/>
                  <w:tcBorders>
                    <w:tl2br w:val="nil"/>
                    <w:tr2bl w:val="nil"/>
                  </w:tcBorders>
                  <w:vAlign w:val="center"/>
                </w:tcPr>
                <w:p w14:paraId="6FD5517D">
                  <w:pPr>
                    <w:pStyle w:val="67"/>
                    <w:spacing w:beforeLines="0" w:afterLines="0" w:line="240" w:lineRule="auto"/>
                    <w:rPr>
                      <w:rFonts w:ascii="Times New Roman" w:hAnsi="Times New Roman" w:cs="Times New Roman"/>
                      <w:color w:val="auto"/>
                      <w:szCs w:val="21"/>
                      <w:highlight w:val="none"/>
                    </w:rPr>
                  </w:pPr>
                </w:p>
              </w:tc>
              <w:tc>
                <w:tcPr>
                  <w:tcW w:w="541" w:type="pct"/>
                  <w:tcBorders>
                    <w:tl2br w:val="nil"/>
                    <w:tr2bl w:val="nil"/>
                  </w:tcBorders>
                  <w:vAlign w:val="center"/>
                </w:tcPr>
                <w:p w14:paraId="375730DF">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危险废物</w:t>
                  </w:r>
                </w:p>
              </w:tc>
              <w:tc>
                <w:tcPr>
                  <w:tcW w:w="599" w:type="pct"/>
                  <w:tcBorders>
                    <w:tl2br w:val="nil"/>
                    <w:tr2bl w:val="nil"/>
                  </w:tcBorders>
                  <w:vAlign w:val="center"/>
                </w:tcPr>
                <w:p w14:paraId="74D46B61">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以新带老</w:t>
                  </w:r>
                </w:p>
              </w:tc>
            </w:tr>
            <w:tr w14:paraId="346DC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vMerge w:val="continue"/>
                  <w:tcBorders>
                    <w:tl2br w:val="nil"/>
                    <w:tr2bl w:val="nil"/>
                  </w:tcBorders>
                  <w:vAlign w:val="center"/>
                </w:tcPr>
                <w:p w14:paraId="690B7CDD">
                  <w:pPr>
                    <w:pStyle w:val="67"/>
                    <w:spacing w:beforeLines="0" w:afterLines="0" w:line="240" w:lineRule="auto"/>
                    <w:rPr>
                      <w:rFonts w:hint="eastAsia" w:ascii="Times New Roman" w:hAnsi="Times New Roman" w:cs="Times New Roman"/>
                      <w:color w:val="auto"/>
                      <w:szCs w:val="21"/>
                      <w:highlight w:val="none"/>
                      <w:lang w:val="en-US" w:eastAsia="zh-CN"/>
                    </w:rPr>
                  </w:pPr>
                </w:p>
              </w:tc>
              <w:tc>
                <w:tcPr>
                  <w:tcW w:w="767" w:type="pct"/>
                  <w:tcBorders>
                    <w:tl2br w:val="nil"/>
                    <w:tr2bl w:val="nil"/>
                  </w:tcBorders>
                  <w:vAlign w:val="center"/>
                </w:tcPr>
                <w:p w14:paraId="1D7EB9F6">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噪声</w:t>
                  </w:r>
                </w:p>
              </w:tc>
              <w:tc>
                <w:tcPr>
                  <w:tcW w:w="2189" w:type="pct"/>
                  <w:tcBorders>
                    <w:tl2br w:val="nil"/>
                    <w:tr2bl w:val="nil"/>
                  </w:tcBorders>
                  <w:vAlign w:val="center"/>
                </w:tcPr>
                <w:p w14:paraId="56352A22">
                  <w:pPr>
                    <w:pStyle w:val="67"/>
                    <w:spacing w:beforeLines="0" w:afterLines="0" w:line="240" w:lineRule="auto"/>
                    <w:jc w:val="both"/>
                    <w:rPr>
                      <w:rFonts w:hint="eastAsia" w:ascii="Times New Roman" w:hAnsi="Times New Roman" w:cs="Times New Roman"/>
                      <w:bCs/>
                      <w:color w:val="auto"/>
                      <w:highlight w:val="none"/>
                      <w:lang w:val="en-US" w:eastAsia="zh-CN"/>
                    </w:rPr>
                  </w:pPr>
                  <w:r>
                    <w:rPr>
                      <w:rFonts w:hint="eastAsia" w:ascii="Times New Roman" w:hAnsi="Times New Roman" w:cs="Times New Roman"/>
                      <w:bCs/>
                      <w:color w:val="auto"/>
                      <w:highlight w:val="none"/>
                      <w:lang w:val="en-US" w:eastAsia="zh-CN"/>
                    </w:rPr>
                    <w:t>实验设备、风机采取墙体隔声、距离衰减等措施；</w:t>
                  </w:r>
                  <w:r>
                    <w:rPr>
                      <w:rFonts w:ascii="Times New Roman" w:hAnsi="Times New Roman" w:eastAsiaTheme="minorEastAsia"/>
                      <w:color w:val="auto"/>
                      <w:highlight w:val="none"/>
                      <w:vertAlign w:val="baseline"/>
                    </w:rPr>
                    <w:t>加强</w:t>
                  </w:r>
                  <w:r>
                    <w:rPr>
                      <w:rFonts w:hint="eastAsia" w:ascii="Times New Roman" w:hAnsi="Times New Roman" w:eastAsiaTheme="minorEastAsia"/>
                      <w:color w:val="auto"/>
                      <w:highlight w:val="none"/>
                      <w:vertAlign w:val="baseline"/>
                      <w:lang w:val="en-US" w:eastAsia="zh-CN"/>
                    </w:rPr>
                    <w:t>校</w:t>
                  </w:r>
                  <w:r>
                    <w:rPr>
                      <w:rFonts w:ascii="Times New Roman" w:hAnsi="Times New Roman" w:eastAsiaTheme="minorEastAsia"/>
                      <w:color w:val="auto"/>
                      <w:highlight w:val="none"/>
                      <w:vertAlign w:val="baseline"/>
                    </w:rPr>
                    <w:t>内管理，粘贴提示标语，</w:t>
                  </w:r>
                  <w:r>
                    <w:rPr>
                      <w:rFonts w:hint="eastAsia" w:ascii="Times New Roman" w:hAnsi="Times New Roman" w:eastAsiaTheme="minorEastAsia"/>
                      <w:color w:val="auto"/>
                      <w:highlight w:val="none"/>
                      <w:vertAlign w:val="baseline"/>
                      <w:lang w:val="en-US" w:eastAsia="zh-CN"/>
                    </w:rPr>
                    <w:t>校内</w:t>
                  </w:r>
                  <w:r>
                    <w:rPr>
                      <w:rFonts w:ascii="Times New Roman" w:hAnsi="Times New Roman" w:eastAsiaTheme="minorEastAsia"/>
                      <w:color w:val="auto"/>
                      <w:highlight w:val="none"/>
                      <w:vertAlign w:val="baseline"/>
                    </w:rPr>
                    <w:t>禁止喧哗、吵闹等管理措施</w:t>
                  </w:r>
                </w:p>
              </w:tc>
              <w:tc>
                <w:tcPr>
                  <w:tcW w:w="583" w:type="pct"/>
                  <w:vMerge w:val="continue"/>
                  <w:tcBorders>
                    <w:tl2br w:val="nil"/>
                    <w:tr2bl w:val="nil"/>
                  </w:tcBorders>
                  <w:vAlign w:val="center"/>
                </w:tcPr>
                <w:p w14:paraId="63106D2A">
                  <w:pPr>
                    <w:pStyle w:val="67"/>
                    <w:spacing w:beforeLines="0" w:afterLines="0" w:line="240" w:lineRule="auto"/>
                    <w:rPr>
                      <w:rFonts w:ascii="Times New Roman" w:hAnsi="Times New Roman" w:cs="Times New Roman"/>
                      <w:color w:val="auto"/>
                      <w:szCs w:val="21"/>
                      <w:highlight w:val="none"/>
                    </w:rPr>
                  </w:pPr>
                </w:p>
              </w:tc>
              <w:tc>
                <w:tcPr>
                  <w:tcW w:w="541" w:type="pct"/>
                  <w:tcBorders>
                    <w:tl2br w:val="nil"/>
                    <w:tr2bl w:val="nil"/>
                  </w:tcBorders>
                  <w:vAlign w:val="center"/>
                </w:tcPr>
                <w:p w14:paraId="44C696CD">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噪声</w:t>
                  </w:r>
                </w:p>
              </w:tc>
              <w:tc>
                <w:tcPr>
                  <w:tcW w:w="599" w:type="pct"/>
                  <w:tcBorders>
                    <w:tl2br w:val="nil"/>
                    <w:tr2bl w:val="nil"/>
                  </w:tcBorders>
                  <w:vAlign w:val="center"/>
                </w:tcPr>
                <w:p w14:paraId="733E4371">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新建</w:t>
                  </w:r>
                </w:p>
              </w:tc>
            </w:tr>
            <w:tr w14:paraId="733CD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vMerge w:val="continue"/>
                  <w:tcBorders>
                    <w:tl2br w:val="nil"/>
                    <w:tr2bl w:val="nil"/>
                  </w:tcBorders>
                  <w:vAlign w:val="center"/>
                </w:tcPr>
                <w:p w14:paraId="62764D1A">
                  <w:pPr>
                    <w:pStyle w:val="67"/>
                    <w:spacing w:beforeLines="0" w:afterLines="0" w:line="240" w:lineRule="auto"/>
                    <w:rPr>
                      <w:rFonts w:hint="eastAsia" w:ascii="Times New Roman" w:hAnsi="Times New Roman" w:cs="Times New Roman"/>
                      <w:color w:val="auto"/>
                      <w:szCs w:val="21"/>
                      <w:highlight w:val="none"/>
                      <w:lang w:val="en-US" w:eastAsia="zh-CN"/>
                    </w:rPr>
                  </w:pPr>
                </w:p>
              </w:tc>
              <w:tc>
                <w:tcPr>
                  <w:tcW w:w="767" w:type="pct"/>
                  <w:tcBorders>
                    <w:tl2br w:val="nil"/>
                    <w:tr2bl w:val="nil"/>
                  </w:tcBorders>
                  <w:vAlign w:val="center"/>
                </w:tcPr>
                <w:p w14:paraId="2DA3BDA2">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地下水污染防治</w:t>
                  </w:r>
                </w:p>
              </w:tc>
              <w:tc>
                <w:tcPr>
                  <w:tcW w:w="2189" w:type="pct"/>
                  <w:tcBorders>
                    <w:tl2br w:val="nil"/>
                    <w:tr2bl w:val="nil"/>
                  </w:tcBorders>
                  <w:vAlign w:val="center"/>
                </w:tcPr>
                <w:p w14:paraId="3C05EDFE">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b/>
                      <w:color w:val="auto"/>
                      <w:szCs w:val="21"/>
                      <w:highlight w:val="none"/>
                    </w:rPr>
                    <w:t>①</w:t>
                  </w:r>
                  <w:r>
                    <w:rPr>
                      <w:rFonts w:hint="default" w:ascii="Times New Roman" w:hAnsi="Times New Roman" w:cs="Times New Roman"/>
                      <w:b/>
                      <w:color w:val="auto"/>
                      <w:szCs w:val="21"/>
                      <w:highlight w:val="none"/>
                    </w:rPr>
                    <w:t>重点防渗区：</w:t>
                  </w:r>
                  <w:r>
                    <w:rPr>
                      <w:rFonts w:hint="default" w:ascii="Times New Roman" w:hAnsi="Times New Roman" w:cs="Times New Roman"/>
                      <w:b w:val="0"/>
                      <w:bCs/>
                      <w:color w:val="auto"/>
                      <w:szCs w:val="21"/>
                      <w:highlight w:val="none"/>
                      <w:lang w:val="en-US" w:eastAsia="zh-CN"/>
                    </w:rPr>
                    <w:t>危废暂存间地面</w:t>
                  </w:r>
                  <w:r>
                    <w:rPr>
                      <w:rFonts w:hint="default" w:ascii="Times New Roman" w:hAnsi="Times New Roman" w:cs="Times New Roman"/>
                      <w:b w:val="0"/>
                      <w:bCs/>
                      <w:color w:val="auto"/>
                      <w:sz w:val="21"/>
                      <w:szCs w:val="21"/>
                      <w:highlight w:val="none"/>
                    </w:rPr>
                    <w:t>采</w:t>
                  </w:r>
                  <w:r>
                    <w:rPr>
                      <w:rFonts w:hint="default" w:ascii="Times New Roman" w:hAnsi="Times New Roman" w:cs="Times New Roman"/>
                      <w:color w:val="auto"/>
                      <w:sz w:val="21"/>
                      <w:szCs w:val="21"/>
                      <w:highlight w:val="none"/>
                    </w:rPr>
                    <w:t>用抗渗混凝土、高密度聚乙烯膜、钠基膨润土防水毯或其他防渗性能等效的材料，裙脚同步防渗</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液体容器底部增加托盘</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防渗技术</w:t>
                  </w:r>
                  <w:r>
                    <w:rPr>
                      <w:rFonts w:hint="default" w:ascii="Times New Roman" w:hAnsi="Times New Roman" w:cs="Times New Roman"/>
                      <w:color w:val="auto"/>
                      <w:szCs w:val="21"/>
                      <w:highlight w:val="none"/>
                      <w:lang w:val="en-US" w:eastAsia="zh-CN"/>
                    </w:rPr>
                    <w:t>满足</w:t>
                  </w:r>
                  <w:r>
                    <w:rPr>
                      <w:rFonts w:hint="default" w:ascii="Times New Roman" w:hAnsi="Times New Roman" w:cs="Times New Roman"/>
                      <w:color w:val="auto"/>
                      <w:szCs w:val="21"/>
                      <w:highlight w:val="none"/>
                    </w:rPr>
                    <w:t>等效黏土防渗层Mb≥6.0m，K≤10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10</w:t>
                  </w:r>
                  <w:r>
                    <w:rPr>
                      <w:rFonts w:hint="default" w:ascii="Times New Roman" w:hAnsi="Times New Roman" w:cs="Times New Roman"/>
                      <w:color w:val="auto"/>
                      <w:szCs w:val="21"/>
                      <w:highlight w:val="none"/>
                    </w:rPr>
                    <w:t>cm/s</w:t>
                  </w:r>
                  <w:r>
                    <w:rPr>
                      <w:rFonts w:hint="default" w:ascii="Times New Roman" w:hAnsi="Times New Roman" w:cs="Times New Roman"/>
                      <w:color w:val="auto"/>
                      <w:szCs w:val="21"/>
                      <w:highlight w:val="none"/>
                      <w:lang w:val="en-US" w:eastAsia="zh-CN"/>
                    </w:rPr>
                    <w:t>的</w:t>
                  </w:r>
                  <w:r>
                    <w:rPr>
                      <w:rFonts w:hint="default" w:ascii="Times New Roman" w:hAnsi="Times New Roman" w:cs="Times New Roman"/>
                      <w:color w:val="auto"/>
                      <w:szCs w:val="21"/>
                      <w:highlight w:val="none"/>
                    </w:rPr>
                    <w:t>要求</w:t>
                  </w:r>
                  <w:r>
                    <w:rPr>
                      <w:rFonts w:hint="default" w:ascii="Times New Roman" w:hAnsi="Times New Roman" w:cs="Times New Roman"/>
                      <w:color w:val="auto"/>
                      <w:szCs w:val="21"/>
                      <w:highlight w:val="none"/>
                      <w:lang w:val="en-US" w:eastAsia="zh-CN"/>
                    </w:rPr>
                    <w:t>；</w:t>
                  </w:r>
                </w:p>
                <w:p w14:paraId="14629EAE">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color w:val="auto"/>
                      <w:szCs w:val="21"/>
                      <w:highlight w:val="none"/>
                    </w:rPr>
                    <w:t>②</w:t>
                  </w:r>
                  <w:r>
                    <w:rPr>
                      <w:rFonts w:hint="default" w:ascii="Times New Roman" w:hAnsi="Times New Roman" w:eastAsia="宋体" w:cs="Times New Roman"/>
                      <w:b/>
                      <w:color w:val="auto"/>
                      <w:szCs w:val="21"/>
                      <w:highlight w:val="none"/>
                      <w:lang w:val="en-US" w:eastAsia="zh-CN"/>
                    </w:rPr>
                    <w:t>一般防渗区：</w:t>
                  </w:r>
                  <w:r>
                    <w:rPr>
                      <w:rFonts w:hint="default" w:ascii="Times New Roman" w:hAnsi="Times New Roman" w:eastAsia="宋体" w:cs="Times New Roman"/>
                      <w:b w:val="0"/>
                      <w:bCs/>
                      <w:color w:val="auto"/>
                      <w:szCs w:val="21"/>
                      <w:highlight w:val="none"/>
                      <w:lang w:val="en-US" w:eastAsia="zh-CN"/>
                    </w:rPr>
                    <w:t>药品及仪器室地面</w:t>
                  </w:r>
                  <w:r>
                    <w:rPr>
                      <w:rFonts w:hint="default" w:ascii="Times New Roman" w:hAnsi="Times New Roman" w:eastAsia="宋体" w:cs="Times New Roman"/>
                      <w:color w:val="auto"/>
                      <w:szCs w:val="21"/>
                      <w:lang w:val="en-US" w:eastAsia="zh-CN"/>
                    </w:rPr>
                    <w:t>地面采用20cm厚P4等级混凝土进行防渗；酸碱中和池</w:t>
                  </w:r>
                  <w:r>
                    <w:rPr>
                      <w:rFonts w:hint="default" w:ascii="Times New Roman" w:hAnsi="Times New Roman" w:eastAsia="宋体" w:cs="Times New Roman"/>
                      <w:color w:val="auto"/>
                      <w:sz w:val="21"/>
                      <w:szCs w:val="21"/>
                      <w:lang w:val="en-US" w:eastAsia="zh-CN"/>
                    </w:rPr>
                    <w:t>池底、池壁采用20cm厚P4等级混凝土进行防渗</w:t>
                  </w:r>
                  <w:r>
                    <w:rPr>
                      <w:rFonts w:hint="default" w:ascii="Times New Roman" w:hAnsi="Times New Roman" w:eastAsia="宋体" w:cs="Times New Roman"/>
                      <w:color w:val="auto"/>
                      <w:szCs w:val="21"/>
                      <w:lang w:eastAsia="zh-CN"/>
                    </w:rPr>
                    <w:t>。</w:t>
                  </w:r>
                  <w:r>
                    <w:rPr>
                      <w:rFonts w:hint="default" w:ascii="Times New Roman" w:hAnsi="Times New Roman" w:cs="Times New Roman"/>
                      <w:color w:val="auto"/>
                      <w:szCs w:val="21"/>
                      <w:highlight w:val="none"/>
                    </w:rPr>
                    <w:t>防渗技术</w:t>
                  </w:r>
                  <w:r>
                    <w:rPr>
                      <w:rFonts w:hint="default" w:ascii="Times New Roman" w:hAnsi="Times New Roman" w:cs="Times New Roman"/>
                      <w:color w:val="auto"/>
                      <w:szCs w:val="21"/>
                      <w:highlight w:val="none"/>
                      <w:lang w:val="en-US" w:eastAsia="zh-CN"/>
                    </w:rPr>
                    <w:t>满足</w:t>
                  </w:r>
                  <w:r>
                    <w:rPr>
                      <w:rFonts w:hint="default" w:ascii="Times New Roman" w:hAnsi="Times New Roman" w:cs="Times New Roman"/>
                      <w:color w:val="auto"/>
                      <w:szCs w:val="21"/>
                      <w:highlight w:val="none"/>
                    </w:rPr>
                    <w:t>等效黏土防渗层Mb≥6.0m，K≤10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7</w:t>
                  </w:r>
                  <w:r>
                    <w:rPr>
                      <w:rFonts w:hint="default" w:ascii="Times New Roman" w:hAnsi="Times New Roman" w:cs="Times New Roman"/>
                      <w:color w:val="auto"/>
                      <w:szCs w:val="21"/>
                      <w:highlight w:val="none"/>
                    </w:rPr>
                    <w:t>cm/s</w:t>
                  </w:r>
                  <w:r>
                    <w:rPr>
                      <w:rFonts w:hint="default" w:ascii="Times New Roman" w:hAnsi="Times New Roman" w:cs="Times New Roman"/>
                      <w:color w:val="auto"/>
                      <w:szCs w:val="21"/>
                      <w:highlight w:val="none"/>
                      <w:lang w:val="en-US" w:eastAsia="zh-CN"/>
                    </w:rPr>
                    <w:t>的</w:t>
                  </w:r>
                  <w:r>
                    <w:rPr>
                      <w:rFonts w:hint="default" w:ascii="Times New Roman" w:hAnsi="Times New Roman" w:cs="Times New Roman"/>
                      <w:color w:val="auto"/>
                      <w:szCs w:val="21"/>
                      <w:highlight w:val="none"/>
                    </w:rPr>
                    <w:t>要求</w:t>
                  </w:r>
                  <w:r>
                    <w:rPr>
                      <w:rFonts w:hint="default" w:ascii="Times New Roman" w:hAnsi="Times New Roman" w:cs="Times New Roman"/>
                      <w:color w:val="auto"/>
                      <w:szCs w:val="21"/>
                      <w:highlight w:val="none"/>
                      <w:lang w:val="en-US" w:eastAsia="zh-CN"/>
                    </w:rPr>
                    <w:t>；</w:t>
                  </w:r>
                </w:p>
                <w:p w14:paraId="71F5341E">
                  <w:pPr>
                    <w:rPr>
                      <w:rFonts w:hint="default"/>
                      <w:color w:val="auto"/>
                      <w:lang w:val="en-US" w:eastAsia="zh-CN"/>
                    </w:rPr>
                  </w:pPr>
                  <w:r>
                    <w:rPr>
                      <w:rFonts w:hint="default" w:ascii="Times New Roman" w:hAnsi="Times New Roman" w:eastAsia="宋体" w:cs="Times New Roman"/>
                      <w:b/>
                      <w:color w:val="auto"/>
                      <w:szCs w:val="21"/>
                      <w:highlight w:val="none"/>
                    </w:rPr>
                    <w:t>③</w:t>
                  </w:r>
                  <w:r>
                    <w:rPr>
                      <w:rFonts w:hint="default" w:ascii="Times New Roman" w:hAnsi="Times New Roman" w:cs="Times New Roman"/>
                      <w:b/>
                      <w:color w:val="auto"/>
                      <w:szCs w:val="21"/>
                      <w:highlight w:val="none"/>
                    </w:rPr>
                    <w:t>简单防渗区</w:t>
                  </w:r>
                  <w:r>
                    <w:rPr>
                      <w:rFonts w:hint="default" w:ascii="Times New Roman" w:hAnsi="Times New Roman" w:cs="Times New Roman"/>
                      <w:color w:val="auto"/>
                      <w:szCs w:val="21"/>
                      <w:highlight w:val="none"/>
                    </w:rPr>
                    <w:t>：除重点防渗</w:t>
                  </w:r>
                  <w:r>
                    <w:rPr>
                      <w:rFonts w:hint="default" w:ascii="Times New Roman" w:hAnsi="Times New Roman" w:cs="Times New Roman"/>
                      <w:color w:val="auto"/>
                      <w:szCs w:val="21"/>
                      <w:highlight w:val="none"/>
                      <w:lang w:val="en-US" w:eastAsia="zh-CN"/>
                    </w:rPr>
                    <w:t>区</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一般防渗区</w:t>
                  </w:r>
                  <w:r>
                    <w:rPr>
                      <w:rFonts w:hint="default" w:ascii="Times New Roman" w:hAnsi="Times New Roman" w:cs="Times New Roman"/>
                      <w:color w:val="auto"/>
                      <w:szCs w:val="21"/>
                      <w:highlight w:val="none"/>
                    </w:rPr>
                    <w:t>以外区域，防渗技术要求为一般地面硬化，采用防渗混凝土硬化。</w:t>
                  </w:r>
                </w:p>
              </w:tc>
              <w:tc>
                <w:tcPr>
                  <w:tcW w:w="583" w:type="pct"/>
                  <w:vMerge w:val="continue"/>
                  <w:tcBorders>
                    <w:tl2br w:val="nil"/>
                    <w:tr2bl w:val="nil"/>
                  </w:tcBorders>
                  <w:vAlign w:val="center"/>
                </w:tcPr>
                <w:p w14:paraId="26C4E37F">
                  <w:pPr>
                    <w:pStyle w:val="67"/>
                    <w:spacing w:beforeLines="0" w:afterLines="0" w:line="240" w:lineRule="auto"/>
                    <w:rPr>
                      <w:rFonts w:ascii="Times New Roman" w:hAnsi="Times New Roman" w:cs="Times New Roman"/>
                      <w:color w:val="auto"/>
                      <w:szCs w:val="21"/>
                      <w:highlight w:val="none"/>
                    </w:rPr>
                  </w:pPr>
                </w:p>
              </w:tc>
              <w:tc>
                <w:tcPr>
                  <w:tcW w:w="541" w:type="pct"/>
                  <w:tcBorders>
                    <w:tl2br w:val="nil"/>
                    <w:tr2bl w:val="nil"/>
                  </w:tcBorders>
                  <w:vAlign w:val="center"/>
                </w:tcPr>
                <w:p w14:paraId="7640D202">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环境风险</w:t>
                  </w:r>
                </w:p>
              </w:tc>
              <w:tc>
                <w:tcPr>
                  <w:tcW w:w="599" w:type="pct"/>
                  <w:tcBorders>
                    <w:tl2br w:val="nil"/>
                    <w:tr2bl w:val="nil"/>
                  </w:tcBorders>
                  <w:vAlign w:val="center"/>
                </w:tcPr>
                <w:p w14:paraId="0F413C64">
                  <w:pPr>
                    <w:pStyle w:val="67"/>
                    <w:spacing w:beforeLines="0" w:afterLines="0"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新建</w:t>
                  </w:r>
                </w:p>
              </w:tc>
            </w:tr>
          </w:tbl>
          <w:p w14:paraId="10063AF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4、教学安排及课程设置</w:t>
            </w:r>
          </w:p>
          <w:p w14:paraId="66D56E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1</w:t>
            </w:r>
            <w:r>
              <w:rPr>
                <w:rFonts w:hint="eastAsia"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教学安排</w:t>
            </w:r>
          </w:p>
          <w:p w14:paraId="47BA68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color w:val="auto"/>
                <w:sz w:val="24"/>
                <w:szCs w:val="24"/>
                <w:highlight w:val="none"/>
              </w:rPr>
            </w:pPr>
            <w:r>
              <w:rPr>
                <w:rFonts w:hint="default" w:ascii="Times New Roman" w:hAnsi="Times New Roman" w:cs="Times New Roman"/>
                <w:bCs/>
                <w:color w:val="auto"/>
                <w:sz w:val="24"/>
                <w:szCs w:val="24"/>
              </w:rPr>
              <w:t>学校有学生</w:t>
            </w:r>
            <w:r>
              <w:rPr>
                <w:rFonts w:hint="eastAsia" w:ascii="Times New Roman" w:hAnsi="Times New Roman" w:cs="Times New Roman"/>
                <w:bCs/>
                <w:color w:val="auto"/>
                <w:sz w:val="24"/>
                <w:szCs w:val="24"/>
                <w:lang w:val="en-US" w:eastAsia="zh-CN"/>
              </w:rPr>
              <w:t>752</w:t>
            </w:r>
            <w:r>
              <w:rPr>
                <w:rFonts w:hint="default" w:ascii="Times New Roman" w:hAnsi="Times New Roman" w:cs="Times New Roman"/>
                <w:bCs/>
                <w:color w:val="auto"/>
                <w:sz w:val="24"/>
                <w:szCs w:val="24"/>
              </w:rPr>
              <w:t>人，教职工</w:t>
            </w:r>
            <w:r>
              <w:rPr>
                <w:rFonts w:hint="eastAsia" w:ascii="Times New Roman" w:hAnsi="Times New Roman" w:cs="Times New Roman"/>
                <w:bCs/>
                <w:color w:val="auto"/>
                <w:sz w:val="24"/>
                <w:szCs w:val="24"/>
                <w:lang w:val="en-US" w:eastAsia="zh-CN"/>
              </w:rPr>
              <w:t>92</w:t>
            </w:r>
            <w:r>
              <w:rPr>
                <w:rFonts w:hint="default" w:ascii="Times New Roman" w:hAnsi="Times New Roman" w:cs="Times New Roman"/>
                <w:bCs/>
                <w:color w:val="auto"/>
                <w:sz w:val="24"/>
                <w:szCs w:val="24"/>
              </w:rPr>
              <w:t>人，每年2学期，学校学生和教职工均为双休制，节假日休息，寒暑假不上班，年课程时间</w:t>
            </w:r>
            <w:r>
              <w:rPr>
                <w:rFonts w:hint="eastAsia" w:ascii="Times New Roman" w:hAnsi="Times New Roman" w:cs="Times New Roman"/>
                <w:bCs/>
                <w:color w:val="auto"/>
                <w:sz w:val="24"/>
                <w:szCs w:val="24"/>
                <w:lang w:val="en-US" w:eastAsia="zh-CN"/>
              </w:rPr>
              <w:t>95</w:t>
            </w:r>
            <w:r>
              <w:rPr>
                <w:rFonts w:hint="default" w:ascii="Times New Roman" w:hAnsi="Times New Roman" w:cs="Times New Roman"/>
                <w:bCs/>
                <w:color w:val="auto"/>
                <w:sz w:val="24"/>
                <w:szCs w:val="24"/>
              </w:rPr>
              <w:t>天。本项目共设置</w:t>
            </w:r>
            <w:r>
              <w:rPr>
                <w:rFonts w:hint="eastAsia" w:ascii="Times New Roman" w:hAnsi="Times New Roman" w:cs="Times New Roman"/>
                <w:bCs/>
                <w:color w:val="auto"/>
                <w:sz w:val="24"/>
                <w:szCs w:val="24"/>
                <w:lang w:val="en-US" w:eastAsia="zh-CN"/>
              </w:rPr>
              <w:t>21</w:t>
            </w:r>
            <w:r>
              <w:rPr>
                <w:rFonts w:hint="default" w:ascii="Times New Roman" w:hAnsi="Times New Roman" w:cs="Times New Roman"/>
                <w:bCs/>
                <w:color w:val="auto"/>
                <w:sz w:val="24"/>
                <w:szCs w:val="24"/>
              </w:rPr>
              <w:t>个班级，每班学生人数为</w:t>
            </w:r>
            <w:r>
              <w:rPr>
                <w:rFonts w:hint="eastAsia" w:ascii="Times New Roman" w:hAnsi="Times New Roman" w:cs="Times New Roman"/>
                <w:bCs/>
                <w:color w:val="auto"/>
                <w:sz w:val="24"/>
                <w:szCs w:val="24"/>
                <w:lang w:val="en-US" w:eastAsia="zh-CN"/>
              </w:rPr>
              <w:t>40</w:t>
            </w:r>
            <w:r>
              <w:rPr>
                <w:rFonts w:hint="default" w:ascii="Times New Roman" w:hAnsi="Times New Roman" w:cs="Times New Roman"/>
                <w:bCs/>
                <w:color w:val="auto"/>
                <w:sz w:val="24"/>
                <w:szCs w:val="24"/>
              </w:rPr>
              <w:t>人。</w:t>
            </w:r>
          </w:p>
          <w:p w14:paraId="273AEB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2</w:t>
            </w:r>
            <w:r>
              <w:rPr>
                <w:rFonts w:hint="eastAsia"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课程设置</w:t>
            </w:r>
          </w:p>
          <w:p w14:paraId="49AA49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本项目为普通初中教育，开设的课程如下：</w:t>
            </w:r>
          </w:p>
          <w:p w14:paraId="60CC7E82">
            <w:pPr>
              <w:pStyle w:val="114"/>
              <w:bidi w:val="0"/>
              <w:rPr>
                <w:rFonts w:hint="default"/>
                <w:color w:val="auto"/>
                <w:lang w:val="en-US" w:eastAsia="zh-CN"/>
              </w:rPr>
            </w:pPr>
            <w:r>
              <w:rPr>
                <w:rFonts w:hint="eastAsia"/>
                <w:color w:val="auto"/>
                <w:lang w:val="en-US" w:eastAsia="zh-CN"/>
              </w:rPr>
              <w:t>项目教学课程设置</w:t>
            </w:r>
          </w:p>
          <w:tbl>
            <w:tblPr>
              <w:tblStyle w:val="4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40"/>
              <w:gridCol w:w="4643"/>
            </w:tblGrid>
            <w:tr w14:paraId="388BB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2499" w:type="pct"/>
                  <w:tcBorders>
                    <w:tl2br w:val="nil"/>
                    <w:tr2bl w:val="nil"/>
                  </w:tcBorders>
                  <w:vAlign w:val="center"/>
                </w:tcPr>
                <w:p w14:paraId="666E77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课程设置</w:t>
                  </w:r>
                </w:p>
              </w:tc>
              <w:tc>
                <w:tcPr>
                  <w:tcW w:w="2500" w:type="pct"/>
                  <w:tcBorders>
                    <w:tl2br w:val="nil"/>
                    <w:tr2bl w:val="nil"/>
                  </w:tcBorders>
                  <w:vAlign w:val="center"/>
                </w:tcPr>
                <w:p w14:paraId="4B3E99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实施形式</w:t>
                  </w:r>
                </w:p>
              </w:tc>
            </w:tr>
            <w:tr w14:paraId="1B859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9" w:type="pct"/>
                  <w:tcBorders>
                    <w:tl2br w:val="nil"/>
                    <w:tr2bl w:val="nil"/>
                  </w:tcBorders>
                  <w:vAlign w:val="center"/>
                </w:tcPr>
                <w:p w14:paraId="31D4A2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语文</w:t>
                  </w:r>
                </w:p>
              </w:tc>
              <w:tc>
                <w:tcPr>
                  <w:tcW w:w="2500" w:type="pct"/>
                  <w:tcBorders>
                    <w:tl2br w:val="nil"/>
                    <w:tr2bl w:val="nil"/>
                  </w:tcBorders>
                  <w:vAlign w:val="center"/>
                </w:tcPr>
                <w:p w14:paraId="0211E9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课堂教学</w:t>
                  </w:r>
                </w:p>
              </w:tc>
            </w:tr>
            <w:tr w14:paraId="60B4F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9" w:type="pct"/>
                  <w:tcBorders>
                    <w:tl2br w:val="nil"/>
                    <w:tr2bl w:val="nil"/>
                  </w:tcBorders>
                  <w:vAlign w:val="center"/>
                </w:tcPr>
                <w:p w14:paraId="5A9232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数学</w:t>
                  </w:r>
                </w:p>
              </w:tc>
              <w:tc>
                <w:tcPr>
                  <w:tcW w:w="2500" w:type="pct"/>
                  <w:tcBorders>
                    <w:tl2br w:val="nil"/>
                    <w:tr2bl w:val="nil"/>
                  </w:tcBorders>
                  <w:vAlign w:val="center"/>
                </w:tcPr>
                <w:p w14:paraId="4771C5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rPr>
                  </w:pPr>
                  <w:r>
                    <w:rPr>
                      <w:rFonts w:hint="eastAsia" w:ascii="Times New Roman" w:hAnsi="Times New Roman" w:cs="Times New Roman"/>
                      <w:b w:val="0"/>
                      <w:bCs w:val="0"/>
                      <w:color w:val="auto"/>
                      <w:sz w:val="21"/>
                      <w:szCs w:val="21"/>
                      <w:highlight w:val="none"/>
                      <w:vertAlign w:val="baseline"/>
                      <w:lang w:val="en-US" w:eastAsia="zh-CN"/>
                    </w:rPr>
                    <w:t>课堂教学</w:t>
                  </w:r>
                </w:p>
              </w:tc>
            </w:tr>
            <w:tr w14:paraId="441F5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9" w:type="pct"/>
                  <w:tcBorders>
                    <w:tl2br w:val="nil"/>
                    <w:tr2bl w:val="nil"/>
                  </w:tcBorders>
                  <w:vAlign w:val="center"/>
                </w:tcPr>
                <w:p w14:paraId="60DB14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英语</w:t>
                  </w:r>
                </w:p>
              </w:tc>
              <w:tc>
                <w:tcPr>
                  <w:tcW w:w="2500" w:type="pct"/>
                  <w:tcBorders>
                    <w:tl2br w:val="nil"/>
                    <w:tr2bl w:val="nil"/>
                  </w:tcBorders>
                  <w:vAlign w:val="center"/>
                </w:tcPr>
                <w:p w14:paraId="079D91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rPr>
                  </w:pPr>
                  <w:r>
                    <w:rPr>
                      <w:rFonts w:hint="eastAsia" w:ascii="Times New Roman" w:hAnsi="Times New Roman" w:cs="Times New Roman"/>
                      <w:b w:val="0"/>
                      <w:bCs w:val="0"/>
                      <w:color w:val="auto"/>
                      <w:sz w:val="21"/>
                      <w:szCs w:val="21"/>
                      <w:highlight w:val="none"/>
                      <w:vertAlign w:val="baseline"/>
                      <w:lang w:val="en-US" w:eastAsia="zh-CN"/>
                    </w:rPr>
                    <w:t>课堂教学</w:t>
                  </w:r>
                </w:p>
              </w:tc>
            </w:tr>
            <w:tr w14:paraId="5D6C9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9" w:type="pct"/>
                  <w:tcBorders>
                    <w:tl2br w:val="nil"/>
                    <w:tr2bl w:val="nil"/>
                  </w:tcBorders>
                  <w:vAlign w:val="center"/>
                </w:tcPr>
                <w:p w14:paraId="55A1B6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物理（含实验）</w:t>
                  </w:r>
                </w:p>
              </w:tc>
              <w:tc>
                <w:tcPr>
                  <w:tcW w:w="2500" w:type="pct"/>
                  <w:vMerge w:val="restart"/>
                  <w:tcBorders>
                    <w:tl2br w:val="nil"/>
                    <w:tr2bl w:val="nil"/>
                  </w:tcBorders>
                  <w:vAlign w:val="center"/>
                </w:tcPr>
                <w:p w14:paraId="791A41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rPr>
                  </w:pPr>
                  <w:r>
                    <w:rPr>
                      <w:rFonts w:hint="eastAsia" w:ascii="Times New Roman" w:hAnsi="Times New Roman" w:cs="Times New Roman"/>
                      <w:b w:val="0"/>
                      <w:bCs w:val="0"/>
                      <w:color w:val="auto"/>
                      <w:sz w:val="21"/>
                      <w:szCs w:val="21"/>
                      <w:highlight w:val="none"/>
                      <w:vertAlign w:val="baseline"/>
                      <w:lang w:val="en-US" w:eastAsia="zh-CN"/>
                    </w:rPr>
                    <w:t>课堂教学与实验课结合</w:t>
                  </w:r>
                </w:p>
              </w:tc>
            </w:tr>
            <w:tr w14:paraId="48972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9" w:type="pct"/>
                  <w:tcBorders>
                    <w:tl2br w:val="nil"/>
                    <w:tr2bl w:val="nil"/>
                  </w:tcBorders>
                  <w:vAlign w:val="center"/>
                </w:tcPr>
                <w:p w14:paraId="253D4D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化学（含实验）</w:t>
                  </w:r>
                </w:p>
              </w:tc>
              <w:tc>
                <w:tcPr>
                  <w:tcW w:w="2500" w:type="pct"/>
                  <w:vMerge w:val="continue"/>
                  <w:tcBorders>
                    <w:tl2br w:val="nil"/>
                    <w:tr2bl w:val="nil"/>
                  </w:tcBorders>
                  <w:vAlign w:val="center"/>
                </w:tcPr>
                <w:p w14:paraId="42D1D1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rPr>
                  </w:pPr>
                </w:p>
              </w:tc>
            </w:tr>
            <w:tr w14:paraId="418E44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9" w:type="pct"/>
                  <w:tcBorders>
                    <w:tl2br w:val="nil"/>
                    <w:tr2bl w:val="nil"/>
                  </w:tcBorders>
                  <w:vAlign w:val="center"/>
                </w:tcPr>
                <w:p w14:paraId="25E959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生物（含实验）</w:t>
                  </w:r>
                </w:p>
              </w:tc>
              <w:tc>
                <w:tcPr>
                  <w:tcW w:w="2500" w:type="pct"/>
                  <w:vMerge w:val="continue"/>
                  <w:tcBorders>
                    <w:tl2br w:val="nil"/>
                    <w:tr2bl w:val="nil"/>
                  </w:tcBorders>
                  <w:vAlign w:val="center"/>
                </w:tcPr>
                <w:p w14:paraId="1FCD34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rPr>
                  </w:pPr>
                </w:p>
              </w:tc>
            </w:tr>
            <w:tr w14:paraId="33B969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9" w:type="pct"/>
                  <w:tcBorders>
                    <w:tl2br w:val="nil"/>
                    <w:tr2bl w:val="nil"/>
                  </w:tcBorders>
                  <w:vAlign w:val="center"/>
                </w:tcPr>
                <w:p w14:paraId="2C1E6F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地理</w:t>
                  </w:r>
                </w:p>
              </w:tc>
              <w:tc>
                <w:tcPr>
                  <w:tcW w:w="2500" w:type="pct"/>
                  <w:tcBorders>
                    <w:tl2br w:val="nil"/>
                    <w:tr2bl w:val="nil"/>
                  </w:tcBorders>
                  <w:vAlign w:val="center"/>
                </w:tcPr>
                <w:p w14:paraId="69E168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rPr>
                  </w:pPr>
                  <w:r>
                    <w:rPr>
                      <w:rFonts w:hint="eastAsia" w:ascii="Times New Roman" w:hAnsi="Times New Roman" w:cs="Times New Roman"/>
                      <w:b w:val="0"/>
                      <w:bCs w:val="0"/>
                      <w:color w:val="auto"/>
                      <w:sz w:val="21"/>
                      <w:szCs w:val="21"/>
                      <w:highlight w:val="none"/>
                      <w:vertAlign w:val="baseline"/>
                      <w:lang w:val="en-US" w:eastAsia="zh-CN"/>
                    </w:rPr>
                    <w:t>课堂教学</w:t>
                  </w:r>
                </w:p>
              </w:tc>
            </w:tr>
            <w:tr w14:paraId="130AA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9" w:type="pct"/>
                  <w:tcBorders>
                    <w:tl2br w:val="nil"/>
                    <w:tr2bl w:val="nil"/>
                  </w:tcBorders>
                  <w:vAlign w:val="center"/>
                </w:tcPr>
                <w:p w14:paraId="5C58E1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历史</w:t>
                  </w:r>
                </w:p>
              </w:tc>
              <w:tc>
                <w:tcPr>
                  <w:tcW w:w="2500" w:type="pct"/>
                  <w:tcBorders>
                    <w:tl2br w:val="nil"/>
                    <w:tr2bl w:val="nil"/>
                  </w:tcBorders>
                  <w:vAlign w:val="center"/>
                </w:tcPr>
                <w:p w14:paraId="31A63F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rPr>
                  </w:pPr>
                  <w:r>
                    <w:rPr>
                      <w:rFonts w:hint="eastAsia" w:ascii="Times New Roman" w:hAnsi="Times New Roman" w:cs="Times New Roman"/>
                      <w:b w:val="0"/>
                      <w:bCs w:val="0"/>
                      <w:color w:val="auto"/>
                      <w:sz w:val="21"/>
                      <w:szCs w:val="21"/>
                      <w:highlight w:val="none"/>
                      <w:vertAlign w:val="baseline"/>
                      <w:lang w:val="en-US" w:eastAsia="zh-CN"/>
                    </w:rPr>
                    <w:t>课堂教学</w:t>
                  </w:r>
                </w:p>
              </w:tc>
            </w:tr>
            <w:tr w14:paraId="522EF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9" w:type="pct"/>
                  <w:tcBorders>
                    <w:tl2br w:val="nil"/>
                    <w:tr2bl w:val="nil"/>
                  </w:tcBorders>
                  <w:vAlign w:val="center"/>
                </w:tcPr>
                <w:p w14:paraId="19F7D3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政治</w:t>
                  </w:r>
                </w:p>
              </w:tc>
              <w:tc>
                <w:tcPr>
                  <w:tcW w:w="2500" w:type="pct"/>
                  <w:tcBorders>
                    <w:tl2br w:val="nil"/>
                    <w:tr2bl w:val="nil"/>
                  </w:tcBorders>
                  <w:vAlign w:val="center"/>
                </w:tcPr>
                <w:p w14:paraId="258FC0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rPr>
                  </w:pPr>
                  <w:r>
                    <w:rPr>
                      <w:rFonts w:hint="eastAsia" w:ascii="Times New Roman" w:hAnsi="Times New Roman" w:cs="Times New Roman"/>
                      <w:b w:val="0"/>
                      <w:bCs w:val="0"/>
                      <w:color w:val="auto"/>
                      <w:sz w:val="21"/>
                      <w:szCs w:val="21"/>
                      <w:highlight w:val="none"/>
                      <w:vertAlign w:val="baseline"/>
                      <w:lang w:val="en-US" w:eastAsia="zh-CN"/>
                    </w:rPr>
                    <w:t>课堂教学</w:t>
                  </w:r>
                </w:p>
              </w:tc>
            </w:tr>
            <w:tr w14:paraId="5CD2A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9" w:type="pct"/>
                  <w:tcBorders>
                    <w:tl2br w:val="nil"/>
                    <w:tr2bl w:val="nil"/>
                  </w:tcBorders>
                  <w:vAlign w:val="center"/>
                </w:tcPr>
                <w:p w14:paraId="617289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艺术（音乐）</w:t>
                  </w:r>
                </w:p>
              </w:tc>
              <w:tc>
                <w:tcPr>
                  <w:tcW w:w="2500" w:type="pct"/>
                  <w:tcBorders>
                    <w:tl2br w:val="nil"/>
                    <w:tr2bl w:val="nil"/>
                  </w:tcBorders>
                  <w:vAlign w:val="center"/>
                </w:tcPr>
                <w:p w14:paraId="0EA64F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rPr>
                  </w:pPr>
                  <w:r>
                    <w:rPr>
                      <w:rFonts w:hint="eastAsia" w:ascii="Times New Roman" w:hAnsi="Times New Roman" w:cs="Times New Roman"/>
                      <w:b w:val="0"/>
                      <w:bCs w:val="0"/>
                      <w:color w:val="auto"/>
                      <w:sz w:val="21"/>
                      <w:szCs w:val="21"/>
                      <w:highlight w:val="none"/>
                      <w:vertAlign w:val="baseline"/>
                      <w:lang w:val="en-US" w:eastAsia="zh-CN"/>
                    </w:rPr>
                    <w:t>课堂教学</w:t>
                  </w:r>
                </w:p>
              </w:tc>
            </w:tr>
            <w:tr w14:paraId="56834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9" w:type="pct"/>
                  <w:tcBorders>
                    <w:tl2br w:val="nil"/>
                    <w:tr2bl w:val="nil"/>
                  </w:tcBorders>
                  <w:vAlign w:val="center"/>
                </w:tcPr>
                <w:p w14:paraId="7AFB90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体育与健康</w:t>
                  </w:r>
                </w:p>
              </w:tc>
              <w:tc>
                <w:tcPr>
                  <w:tcW w:w="2500" w:type="pct"/>
                  <w:tcBorders>
                    <w:tl2br w:val="nil"/>
                    <w:tr2bl w:val="nil"/>
                  </w:tcBorders>
                  <w:vAlign w:val="center"/>
                </w:tcPr>
                <w:p w14:paraId="413D87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rPr>
                  </w:pPr>
                  <w:r>
                    <w:rPr>
                      <w:rFonts w:hint="eastAsia" w:ascii="Times New Roman" w:hAnsi="Times New Roman" w:cs="Times New Roman"/>
                      <w:b w:val="0"/>
                      <w:bCs w:val="0"/>
                      <w:color w:val="auto"/>
                      <w:sz w:val="21"/>
                      <w:szCs w:val="21"/>
                      <w:highlight w:val="none"/>
                      <w:vertAlign w:val="baseline"/>
                      <w:lang w:val="en-US" w:eastAsia="zh-CN"/>
                    </w:rPr>
                    <w:t>课堂教学</w:t>
                  </w:r>
                </w:p>
              </w:tc>
            </w:tr>
            <w:tr w14:paraId="419CAC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9" w:type="pct"/>
                  <w:tcBorders>
                    <w:tl2br w:val="nil"/>
                    <w:tr2bl w:val="nil"/>
                  </w:tcBorders>
                  <w:vAlign w:val="center"/>
                </w:tcPr>
                <w:p w14:paraId="354098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其他延展课程</w:t>
                  </w:r>
                </w:p>
              </w:tc>
              <w:tc>
                <w:tcPr>
                  <w:tcW w:w="2500" w:type="pct"/>
                  <w:tcBorders>
                    <w:tl2br w:val="nil"/>
                    <w:tr2bl w:val="nil"/>
                  </w:tcBorders>
                  <w:vAlign w:val="center"/>
                </w:tcPr>
                <w:p w14:paraId="78C733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rPr>
                  </w:pPr>
                  <w:r>
                    <w:rPr>
                      <w:rFonts w:hint="eastAsia" w:ascii="Times New Roman" w:hAnsi="Times New Roman" w:cs="Times New Roman"/>
                      <w:b w:val="0"/>
                      <w:bCs w:val="0"/>
                      <w:color w:val="auto"/>
                      <w:sz w:val="21"/>
                      <w:szCs w:val="21"/>
                      <w:highlight w:val="none"/>
                      <w:vertAlign w:val="baseline"/>
                      <w:lang w:val="en-US" w:eastAsia="zh-CN"/>
                    </w:rPr>
                    <w:t>课堂教学与课外活动</w:t>
                  </w:r>
                </w:p>
              </w:tc>
            </w:tr>
          </w:tbl>
          <w:p w14:paraId="507B0F5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6、教学计划及实验室使用频率</w:t>
            </w:r>
          </w:p>
          <w:p w14:paraId="74A2FDA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马尔康第二</w:t>
            </w:r>
            <w:r>
              <w:rPr>
                <w:rFonts w:hint="default" w:ascii="Times New Roman" w:hAnsi="Times New Roman" w:cs="Times New Roman"/>
                <w:color w:val="auto"/>
                <w:sz w:val="24"/>
                <w:szCs w:val="24"/>
              </w:rPr>
              <w:t>中学为单设初级中学，学校仅设置初中，三个年级，初一、初二</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初三</w:t>
            </w:r>
            <w:r>
              <w:rPr>
                <w:rFonts w:hint="default" w:ascii="Times New Roman" w:hAnsi="Times New Roman" w:cs="Times New Roman"/>
                <w:color w:val="auto"/>
                <w:sz w:val="24"/>
                <w:szCs w:val="24"/>
              </w:rPr>
              <w:t>年级各设置</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个班级，每班</w:t>
            </w:r>
            <w:r>
              <w:rPr>
                <w:rFonts w:hint="eastAsia" w:ascii="Times New Roman" w:hAnsi="Times New Roman" w:cs="Times New Roman"/>
                <w:color w:val="auto"/>
                <w:sz w:val="24"/>
                <w:szCs w:val="24"/>
                <w:lang w:val="en-US" w:eastAsia="zh-CN"/>
              </w:rPr>
              <w:t>40</w:t>
            </w:r>
            <w:r>
              <w:rPr>
                <w:rFonts w:hint="default" w:ascii="Times New Roman" w:hAnsi="Times New Roman" w:cs="Times New Roman"/>
                <w:color w:val="auto"/>
                <w:sz w:val="24"/>
                <w:szCs w:val="24"/>
              </w:rPr>
              <w:t>人。</w:t>
            </w:r>
          </w:p>
          <w:p w14:paraId="5A6A85F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根据教学安排，化学、生物及物理实验室教学计划及使用频率具体如</w:t>
            </w:r>
            <w:r>
              <w:rPr>
                <w:rFonts w:hint="default" w:ascii="Times New Roman" w:hAnsi="Times New Roman" w:cs="Times New Roman"/>
                <w:color w:val="auto"/>
                <w:sz w:val="24"/>
                <w:szCs w:val="24"/>
                <w:lang w:eastAsia="zh-CN"/>
              </w:rPr>
              <w:t>：</w:t>
            </w:r>
          </w:p>
          <w:p w14:paraId="289A4E2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根据教学安排，化学实验课程集中于初三课程，年开展</w:t>
            </w:r>
            <w:r>
              <w:rPr>
                <w:rFonts w:hint="eastAsia" w:ascii="Times New Roman" w:hAnsi="Times New Roman" w:cs="Times New Roman"/>
                <w:color w:val="auto"/>
                <w:sz w:val="24"/>
                <w:szCs w:val="24"/>
                <w:lang w:val="en-US" w:eastAsia="zh-CN"/>
              </w:rPr>
              <w:t>48</w:t>
            </w:r>
            <w:r>
              <w:rPr>
                <w:rFonts w:hint="default" w:ascii="Times New Roman" w:hAnsi="Times New Roman" w:cs="Times New Roman"/>
                <w:color w:val="auto"/>
                <w:sz w:val="24"/>
                <w:szCs w:val="24"/>
              </w:rPr>
              <w:t>项实验，其中</w:t>
            </w:r>
            <w:r>
              <w:rPr>
                <w:rFonts w:hint="eastAsia"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项实验为老师演示实验，</w:t>
            </w:r>
            <w:r>
              <w:rPr>
                <w:rFonts w:hint="eastAsia" w:ascii="Times New Roman" w:hAnsi="Times New Roman" w:cs="Times New Roman"/>
                <w:color w:val="auto"/>
                <w:sz w:val="24"/>
                <w:szCs w:val="24"/>
                <w:lang w:val="en-US" w:eastAsia="zh-CN"/>
              </w:rPr>
              <w:t>26</w:t>
            </w:r>
            <w:r>
              <w:rPr>
                <w:rFonts w:hint="default" w:ascii="Times New Roman" w:hAnsi="Times New Roman" w:cs="Times New Roman"/>
                <w:color w:val="auto"/>
                <w:sz w:val="24"/>
                <w:szCs w:val="24"/>
              </w:rPr>
              <w:t>项为学生操作实验，每项实验1课时，共</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个班级，共计</w:t>
            </w:r>
            <w:r>
              <w:rPr>
                <w:rFonts w:hint="eastAsia" w:ascii="Times New Roman" w:hAnsi="Times New Roman" w:cs="Times New Roman"/>
                <w:color w:val="auto"/>
                <w:sz w:val="24"/>
                <w:szCs w:val="24"/>
                <w:lang w:val="en-US" w:eastAsia="zh-CN"/>
              </w:rPr>
              <w:t>182</w:t>
            </w:r>
            <w:r>
              <w:rPr>
                <w:rFonts w:hint="default" w:ascii="Times New Roman" w:hAnsi="Times New Roman" w:cs="Times New Roman"/>
                <w:color w:val="auto"/>
                <w:sz w:val="24"/>
                <w:szCs w:val="24"/>
              </w:rPr>
              <w:t>课时，每课时45分钟，因此化学实验室年使用时间为</w:t>
            </w:r>
            <w:r>
              <w:rPr>
                <w:rFonts w:hint="eastAsia" w:ascii="Times New Roman" w:hAnsi="Times New Roman" w:cs="Times New Roman"/>
                <w:color w:val="auto"/>
                <w:sz w:val="24"/>
                <w:szCs w:val="24"/>
                <w:lang w:val="en-US" w:eastAsia="zh-CN"/>
              </w:rPr>
              <w:t>136.5</w:t>
            </w:r>
            <w:r>
              <w:rPr>
                <w:rFonts w:hint="default" w:ascii="Times New Roman" w:hAnsi="Times New Roman" w:cs="Times New Roman"/>
                <w:color w:val="auto"/>
                <w:sz w:val="24"/>
                <w:szCs w:val="24"/>
              </w:rPr>
              <w:t>小时。</w:t>
            </w:r>
          </w:p>
          <w:p w14:paraId="4DF9459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根据教学安排，生物实验课程涉及初一、初二课程，年开展</w:t>
            </w:r>
            <w:r>
              <w:rPr>
                <w:rFonts w:hint="eastAsia" w:ascii="Times New Roman" w:hAnsi="Times New Roman" w:cs="Times New Roman"/>
                <w:color w:val="auto"/>
                <w:sz w:val="24"/>
                <w:szCs w:val="24"/>
                <w:lang w:val="en-US" w:eastAsia="zh-CN"/>
              </w:rPr>
              <w:t>44</w:t>
            </w:r>
            <w:r>
              <w:rPr>
                <w:rFonts w:hint="default" w:ascii="Times New Roman" w:hAnsi="Times New Roman" w:cs="Times New Roman"/>
                <w:color w:val="auto"/>
                <w:sz w:val="24"/>
                <w:szCs w:val="24"/>
              </w:rPr>
              <w:t>项实验，每项实验1课时，其中初一年级开展</w:t>
            </w:r>
            <w:r>
              <w:rPr>
                <w:rFonts w:hint="eastAsia"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rPr>
              <w:t>项实验，其中</w:t>
            </w:r>
            <w:r>
              <w:rPr>
                <w:rFonts w:hint="eastAsia"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项为老师演示实验，共</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个班级</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初二年级开展</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项实验，共</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个班级，其中</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项为老师演示实验，共计</w:t>
            </w:r>
            <w:r>
              <w:rPr>
                <w:rFonts w:hint="eastAsia" w:ascii="Times New Roman" w:hAnsi="Times New Roman" w:cs="Times New Roman"/>
                <w:color w:val="auto"/>
                <w:sz w:val="24"/>
                <w:szCs w:val="24"/>
                <w:lang w:val="en-US" w:eastAsia="zh-CN"/>
              </w:rPr>
              <w:t>168</w:t>
            </w:r>
            <w:r>
              <w:rPr>
                <w:rFonts w:hint="default" w:ascii="Times New Roman" w:hAnsi="Times New Roman" w:cs="Times New Roman"/>
                <w:color w:val="auto"/>
                <w:sz w:val="24"/>
                <w:szCs w:val="24"/>
              </w:rPr>
              <w:t>课时，每课时45分钟，因此生物实验室年使用时间为</w:t>
            </w:r>
            <w:r>
              <w:rPr>
                <w:rFonts w:hint="eastAsia" w:ascii="Times New Roman" w:hAnsi="Times New Roman" w:cs="Times New Roman"/>
                <w:color w:val="auto"/>
                <w:sz w:val="24"/>
                <w:szCs w:val="24"/>
                <w:lang w:val="en-US" w:eastAsia="zh-CN"/>
              </w:rPr>
              <w:t>126</w:t>
            </w:r>
            <w:r>
              <w:rPr>
                <w:rFonts w:hint="default" w:ascii="Times New Roman" w:hAnsi="Times New Roman" w:cs="Times New Roman"/>
                <w:color w:val="auto"/>
                <w:sz w:val="24"/>
                <w:szCs w:val="24"/>
              </w:rPr>
              <w:t>小时。</w:t>
            </w:r>
          </w:p>
          <w:p w14:paraId="08E58B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color w:val="auto"/>
                <w:sz w:val="24"/>
                <w:szCs w:val="24"/>
                <w:highlight w:val="none"/>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根据教学安排，物理实验涉及初二、初三课程，年开展</w:t>
            </w:r>
            <w:r>
              <w:rPr>
                <w:rFonts w:hint="eastAsia" w:ascii="Times New Roman" w:hAnsi="Times New Roman" w:cs="Times New Roman"/>
                <w:color w:val="auto"/>
                <w:sz w:val="24"/>
                <w:szCs w:val="24"/>
                <w:lang w:val="en-US" w:eastAsia="zh-CN"/>
              </w:rPr>
              <w:t>91</w:t>
            </w:r>
            <w:r>
              <w:rPr>
                <w:rFonts w:hint="default" w:ascii="Times New Roman" w:hAnsi="Times New Roman" w:cs="Times New Roman"/>
                <w:color w:val="auto"/>
                <w:sz w:val="24"/>
                <w:szCs w:val="24"/>
              </w:rPr>
              <w:t>项实验，其中初二年级开展</w:t>
            </w:r>
            <w:r>
              <w:rPr>
                <w:rFonts w:hint="eastAsia"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rPr>
              <w:t>项实验，其中</w:t>
            </w:r>
            <w:r>
              <w:rPr>
                <w:rFonts w:hint="eastAsia" w:ascii="Times New Roman" w:hAnsi="Times New Roman" w:cs="Times New Roman"/>
                <w:color w:val="auto"/>
                <w:sz w:val="24"/>
                <w:szCs w:val="24"/>
                <w:lang w:val="en-US" w:eastAsia="zh-CN"/>
              </w:rPr>
              <w:t>38</w:t>
            </w:r>
            <w:r>
              <w:rPr>
                <w:rFonts w:hint="default" w:ascii="Times New Roman" w:hAnsi="Times New Roman" w:cs="Times New Roman"/>
                <w:color w:val="auto"/>
                <w:sz w:val="24"/>
                <w:szCs w:val="24"/>
              </w:rPr>
              <w:t>项为老师演示，共</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个班级</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初三年级开展</w:t>
            </w:r>
            <w:r>
              <w:rPr>
                <w:rFonts w:hint="eastAsia" w:ascii="Times New Roman" w:hAnsi="Times New Roman" w:cs="Times New Roman"/>
                <w:color w:val="auto"/>
                <w:sz w:val="24"/>
                <w:szCs w:val="24"/>
                <w:lang w:val="en-US" w:eastAsia="zh-CN"/>
              </w:rPr>
              <w:t>41</w:t>
            </w:r>
            <w:r>
              <w:rPr>
                <w:rFonts w:hint="default" w:ascii="Times New Roman" w:hAnsi="Times New Roman" w:cs="Times New Roman"/>
                <w:color w:val="auto"/>
                <w:sz w:val="24"/>
                <w:szCs w:val="24"/>
              </w:rPr>
              <w:t>项，其中</w:t>
            </w:r>
            <w:r>
              <w:rPr>
                <w:rFonts w:hint="eastAsia" w:ascii="Times New Roman" w:hAnsi="Times New Roman" w:cs="Times New Roman"/>
                <w:color w:val="auto"/>
                <w:sz w:val="24"/>
                <w:szCs w:val="24"/>
                <w:lang w:val="en-US" w:eastAsia="zh-CN"/>
              </w:rPr>
              <w:t>28</w:t>
            </w:r>
            <w:r>
              <w:rPr>
                <w:rFonts w:hint="default" w:ascii="Times New Roman" w:hAnsi="Times New Roman" w:cs="Times New Roman"/>
                <w:color w:val="auto"/>
                <w:sz w:val="24"/>
                <w:szCs w:val="24"/>
              </w:rPr>
              <w:t>项为老师演示，共</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个班级，共计</w:t>
            </w:r>
            <w:r>
              <w:rPr>
                <w:rFonts w:hint="eastAsia" w:ascii="Times New Roman" w:hAnsi="Times New Roman" w:cs="Times New Roman"/>
                <w:color w:val="auto"/>
                <w:sz w:val="24"/>
                <w:szCs w:val="24"/>
                <w:lang w:val="en-US" w:eastAsia="zh-CN"/>
              </w:rPr>
              <w:t>175</w:t>
            </w:r>
            <w:r>
              <w:rPr>
                <w:rFonts w:hint="default" w:ascii="Times New Roman" w:hAnsi="Times New Roman" w:cs="Times New Roman"/>
                <w:color w:val="auto"/>
                <w:sz w:val="24"/>
                <w:szCs w:val="24"/>
              </w:rPr>
              <w:t>课时</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每课时45分钟，因此物理实验室年使用时间为</w:t>
            </w:r>
            <w:r>
              <w:rPr>
                <w:rFonts w:hint="eastAsia" w:ascii="Times New Roman" w:hAnsi="Times New Roman" w:cs="Times New Roman"/>
                <w:color w:val="auto"/>
                <w:sz w:val="24"/>
                <w:szCs w:val="24"/>
                <w:lang w:val="en-US" w:eastAsia="zh-CN"/>
              </w:rPr>
              <w:t>131.25</w:t>
            </w:r>
            <w:r>
              <w:rPr>
                <w:rFonts w:hint="default" w:ascii="Times New Roman" w:hAnsi="Times New Roman" w:cs="Times New Roman"/>
                <w:color w:val="auto"/>
                <w:sz w:val="24"/>
                <w:szCs w:val="24"/>
              </w:rPr>
              <w:t>小时。</w:t>
            </w:r>
          </w:p>
          <w:p w14:paraId="2B2667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本项目实验室使用频率如下：</w:t>
            </w:r>
          </w:p>
          <w:p w14:paraId="7F6878BD">
            <w:pPr>
              <w:pStyle w:val="114"/>
              <w:bidi w:val="0"/>
              <w:rPr>
                <w:rFonts w:hint="default"/>
                <w:color w:val="auto"/>
                <w:lang w:val="en-US" w:eastAsia="zh-CN"/>
              </w:rPr>
            </w:pPr>
            <w:r>
              <w:rPr>
                <w:rFonts w:hint="eastAsia"/>
                <w:color w:val="auto"/>
                <w:lang w:val="en-US" w:eastAsia="zh-CN"/>
              </w:rPr>
              <w:t>学校实验室使用频率一览表</w:t>
            </w:r>
          </w:p>
          <w:tbl>
            <w:tblPr>
              <w:tblStyle w:val="4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19"/>
              <w:gridCol w:w="2320"/>
              <w:gridCol w:w="2320"/>
              <w:gridCol w:w="2322"/>
            </w:tblGrid>
            <w:tr w14:paraId="1B798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tcPr>
                <w:p w14:paraId="4C3F7D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实验室名称</w:t>
                  </w:r>
                </w:p>
              </w:tc>
              <w:tc>
                <w:tcPr>
                  <w:tcW w:w="1249" w:type="pct"/>
                  <w:tcBorders>
                    <w:tl2br w:val="nil"/>
                    <w:tr2bl w:val="nil"/>
                  </w:tcBorders>
                </w:tcPr>
                <w:p w14:paraId="2ADA9D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年使用课时数（个）</w:t>
                  </w:r>
                </w:p>
              </w:tc>
              <w:tc>
                <w:tcPr>
                  <w:tcW w:w="1249" w:type="pct"/>
                  <w:tcBorders>
                    <w:tl2br w:val="nil"/>
                    <w:tr2bl w:val="nil"/>
                  </w:tcBorders>
                </w:tcPr>
                <w:p w14:paraId="6C2E45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每课时时长（分钟）</w:t>
                  </w:r>
                </w:p>
              </w:tc>
              <w:tc>
                <w:tcPr>
                  <w:tcW w:w="1250" w:type="pct"/>
                  <w:tcBorders>
                    <w:tl2br w:val="nil"/>
                    <w:tr2bl w:val="nil"/>
                  </w:tcBorders>
                </w:tcPr>
                <w:p w14:paraId="487054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年使用时间（小时）</w:t>
                  </w:r>
                </w:p>
              </w:tc>
            </w:tr>
            <w:tr w14:paraId="29A0A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tcPr>
                <w:p w14:paraId="4E9EF6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化学实验室</w:t>
                  </w:r>
                </w:p>
              </w:tc>
              <w:tc>
                <w:tcPr>
                  <w:tcW w:w="1249" w:type="pct"/>
                  <w:tcBorders>
                    <w:tl2br w:val="nil"/>
                    <w:tr2bl w:val="nil"/>
                  </w:tcBorders>
                </w:tcPr>
                <w:p w14:paraId="6A4DE6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182</w:t>
                  </w:r>
                </w:p>
              </w:tc>
              <w:tc>
                <w:tcPr>
                  <w:tcW w:w="1249" w:type="pct"/>
                  <w:tcBorders>
                    <w:tl2br w:val="nil"/>
                    <w:tr2bl w:val="nil"/>
                  </w:tcBorders>
                </w:tcPr>
                <w:p w14:paraId="0EC122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45</w:t>
                  </w:r>
                </w:p>
              </w:tc>
              <w:tc>
                <w:tcPr>
                  <w:tcW w:w="1250" w:type="pct"/>
                  <w:tcBorders>
                    <w:tl2br w:val="nil"/>
                    <w:tr2bl w:val="nil"/>
                  </w:tcBorders>
                </w:tcPr>
                <w:p w14:paraId="5AEB6E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136.5</w:t>
                  </w:r>
                </w:p>
              </w:tc>
            </w:tr>
            <w:tr w14:paraId="6DBA5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tcPr>
                <w:p w14:paraId="3125F5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生物实验室</w:t>
                  </w:r>
                </w:p>
              </w:tc>
              <w:tc>
                <w:tcPr>
                  <w:tcW w:w="1249" w:type="pct"/>
                  <w:tcBorders>
                    <w:tl2br w:val="nil"/>
                    <w:tr2bl w:val="nil"/>
                  </w:tcBorders>
                </w:tcPr>
                <w:p w14:paraId="222C2B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168</w:t>
                  </w:r>
                </w:p>
              </w:tc>
              <w:tc>
                <w:tcPr>
                  <w:tcW w:w="1249" w:type="pct"/>
                  <w:tcBorders>
                    <w:tl2br w:val="nil"/>
                    <w:tr2bl w:val="nil"/>
                  </w:tcBorders>
                </w:tcPr>
                <w:p w14:paraId="2FF688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45</w:t>
                  </w:r>
                </w:p>
              </w:tc>
              <w:tc>
                <w:tcPr>
                  <w:tcW w:w="1250" w:type="pct"/>
                  <w:tcBorders>
                    <w:tl2br w:val="nil"/>
                    <w:tr2bl w:val="nil"/>
                  </w:tcBorders>
                </w:tcPr>
                <w:p w14:paraId="311388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126</w:t>
                  </w:r>
                </w:p>
              </w:tc>
            </w:tr>
            <w:tr w14:paraId="3C5D1B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tcPr>
                <w:p w14:paraId="34C717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物理实验室</w:t>
                  </w:r>
                </w:p>
              </w:tc>
              <w:tc>
                <w:tcPr>
                  <w:tcW w:w="1249" w:type="pct"/>
                  <w:tcBorders>
                    <w:tl2br w:val="nil"/>
                    <w:tr2bl w:val="nil"/>
                  </w:tcBorders>
                </w:tcPr>
                <w:p w14:paraId="111F4B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175</w:t>
                  </w:r>
                </w:p>
              </w:tc>
              <w:tc>
                <w:tcPr>
                  <w:tcW w:w="1249" w:type="pct"/>
                  <w:tcBorders>
                    <w:tl2br w:val="nil"/>
                    <w:tr2bl w:val="nil"/>
                  </w:tcBorders>
                </w:tcPr>
                <w:p w14:paraId="5122E2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45</w:t>
                  </w:r>
                </w:p>
              </w:tc>
              <w:tc>
                <w:tcPr>
                  <w:tcW w:w="1250" w:type="pct"/>
                  <w:tcBorders>
                    <w:tl2br w:val="nil"/>
                    <w:tr2bl w:val="nil"/>
                  </w:tcBorders>
                </w:tcPr>
                <w:p w14:paraId="2C51FA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131.25</w:t>
                  </w:r>
                </w:p>
              </w:tc>
            </w:tr>
          </w:tbl>
          <w:p w14:paraId="520FD24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7、实验室仪器及耗材</w:t>
            </w:r>
          </w:p>
          <w:p w14:paraId="13CD4B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本项目各实验室所用实验仪器及耗材如下表所示：</w:t>
            </w:r>
          </w:p>
          <w:p w14:paraId="0023BFEB">
            <w:pPr>
              <w:pStyle w:val="114"/>
              <w:bidi w:val="0"/>
              <w:rPr>
                <w:rFonts w:hint="default"/>
                <w:color w:val="auto"/>
                <w:lang w:val="en-US" w:eastAsia="zh-CN"/>
              </w:rPr>
            </w:pPr>
            <w:r>
              <w:rPr>
                <w:rFonts w:hint="eastAsia"/>
                <w:color w:val="auto"/>
                <w:lang w:val="en-US" w:eastAsia="zh-CN"/>
              </w:rPr>
              <w:t>各实验室所用实验仪器及耗材</w:t>
            </w:r>
          </w:p>
          <w:tbl>
            <w:tblPr>
              <w:tblStyle w:val="4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4"/>
              <w:gridCol w:w="3472"/>
              <w:gridCol w:w="3095"/>
            </w:tblGrid>
            <w:tr w14:paraId="44653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tcBorders>
                    <w:tl2br w:val="nil"/>
                    <w:tr2bl w:val="nil"/>
                  </w:tcBorders>
                  <w:vAlign w:val="center"/>
                </w:tcPr>
                <w:p w14:paraId="22A343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实验室名称</w:t>
                  </w:r>
                </w:p>
              </w:tc>
              <w:tc>
                <w:tcPr>
                  <w:tcW w:w="1870" w:type="pct"/>
                  <w:tcBorders>
                    <w:tl2br w:val="nil"/>
                    <w:tr2bl w:val="nil"/>
                  </w:tcBorders>
                  <w:vAlign w:val="center"/>
                </w:tcPr>
                <w:p w14:paraId="480A76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设备名称</w:t>
                  </w:r>
                </w:p>
              </w:tc>
              <w:tc>
                <w:tcPr>
                  <w:tcW w:w="1667" w:type="pct"/>
                  <w:tcBorders>
                    <w:tl2br w:val="nil"/>
                    <w:tr2bl w:val="nil"/>
                  </w:tcBorders>
                  <w:vAlign w:val="center"/>
                </w:tcPr>
                <w:p w14:paraId="55FE25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数量</w:t>
                  </w:r>
                </w:p>
              </w:tc>
            </w:tr>
            <w:tr w14:paraId="49301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restart"/>
                  <w:tcBorders>
                    <w:tl2br w:val="nil"/>
                    <w:tr2bl w:val="nil"/>
                  </w:tcBorders>
                  <w:vAlign w:val="center"/>
                </w:tcPr>
                <w:p w14:paraId="274C29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化学实验室</w:t>
                  </w:r>
                </w:p>
              </w:tc>
              <w:tc>
                <w:tcPr>
                  <w:tcW w:w="1870" w:type="pct"/>
                  <w:tcBorders>
                    <w:tl2br w:val="nil"/>
                    <w:tr2bl w:val="nil"/>
                  </w:tcBorders>
                  <w:vAlign w:val="center"/>
                </w:tcPr>
                <w:p w14:paraId="74939C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试管</w:t>
                  </w:r>
                </w:p>
              </w:tc>
              <w:tc>
                <w:tcPr>
                  <w:tcW w:w="1667" w:type="pct"/>
                  <w:tcBorders>
                    <w:tl2br w:val="nil"/>
                    <w:tr2bl w:val="nil"/>
                  </w:tcBorders>
                  <w:vAlign w:val="center"/>
                </w:tcPr>
                <w:p w14:paraId="0306F7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200支</w:t>
                  </w:r>
                </w:p>
              </w:tc>
            </w:tr>
            <w:tr w14:paraId="61B53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48F9A7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69F546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试管夹</w:t>
                  </w:r>
                </w:p>
              </w:tc>
              <w:tc>
                <w:tcPr>
                  <w:tcW w:w="1667" w:type="pct"/>
                  <w:tcBorders>
                    <w:tl2br w:val="nil"/>
                    <w:tr2bl w:val="nil"/>
                  </w:tcBorders>
                  <w:vAlign w:val="center"/>
                </w:tcPr>
                <w:p w14:paraId="4BFD22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100个</w:t>
                  </w:r>
                </w:p>
              </w:tc>
            </w:tr>
            <w:tr w14:paraId="494F2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7DD760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67C43A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单孔橡皮塞</w:t>
                  </w:r>
                </w:p>
              </w:tc>
              <w:tc>
                <w:tcPr>
                  <w:tcW w:w="1667" w:type="pct"/>
                  <w:tcBorders>
                    <w:tl2br w:val="nil"/>
                    <w:tr2bl w:val="nil"/>
                  </w:tcBorders>
                  <w:vAlign w:val="center"/>
                </w:tcPr>
                <w:p w14:paraId="1F8D4C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100个</w:t>
                  </w:r>
                </w:p>
              </w:tc>
            </w:tr>
            <w:tr w14:paraId="659F5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021D30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2BA91B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胶皮管</w:t>
                  </w:r>
                </w:p>
              </w:tc>
              <w:tc>
                <w:tcPr>
                  <w:tcW w:w="1667" w:type="pct"/>
                  <w:tcBorders>
                    <w:tl2br w:val="nil"/>
                    <w:tr2bl w:val="nil"/>
                  </w:tcBorders>
                  <w:vAlign w:val="center"/>
                </w:tcPr>
                <w:p w14:paraId="4D54F4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80根</w:t>
                  </w:r>
                </w:p>
              </w:tc>
            </w:tr>
            <w:tr w14:paraId="14479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1DB9CF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78E897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玻璃导管</w:t>
                  </w:r>
                </w:p>
              </w:tc>
              <w:tc>
                <w:tcPr>
                  <w:tcW w:w="1667" w:type="pct"/>
                  <w:tcBorders>
                    <w:tl2br w:val="nil"/>
                    <w:tr2bl w:val="nil"/>
                  </w:tcBorders>
                  <w:vAlign w:val="center"/>
                </w:tcPr>
                <w:p w14:paraId="21FC1F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100个</w:t>
                  </w:r>
                </w:p>
              </w:tc>
            </w:tr>
            <w:tr w14:paraId="4E7C1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5EEE45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7BAC2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集气瓶</w:t>
                  </w:r>
                </w:p>
              </w:tc>
              <w:tc>
                <w:tcPr>
                  <w:tcW w:w="1667" w:type="pct"/>
                  <w:tcBorders>
                    <w:tl2br w:val="nil"/>
                    <w:tr2bl w:val="nil"/>
                  </w:tcBorders>
                  <w:vAlign w:val="center"/>
                </w:tcPr>
                <w:p w14:paraId="7CCE35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120个</w:t>
                  </w:r>
                </w:p>
              </w:tc>
            </w:tr>
            <w:tr w14:paraId="5F4DC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663430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4B720A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玻璃片</w:t>
                  </w:r>
                </w:p>
              </w:tc>
              <w:tc>
                <w:tcPr>
                  <w:tcW w:w="1667" w:type="pct"/>
                  <w:tcBorders>
                    <w:tl2br w:val="nil"/>
                    <w:tr2bl w:val="nil"/>
                  </w:tcBorders>
                  <w:vAlign w:val="center"/>
                </w:tcPr>
                <w:p w14:paraId="7E0FBF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120个</w:t>
                  </w:r>
                </w:p>
              </w:tc>
            </w:tr>
            <w:tr w14:paraId="1D5D8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295F26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1551B0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烧杯</w:t>
                  </w:r>
                </w:p>
              </w:tc>
              <w:tc>
                <w:tcPr>
                  <w:tcW w:w="1667" w:type="pct"/>
                  <w:tcBorders>
                    <w:tl2br w:val="nil"/>
                    <w:tr2bl w:val="nil"/>
                  </w:tcBorders>
                  <w:vAlign w:val="center"/>
                </w:tcPr>
                <w:p w14:paraId="788868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120个</w:t>
                  </w:r>
                </w:p>
              </w:tc>
            </w:tr>
            <w:tr w14:paraId="3502B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71C349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31EB59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玻璃棒</w:t>
                  </w:r>
                </w:p>
              </w:tc>
              <w:tc>
                <w:tcPr>
                  <w:tcW w:w="1667" w:type="pct"/>
                  <w:tcBorders>
                    <w:tl2br w:val="nil"/>
                    <w:tr2bl w:val="nil"/>
                  </w:tcBorders>
                  <w:vAlign w:val="center"/>
                </w:tcPr>
                <w:p w14:paraId="63BD27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50个</w:t>
                  </w:r>
                </w:p>
              </w:tc>
            </w:tr>
            <w:tr w14:paraId="5DC0B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162DC5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0CF3F8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量筒</w:t>
                  </w:r>
                </w:p>
              </w:tc>
              <w:tc>
                <w:tcPr>
                  <w:tcW w:w="1667" w:type="pct"/>
                  <w:tcBorders>
                    <w:tl2br w:val="nil"/>
                    <w:tr2bl w:val="nil"/>
                  </w:tcBorders>
                  <w:vAlign w:val="center"/>
                </w:tcPr>
                <w:p w14:paraId="65E3E3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50个</w:t>
                  </w:r>
                </w:p>
              </w:tc>
            </w:tr>
            <w:tr w14:paraId="3EE77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4F198E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0B00CD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蒸发皿</w:t>
                  </w:r>
                </w:p>
              </w:tc>
              <w:tc>
                <w:tcPr>
                  <w:tcW w:w="1667" w:type="pct"/>
                  <w:tcBorders>
                    <w:tl2br w:val="nil"/>
                    <w:tr2bl w:val="nil"/>
                  </w:tcBorders>
                  <w:vAlign w:val="center"/>
                </w:tcPr>
                <w:p w14:paraId="48FE50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50个</w:t>
                  </w:r>
                </w:p>
              </w:tc>
            </w:tr>
            <w:tr w14:paraId="447DB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5E8C2A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2E39DC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漏斗</w:t>
                  </w:r>
                </w:p>
              </w:tc>
              <w:tc>
                <w:tcPr>
                  <w:tcW w:w="1667" w:type="pct"/>
                  <w:tcBorders>
                    <w:tl2br w:val="nil"/>
                    <w:tr2bl w:val="nil"/>
                  </w:tcBorders>
                  <w:vAlign w:val="center"/>
                </w:tcPr>
                <w:p w14:paraId="591177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50个</w:t>
                  </w:r>
                </w:p>
              </w:tc>
            </w:tr>
            <w:tr w14:paraId="3D3D4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5B9FD4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405B6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镊子</w:t>
                  </w:r>
                </w:p>
              </w:tc>
              <w:tc>
                <w:tcPr>
                  <w:tcW w:w="1667" w:type="pct"/>
                  <w:tcBorders>
                    <w:tl2br w:val="nil"/>
                    <w:tr2bl w:val="nil"/>
                  </w:tcBorders>
                  <w:vAlign w:val="center"/>
                </w:tcPr>
                <w:p w14:paraId="5E5120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50个</w:t>
                  </w:r>
                </w:p>
              </w:tc>
            </w:tr>
            <w:tr w14:paraId="13C18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79F7D9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4D3BCB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药匙（塑料）</w:t>
                  </w:r>
                </w:p>
              </w:tc>
              <w:tc>
                <w:tcPr>
                  <w:tcW w:w="1667" w:type="pct"/>
                  <w:tcBorders>
                    <w:tl2br w:val="nil"/>
                    <w:tr2bl w:val="nil"/>
                  </w:tcBorders>
                  <w:vAlign w:val="center"/>
                </w:tcPr>
                <w:p w14:paraId="3479A6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20个</w:t>
                  </w:r>
                </w:p>
              </w:tc>
            </w:tr>
            <w:tr w14:paraId="51BCA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4EE758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36575B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坩埚钳</w:t>
                  </w:r>
                </w:p>
              </w:tc>
              <w:tc>
                <w:tcPr>
                  <w:tcW w:w="1667" w:type="pct"/>
                  <w:tcBorders>
                    <w:tl2br w:val="nil"/>
                    <w:tr2bl w:val="nil"/>
                  </w:tcBorders>
                  <w:vAlign w:val="center"/>
                </w:tcPr>
                <w:p w14:paraId="04AF22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50个</w:t>
                  </w:r>
                </w:p>
              </w:tc>
            </w:tr>
            <w:tr w14:paraId="39182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0AA40F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4C73A0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酒精灯</w:t>
                  </w:r>
                </w:p>
              </w:tc>
              <w:tc>
                <w:tcPr>
                  <w:tcW w:w="1667" w:type="pct"/>
                  <w:tcBorders>
                    <w:tl2br w:val="nil"/>
                    <w:tr2bl w:val="nil"/>
                  </w:tcBorders>
                  <w:vAlign w:val="center"/>
                </w:tcPr>
                <w:p w14:paraId="69FFD4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50个</w:t>
                  </w:r>
                </w:p>
              </w:tc>
            </w:tr>
            <w:tr w14:paraId="2849E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071480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53A309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托盘天平</w:t>
                  </w:r>
                </w:p>
              </w:tc>
              <w:tc>
                <w:tcPr>
                  <w:tcW w:w="1667" w:type="pct"/>
                  <w:tcBorders>
                    <w:tl2br w:val="nil"/>
                    <w:tr2bl w:val="nil"/>
                  </w:tcBorders>
                  <w:vAlign w:val="center"/>
                </w:tcPr>
                <w:p w14:paraId="650892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10台</w:t>
                  </w:r>
                </w:p>
              </w:tc>
            </w:tr>
            <w:tr w14:paraId="5F927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6CB28E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60F83C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铁架台</w:t>
                  </w:r>
                </w:p>
              </w:tc>
              <w:tc>
                <w:tcPr>
                  <w:tcW w:w="1667" w:type="pct"/>
                  <w:tcBorders>
                    <w:tl2br w:val="nil"/>
                    <w:tr2bl w:val="nil"/>
                  </w:tcBorders>
                  <w:vAlign w:val="center"/>
                </w:tcPr>
                <w:p w14:paraId="5330B0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50个</w:t>
                  </w:r>
                </w:p>
              </w:tc>
            </w:tr>
            <w:tr w14:paraId="02200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645F03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017DAB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三脚架</w:t>
                  </w:r>
                </w:p>
              </w:tc>
              <w:tc>
                <w:tcPr>
                  <w:tcW w:w="1667" w:type="pct"/>
                  <w:tcBorders>
                    <w:tl2br w:val="nil"/>
                    <w:tr2bl w:val="nil"/>
                  </w:tcBorders>
                  <w:vAlign w:val="center"/>
                </w:tcPr>
                <w:p w14:paraId="24823E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50个</w:t>
                  </w:r>
                </w:p>
              </w:tc>
            </w:tr>
            <w:tr w14:paraId="53141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05B4FE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44CD37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胶头滴管</w:t>
                  </w:r>
                </w:p>
              </w:tc>
              <w:tc>
                <w:tcPr>
                  <w:tcW w:w="1667" w:type="pct"/>
                  <w:tcBorders>
                    <w:tl2br w:val="nil"/>
                    <w:tr2bl w:val="nil"/>
                  </w:tcBorders>
                  <w:vAlign w:val="center"/>
                </w:tcPr>
                <w:p w14:paraId="760F67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100个</w:t>
                  </w:r>
                </w:p>
              </w:tc>
            </w:tr>
            <w:tr w14:paraId="7F5A0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5BAB38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170CFC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滤纸</w:t>
                  </w:r>
                </w:p>
              </w:tc>
              <w:tc>
                <w:tcPr>
                  <w:tcW w:w="1667" w:type="pct"/>
                  <w:tcBorders>
                    <w:tl2br w:val="nil"/>
                    <w:tr2bl w:val="nil"/>
                  </w:tcBorders>
                  <w:vAlign w:val="center"/>
                </w:tcPr>
                <w:p w14:paraId="31A92F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10盒</w:t>
                  </w:r>
                </w:p>
              </w:tc>
            </w:tr>
            <w:tr w14:paraId="68AAB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3D8BD4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631A22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pH试纸</w:t>
                  </w:r>
                </w:p>
              </w:tc>
              <w:tc>
                <w:tcPr>
                  <w:tcW w:w="1667" w:type="pct"/>
                  <w:tcBorders>
                    <w:tl2br w:val="nil"/>
                    <w:tr2bl w:val="nil"/>
                  </w:tcBorders>
                  <w:vAlign w:val="center"/>
                </w:tcPr>
                <w:p w14:paraId="3D1BBD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10本</w:t>
                  </w:r>
                </w:p>
              </w:tc>
            </w:tr>
            <w:tr w14:paraId="31D041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3F5332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1D2618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火柴</w:t>
                  </w:r>
                </w:p>
              </w:tc>
              <w:tc>
                <w:tcPr>
                  <w:tcW w:w="1667" w:type="pct"/>
                  <w:tcBorders>
                    <w:tl2br w:val="nil"/>
                    <w:tr2bl w:val="nil"/>
                  </w:tcBorders>
                  <w:vAlign w:val="center"/>
                </w:tcPr>
                <w:p w14:paraId="1150EE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5盒</w:t>
                  </w:r>
                </w:p>
              </w:tc>
            </w:tr>
            <w:tr w14:paraId="1E30E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082A2C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0CA319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棉花</w:t>
                  </w:r>
                </w:p>
              </w:tc>
              <w:tc>
                <w:tcPr>
                  <w:tcW w:w="1667" w:type="pct"/>
                  <w:tcBorders>
                    <w:tl2br w:val="nil"/>
                    <w:tr2bl w:val="nil"/>
                  </w:tcBorders>
                  <w:vAlign w:val="center"/>
                </w:tcPr>
                <w:p w14:paraId="43A588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500g</w:t>
                  </w:r>
                </w:p>
              </w:tc>
            </w:tr>
            <w:tr w14:paraId="7CB51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0DA7F3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43B79A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石棉网</w:t>
                  </w:r>
                </w:p>
              </w:tc>
              <w:tc>
                <w:tcPr>
                  <w:tcW w:w="1667" w:type="pct"/>
                  <w:tcBorders>
                    <w:tl2br w:val="nil"/>
                    <w:tr2bl w:val="nil"/>
                  </w:tcBorders>
                  <w:vAlign w:val="center"/>
                </w:tcPr>
                <w:p w14:paraId="382E45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50张</w:t>
                  </w:r>
                </w:p>
              </w:tc>
            </w:tr>
            <w:tr w14:paraId="21064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0607A1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28F648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木炭</w:t>
                  </w:r>
                </w:p>
              </w:tc>
              <w:tc>
                <w:tcPr>
                  <w:tcW w:w="1667" w:type="pct"/>
                  <w:tcBorders>
                    <w:tl2br w:val="nil"/>
                    <w:tr2bl w:val="nil"/>
                  </w:tcBorders>
                  <w:vAlign w:val="center"/>
                </w:tcPr>
                <w:p w14:paraId="386B11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500g</w:t>
                  </w:r>
                </w:p>
              </w:tc>
            </w:tr>
            <w:tr w14:paraId="59FB6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410406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5DB84A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蜡烛</w:t>
                  </w:r>
                </w:p>
              </w:tc>
              <w:tc>
                <w:tcPr>
                  <w:tcW w:w="1667" w:type="pct"/>
                  <w:tcBorders>
                    <w:tl2br w:val="nil"/>
                    <w:tr2bl w:val="nil"/>
                  </w:tcBorders>
                  <w:vAlign w:val="center"/>
                </w:tcPr>
                <w:p w14:paraId="5D4D6A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40支</w:t>
                  </w:r>
                </w:p>
              </w:tc>
            </w:tr>
            <w:tr w14:paraId="7E484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720196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714CF0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台秤</w:t>
                  </w:r>
                </w:p>
              </w:tc>
              <w:tc>
                <w:tcPr>
                  <w:tcW w:w="1667" w:type="pct"/>
                  <w:tcBorders>
                    <w:tl2br w:val="nil"/>
                    <w:tr2bl w:val="nil"/>
                  </w:tcBorders>
                  <w:vAlign w:val="center"/>
                </w:tcPr>
                <w:p w14:paraId="536A96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10台</w:t>
                  </w:r>
                </w:p>
              </w:tc>
            </w:tr>
            <w:tr w14:paraId="62D9B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561E4A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271291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称量纸</w:t>
                  </w:r>
                </w:p>
              </w:tc>
              <w:tc>
                <w:tcPr>
                  <w:tcW w:w="1667" w:type="pct"/>
                  <w:tcBorders>
                    <w:tl2br w:val="nil"/>
                    <w:tr2bl w:val="nil"/>
                  </w:tcBorders>
                  <w:vAlign w:val="center"/>
                </w:tcPr>
                <w:p w14:paraId="2B5D2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10盒</w:t>
                  </w:r>
                </w:p>
              </w:tc>
            </w:tr>
            <w:tr w14:paraId="01AAF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74E549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305EA1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标准比色卡</w:t>
                  </w:r>
                </w:p>
              </w:tc>
              <w:tc>
                <w:tcPr>
                  <w:tcW w:w="1667" w:type="pct"/>
                  <w:tcBorders>
                    <w:tl2br w:val="nil"/>
                    <w:tr2bl w:val="nil"/>
                  </w:tcBorders>
                  <w:vAlign w:val="center"/>
                </w:tcPr>
                <w:p w14:paraId="798F0D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5个</w:t>
                  </w:r>
                </w:p>
              </w:tc>
            </w:tr>
            <w:tr w14:paraId="635F55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6E3642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2264E6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砂纸</w:t>
                  </w:r>
                </w:p>
              </w:tc>
              <w:tc>
                <w:tcPr>
                  <w:tcW w:w="1667" w:type="pct"/>
                  <w:tcBorders>
                    <w:tl2br w:val="nil"/>
                    <w:tr2bl w:val="nil"/>
                  </w:tcBorders>
                  <w:vAlign w:val="center"/>
                </w:tcPr>
                <w:p w14:paraId="5627A6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若干</w:t>
                  </w:r>
                </w:p>
              </w:tc>
            </w:tr>
            <w:tr w14:paraId="4CBB0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11115C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520380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温度计</w:t>
                  </w:r>
                </w:p>
              </w:tc>
              <w:tc>
                <w:tcPr>
                  <w:tcW w:w="1667" w:type="pct"/>
                  <w:tcBorders>
                    <w:tl2br w:val="nil"/>
                    <w:tr2bl w:val="nil"/>
                  </w:tcBorders>
                  <w:vAlign w:val="center"/>
                </w:tcPr>
                <w:p w14:paraId="027FA7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5个</w:t>
                  </w:r>
                </w:p>
              </w:tc>
            </w:tr>
            <w:tr w14:paraId="5EE70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052FB9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4D6F5C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水浴锅</w:t>
                  </w:r>
                </w:p>
              </w:tc>
              <w:tc>
                <w:tcPr>
                  <w:tcW w:w="1667" w:type="pct"/>
                  <w:tcBorders>
                    <w:tl2br w:val="nil"/>
                    <w:tr2bl w:val="nil"/>
                  </w:tcBorders>
                  <w:vAlign w:val="center"/>
                </w:tcPr>
                <w:p w14:paraId="777DD7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2台</w:t>
                  </w:r>
                </w:p>
              </w:tc>
            </w:tr>
            <w:tr w14:paraId="4BE5EC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2B990B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1A52C7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三角瓶</w:t>
                  </w:r>
                </w:p>
              </w:tc>
              <w:tc>
                <w:tcPr>
                  <w:tcW w:w="1667" w:type="pct"/>
                  <w:tcBorders>
                    <w:tl2br w:val="nil"/>
                    <w:tr2bl w:val="nil"/>
                  </w:tcBorders>
                  <w:vAlign w:val="center"/>
                </w:tcPr>
                <w:p w14:paraId="52CB5F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100个</w:t>
                  </w:r>
                </w:p>
              </w:tc>
            </w:tr>
            <w:tr w14:paraId="6FF47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restart"/>
                  <w:tcBorders>
                    <w:tl2br w:val="nil"/>
                    <w:tr2bl w:val="nil"/>
                  </w:tcBorders>
                  <w:vAlign w:val="center"/>
                </w:tcPr>
                <w:p w14:paraId="4E9A43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生物实验室</w:t>
                  </w:r>
                </w:p>
              </w:tc>
              <w:tc>
                <w:tcPr>
                  <w:tcW w:w="1870" w:type="pct"/>
                  <w:tcBorders>
                    <w:tl2br w:val="nil"/>
                    <w:tr2bl w:val="nil"/>
                  </w:tcBorders>
                  <w:vAlign w:val="center"/>
                </w:tcPr>
                <w:p w14:paraId="52D8A7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载玻片</w:t>
                  </w:r>
                </w:p>
              </w:tc>
              <w:tc>
                <w:tcPr>
                  <w:tcW w:w="1667" w:type="pct"/>
                  <w:tcBorders>
                    <w:tl2br w:val="nil"/>
                    <w:tr2bl w:val="nil"/>
                  </w:tcBorders>
                  <w:vAlign w:val="center"/>
                </w:tcPr>
                <w:p w14:paraId="3363BF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150片</w:t>
                  </w:r>
                </w:p>
              </w:tc>
            </w:tr>
            <w:tr w14:paraId="24CEB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666B97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2C545E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盖玻片</w:t>
                  </w:r>
                </w:p>
              </w:tc>
              <w:tc>
                <w:tcPr>
                  <w:tcW w:w="1667" w:type="pct"/>
                  <w:tcBorders>
                    <w:tl2br w:val="nil"/>
                    <w:tr2bl w:val="nil"/>
                  </w:tcBorders>
                  <w:vAlign w:val="center"/>
                </w:tcPr>
                <w:p w14:paraId="3398A2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10盒</w:t>
                  </w:r>
                </w:p>
              </w:tc>
            </w:tr>
            <w:tr w14:paraId="769F2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70FAE4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7175D4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显微镜</w:t>
                  </w:r>
                </w:p>
              </w:tc>
              <w:tc>
                <w:tcPr>
                  <w:tcW w:w="1667" w:type="pct"/>
                  <w:tcBorders>
                    <w:tl2br w:val="nil"/>
                    <w:tr2bl w:val="nil"/>
                  </w:tcBorders>
                  <w:vAlign w:val="center"/>
                </w:tcPr>
                <w:p w14:paraId="6498F5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25台</w:t>
                  </w:r>
                </w:p>
              </w:tc>
            </w:tr>
            <w:tr w14:paraId="0E7FE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373E09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6A6503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放大镜</w:t>
                  </w:r>
                </w:p>
              </w:tc>
              <w:tc>
                <w:tcPr>
                  <w:tcW w:w="1667" w:type="pct"/>
                  <w:tcBorders>
                    <w:tl2br w:val="nil"/>
                    <w:tr2bl w:val="nil"/>
                  </w:tcBorders>
                  <w:vAlign w:val="center"/>
                </w:tcPr>
                <w:p w14:paraId="004FB6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50个</w:t>
                  </w:r>
                </w:p>
              </w:tc>
            </w:tr>
            <w:tr w14:paraId="5F7F0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410371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7BC26D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烧杯</w:t>
                  </w:r>
                </w:p>
              </w:tc>
              <w:tc>
                <w:tcPr>
                  <w:tcW w:w="1667" w:type="pct"/>
                  <w:tcBorders>
                    <w:tl2br w:val="nil"/>
                    <w:tr2bl w:val="nil"/>
                  </w:tcBorders>
                  <w:vAlign w:val="center"/>
                </w:tcPr>
                <w:p w14:paraId="36A75D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50个</w:t>
                  </w:r>
                </w:p>
              </w:tc>
            </w:tr>
            <w:tr w14:paraId="54A82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6D8460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72B0C6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滴管</w:t>
                  </w:r>
                </w:p>
              </w:tc>
              <w:tc>
                <w:tcPr>
                  <w:tcW w:w="1667" w:type="pct"/>
                  <w:tcBorders>
                    <w:tl2br w:val="nil"/>
                    <w:tr2bl w:val="nil"/>
                  </w:tcBorders>
                  <w:vAlign w:val="center"/>
                </w:tcPr>
                <w:p w14:paraId="2A77EB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50个</w:t>
                  </w:r>
                </w:p>
              </w:tc>
            </w:tr>
            <w:tr w14:paraId="732CE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34F1F1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5A742B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镊子</w:t>
                  </w:r>
                </w:p>
              </w:tc>
              <w:tc>
                <w:tcPr>
                  <w:tcW w:w="1667" w:type="pct"/>
                  <w:tcBorders>
                    <w:tl2br w:val="nil"/>
                    <w:tr2bl w:val="nil"/>
                  </w:tcBorders>
                  <w:vAlign w:val="center"/>
                </w:tcPr>
                <w:p w14:paraId="3538AB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50个</w:t>
                  </w:r>
                </w:p>
              </w:tc>
            </w:tr>
            <w:tr w14:paraId="29462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1083F1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26DF24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刀片</w:t>
                  </w:r>
                </w:p>
              </w:tc>
              <w:tc>
                <w:tcPr>
                  <w:tcW w:w="1667" w:type="pct"/>
                  <w:tcBorders>
                    <w:tl2br w:val="nil"/>
                    <w:tr2bl w:val="nil"/>
                  </w:tcBorders>
                  <w:vAlign w:val="center"/>
                </w:tcPr>
                <w:p w14:paraId="6C4D39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50个</w:t>
                  </w:r>
                </w:p>
              </w:tc>
            </w:tr>
            <w:tr w14:paraId="1EA7F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3A20F3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34543C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培养皿</w:t>
                  </w:r>
                </w:p>
              </w:tc>
              <w:tc>
                <w:tcPr>
                  <w:tcW w:w="1667" w:type="pct"/>
                  <w:tcBorders>
                    <w:tl2br w:val="nil"/>
                    <w:tr2bl w:val="nil"/>
                  </w:tcBorders>
                  <w:vAlign w:val="center"/>
                </w:tcPr>
                <w:p w14:paraId="3727C3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50个</w:t>
                  </w:r>
                </w:p>
              </w:tc>
            </w:tr>
            <w:tr w14:paraId="00A45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252279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70451E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解剖针</w:t>
                  </w:r>
                </w:p>
              </w:tc>
              <w:tc>
                <w:tcPr>
                  <w:tcW w:w="1667" w:type="pct"/>
                  <w:tcBorders>
                    <w:tl2br w:val="nil"/>
                    <w:tr2bl w:val="nil"/>
                  </w:tcBorders>
                  <w:vAlign w:val="center"/>
                </w:tcPr>
                <w:p w14:paraId="0BE35C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25个</w:t>
                  </w:r>
                </w:p>
              </w:tc>
            </w:tr>
            <w:tr w14:paraId="7607C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1B7FF4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300F34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试管架</w:t>
                  </w:r>
                </w:p>
              </w:tc>
              <w:tc>
                <w:tcPr>
                  <w:tcW w:w="1667" w:type="pct"/>
                  <w:tcBorders>
                    <w:tl2br w:val="nil"/>
                    <w:tr2bl w:val="nil"/>
                  </w:tcBorders>
                  <w:vAlign w:val="center"/>
                </w:tcPr>
                <w:p w14:paraId="3D5E34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50个</w:t>
                  </w:r>
                </w:p>
              </w:tc>
            </w:tr>
            <w:tr w14:paraId="29131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restart"/>
                  <w:tcBorders>
                    <w:tl2br w:val="nil"/>
                    <w:tr2bl w:val="nil"/>
                  </w:tcBorders>
                  <w:vAlign w:val="center"/>
                </w:tcPr>
                <w:p w14:paraId="703C6F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物理实验室</w:t>
                  </w:r>
                </w:p>
              </w:tc>
              <w:tc>
                <w:tcPr>
                  <w:tcW w:w="1870" w:type="pct"/>
                  <w:tcBorders>
                    <w:tl2br w:val="nil"/>
                    <w:tr2bl w:val="nil"/>
                  </w:tcBorders>
                  <w:vAlign w:val="center"/>
                </w:tcPr>
                <w:p w14:paraId="61D127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刻度尺</w:t>
                  </w:r>
                </w:p>
              </w:tc>
              <w:tc>
                <w:tcPr>
                  <w:tcW w:w="1667" w:type="pct"/>
                  <w:tcBorders>
                    <w:tl2br w:val="nil"/>
                    <w:tr2bl w:val="nil"/>
                  </w:tcBorders>
                  <w:vAlign w:val="center"/>
                </w:tcPr>
                <w:p w14:paraId="0EB367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25把</w:t>
                  </w:r>
                </w:p>
              </w:tc>
            </w:tr>
            <w:tr w14:paraId="5F447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156640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14DF02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游标卡尺</w:t>
                  </w:r>
                </w:p>
              </w:tc>
              <w:tc>
                <w:tcPr>
                  <w:tcW w:w="1667" w:type="pct"/>
                  <w:tcBorders>
                    <w:tl2br w:val="nil"/>
                    <w:tr2bl w:val="nil"/>
                  </w:tcBorders>
                  <w:vAlign w:val="center"/>
                </w:tcPr>
                <w:p w14:paraId="399667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25把</w:t>
                  </w:r>
                </w:p>
              </w:tc>
            </w:tr>
            <w:tr w14:paraId="159AC8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67BAD7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285455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小车</w:t>
                  </w:r>
                </w:p>
              </w:tc>
              <w:tc>
                <w:tcPr>
                  <w:tcW w:w="1667" w:type="pct"/>
                  <w:tcBorders>
                    <w:tl2br w:val="nil"/>
                    <w:tr2bl w:val="nil"/>
                  </w:tcBorders>
                  <w:vAlign w:val="center"/>
                </w:tcPr>
                <w:p w14:paraId="03D549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10个</w:t>
                  </w:r>
                </w:p>
              </w:tc>
            </w:tr>
            <w:tr w14:paraId="0830D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3462E6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7796E8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弹簧测力计</w:t>
                  </w:r>
                </w:p>
              </w:tc>
              <w:tc>
                <w:tcPr>
                  <w:tcW w:w="1667" w:type="pct"/>
                  <w:tcBorders>
                    <w:tl2br w:val="nil"/>
                    <w:tr2bl w:val="nil"/>
                  </w:tcBorders>
                  <w:vAlign w:val="center"/>
                </w:tcPr>
                <w:p w14:paraId="0C08E6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100个</w:t>
                  </w:r>
                </w:p>
              </w:tc>
            </w:tr>
            <w:tr w14:paraId="75597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044789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0D9DF5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三棱镜</w:t>
                  </w:r>
                </w:p>
              </w:tc>
              <w:tc>
                <w:tcPr>
                  <w:tcW w:w="1667" w:type="pct"/>
                  <w:tcBorders>
                    <w:tl2br w:val="nil"/>
                    <w:tr2bl w:val="nil"/>
                  </w:tcBorders>
                  <w:vAlign w:val="center"/>
                </w:tcPr>
                <w:p w14:paraId="660B6A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30个</w:t>
                  </w:r>
                </w:p>
              </w:tc>
            </w:tr>
            <w:tr w14:paraId="2CB2F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0496F8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7D9EF9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天平</w:t>
                  </w:r>
                </w:p>
              </w:tc>
              <w:tc>
                <w:tcPr>
                  <w:tcW w:w="1667" w:type="pct"/>
                  <w:tcBorders>
                    <w:tl2br w:val="nil"/>
                    <w:tr2bl w:val="nil"/>
                  </w:tcBorders>
                  <w:vAlign w:val="center"/>
                </w:tcPr>
                <w:p w14:paraId="6EFC1A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5个</w:t>
                  </w:r>
                </w:p>
              </w:tc>
            </w:tr>
            <w:tr w14:paraId="19FAB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2" w:type="pct"/>
                  <w:vMerge w:val="continue"/>
                  <w:tcBorders>
                    <w:tl2br w:val="nil"/>
                    <w:tr2bl w:val="nil"/>
                  </w:tcBorders>
                  <w:vAlign w:val="center"/>
                </w:tcPr>
                <w:p w14:paraId="022C10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870" w:type="pct"/>
                  <w:tcBorders>
                    <w:tl2br w:val="nil"/>
                    <w:tr2bl w:val="nil"/>
                  </w:tcBorders>
                  <w:vAlign w:val="center"/>
                </w:tcPr>
                <w:p w14:paraId="0BAA6A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小灯泡</w:t>
                  </w:r>
                </w:p>
              </w:tc>
              <w:tc>
                <w:tcPr>
                  <w:tcW w:w="1667" w:type="pct"/>
                  <w:tcBorders>
                    <w:tl2br w:val="nil"/>
                    <w:tr2bl w:val="nil"/>
                  </w:tcBorders>
                  <w:vAlign w:val="center"/>
                </w:tcPr>
                <w:p w14:paraId="640C19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60个</w:t>
                  </w:r>
                </w:p>
              </w:tc>
            </w:tr>
          </w:tbl>
          <w:p w14:paraId="3D1E6FE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8、主要原辅材料及能耗</w:t>
            </w:r>
          </w:p>
          <w:p w14:paraId="742DBE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项目实验开展过程中，仅化学实验和生物实验涉及化学品使用，物理过程不涉及化学品使用，化学品均储存在化学实验室中。</w:t>
            </w:r>
          </w:p>
          <w:p w14:paraId="28E563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本项目各实验室所用化学品如下表所示：</w:t>
            </w:r>
          </w:p>
          <w:p w14:paraId="09B4489D">
            <w:pPr>
              <w:pStyle w:val="114"/>
              <w:bidi w:val="0"/>
              <w:rPr>
                <w:rFonts w:hint="default"/>
                <w:color w:val="auto"/>
                <w:lang w:val="en-US" w:eastAsia="zh-CN"/>
              </w:rPr>
            </w:pPr>
            <w:r>
              <w:rPr>
                <w:rFonts w:hint="eastAsia"/>
                <w:color w:val="auto"/>
                <w:lang w:val="en-US" w:eastAsia="zh-CN"/>
              </w:rPr>
              <w:t>本项目主要原辅材料用量一览表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1484"/>
              <w:gridCol w:w="1532"/>
              <w:gridCol w:w="1597"/>
              <w:gridCol w:w="1270"/>
              <w:gridCol w:w="1123"/>
              <w:gridCol w:w="1251"/>
            </w:tblGrid>
            <w:tr w14:paraId="37FC7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tcBorders>
                    <w:tl2br w:val="nil"/>
                    <w:tr2bl w:val="nil"/>
                  </w:tcBorders>
                  <w:vAlign w:val="center"/>
                </w:tcPr>
                <w:p w14:paraId="7A0028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实验名称</w:t>
                  </w:r>
                </w:p>
              </w:tc>
              <w:tc>
                <w:tcPr>
                  <w:tcW w:w="828" w:type="pct"/>
                  <w:tcBorders>
                    <w:tl2br w:val="nil"/>
                    <w:tr2bl w:val="nil"/>
                  </w:tcBorders>
                  <w:vAlign w:val="center"/>
                </w:tcPr>
                <w:p w14:paraId="33D2AA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原料名称</w:t>
                  </w:r>
                </w:p>
              </w:tc>
              <w:tc>
                <w:tcPr>
                  <w:tcW w:w="854" w:type="pct"/>
                  <w:tcBorders>
                    <w:tl2br w:val="nil"/>
                    <w:tr2bl w:val="nil"/>
                  </w:tcBorders>
                  <w:vAlign w:val="center"/>
                </w:tcPr>
                <w:p w14:paraId="2A8159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成分</w:t>
                  </w:r>
                </w:p>
              </w:tc>
              <w:tc>
                <w:tcPr>
                  <w:tcW w:w="681" w:type="pct"/>
                  <w:tcBorders>
                    <w:tl2br w:val="nil"/>
                    <w:tr2bl w:val="nil"/>
                  </w:tcBorders>
                  <w:vAlign w:val="center"/>
                </w:tcPr>
                <w:p w14:paraId="4D95AE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年使用量</w:t>
                  </w:r>
                </w:p>
              </w:tc>
              <w:tc>
                <w:tcPr>
                  <w:tcW w:w="713" w:type="pct"/>
                  <w:tcBorders>
                    <w:tl2br w:val="nil"/>
                    <w:tr2bl w:val="nil"/>
                  </w:tcBorders>
                  <w:vAlign w:val="center"/>
                </w:tcPr>
                <w:p w14:paraId="0A15C1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最大储存量</w:t>
                  </w:r>
                </w:p>
              </w:tc>
              <w:tc>
                <w:tcPr>
                  <w:tcW w:w="634" w:type="pct"/>
                  <w:tcBorders>
                    <w:tl2br w:val="nil"/>
                    <w:tr2bl w:val="nil"/>
                  </w:tcBorders>
                  <w:vAlign w:val="center"/>
                </w:tcPr>
                <w:p w14:paraId="438F1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包装方式</w:t>
                  </w:r>
                </w:p>
              </w:tc>
              <w:tc>
                <w:tcPr>
                  <w:tcW w:w="703" w:type="pct"/>
                  <w:tcBorders>
                    <w:tl2br w:val="nil"/>
                    <w:tr2bl w:val="nil"/>
                  </w:tcBorders>
                  <w:vAlign w:val="center"/>
                </w:tcPr>
                <w:p w14:paraId="70C14E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备注</w:t>
                  </w:r>
                </w:p>
              </w:tc>
            </w:tr>
            <w:tr w14:paraId="5E7EF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restart"/>
                  <w:tcBorders>
                    <w:tl2br w:val="nil"/>
                    <w:tr2bl w:val="nil"/>
                  </w:tcBorders>
                  <w:vAlign w:val="center"/>
                </w:tcPr>
                <w:p w14:paraId="01973E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化学实验</w:t>
                  </w:r>
                </w:p>
              </w:tc>
              <w:tc>
                <w:tcPr>
                  <w:tcW w:w="828" w:type="pct"/>
                  <w:tcBorders>
                    <w:tl2br w:val="nil"/>
                    <w:tr2bl w:val="nil"/>
                  </w:tcBorders>
                  <w:vAlign w:val="center"/>
                </w:tcPr>
                <w:p w14:paraId="32FD0E5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pacing w:val="5"/>
                      <w:sz w:val="21"/>
                      <w:szCs w:val="21"/>
                    </w:rPr>
                    <w:t>高锰酸钾</w:t>
                  </w:r>
                </w:p>
              </w:tc>
              <w:tc>
                <w:tcPr>
                  <w:tcW w:w="854" w:type="pct"/>
                  <w:tcBorders>
                    <w:tl2br w:val="nil"/>
                    <w:tr2bl w:val="nil"/>
                  </w:tcBorders>
                  <w:vAlign w:val="center"/>
                </w:tcPr>
                <w:p w14:paraId="3FC463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KMnO</w:t>
                  </w:r>
                  <w:r>
                    <w:rPr>
                      <w:rFonts w:hint="eastAsia" w:ascii="Times New Roman" w:hAnsi="Times New Roman" w:cs="Times New Roman"/>
                      <w:b w:val="0"/>
                      <w:bCs w:val="0"/>
                      <w:color w:val="auto"/>
                      <w:sz w:val="21"/>
                      <w:szCs w:val="21"/>
                      <w:highlight w:val="none"/>
                      <w:vertAlign w:val="subscript"/>
                      <w:lang w:val="en-US" w:eastAsia="zh-CN"/>
                    </w:rPr>
                    <w:t>4</w:t>
                  </w:r>
                </w:p>
              </w:tc>
              <w:tc>
                <w:tcPr>
                  <w:tcW w:w="681" w:type="pct"/>
                  <w:tcBorders>
                    <w:tl2br w:val="nil"/>
                    <w:tr2bl w:val="nil"/>
                  </w:tcBorders>
                  <w:vAlign w:val="center"/>
                </w:tcPr>
                <w:p w14:paraId="5C46F08E">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color w:val="auto"/>
                      <w:szCs w:val="21"/>
                      <w:lang w:val="en-US" w:eastAsia="zh-CN"/>
                    </w:rPr>
                    <w:t>500mg</w:t>
                  </w:r>
                </w:p>
              </w:tc>
              <w:tc>
                <w:tcPr>
                  <w:tcW w:w="713" w:type="pct"/>
                  <w:tcBorders>
                    <w:tl2br w:val="nil"/>
                    <w:tr2bl w:val="nil"/>
                  </w:tcBorders>
                  <w:vAlign w:val="center"/>
                </w:tcPr>
                <w:p w14:paraId="5A4269C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2000mg</w:t>
                  </w:r>
                </w:p>
              </w:tc>
              <w:tc>
                <w:tcPr>
                  <w:tcW w:w="634" w:type="pct"/>
                  <w:tcBorders>
                    <w:tl2br w:val="nil"/>
                    <w:tr2bl w:val="nil"/>
                  </w:tcBorders>
                  <w:vAlign w:val="center"/>
                </w:tcPr>
                <w:p w14:paraId="6C6D96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68221A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07717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06886B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17486E0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石灰水</w:t>
                  </w:r>
                </w:p>
              </w:tc>
              <w:tc>
                <w:tcPr>
                  <w:tcW w:w="854" w:type="pct"/>
                  <w:tcBorders>
                    <w:tl2br w:val="nil"/>
                    <w:tr2bl w:val="nil"/>
                  </w:tcBorders>
                  <w:vAlign w:val="center"/>
                </w:tcPr>
                <w:p w14:paraId="398915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氢氧化钙溶液</w:t>
                  </w:r>
                </w:p>
              </w:tc>
              <w:tc>
                <w:tcPr>
                  <w:tcW w:w="681" w:type="pct"/>
                  <w:tcBorders>
                    <w:tl2br w:val="nil"/>
                    <w:tr2bl w:val="nil"/>
                  </w:tcBorders>
                  <w:vAlign w:val="center"/>
                </w:tcPr>
                <w:p w14:paraId="5EA2DA10">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1000mL</w:t>
                  </w:r>
                </w:p>
              </w:tc>
              <w:tc>
                <w:tcPr>
                  <w:tcW w:w="713" w:type="pct"/>
                  <w:tcBorders>
                    <w:tl2br w:val="nil"/>
                    <w:tr2bl w:val="nil"/>
                  </w:tcBorders>
                  <w:vAlign w:val="center"/>
                </w:tcPr>
                <w:p w14:paraId="05DB6B0C">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2000mL</w:t>
                  </w:r>
                </w:p>
              </w:tc>
              <w:tc>
                <w:tcPr>
                  <w:tcW w:w="634" w:type="pct"/>
                  <w:tcBorders>
                    <w:tl2br w:val="nil"/>
                    <w:tr2bl w:val="nil"/>
                  </w:tcBorders>
                  <w:vAlign w:val="center"/>
                </w:tcPr>
                <w:p w14:paraId="125F34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4386D5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5AB91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2902A1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59AB45A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大理石</w:t>
                  </w:r>
                </w:p>
              </w:tc>
              <w:tc>
                <w:tcPr>
                  <w:tcW w:w="854" w:type="pct"/>
                  <w:tcBorders>
                    <w:tl2br w:val="nil"/>
                    <w:tr2bl w:val="nil"/>
                  </w:tcBorders>
                  <w:vAlign w:val="center"/>
                </w:tcPr>
                <w:p w14:paraId="31E1F0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CaCO</w:t>
                  </w:r>
                  <w:r>
                    <w:rPr>
                      <w:rFonts w:hint="eastAsia" w:ascii="Times New Roman" w:hAnsi="Times New Roman" w:cs="Times New Roman"/>
                      <w:b w:val="0"/>
                      <w:bCs w:val="0"/>
                      <w:color w:val="auto"/>
                      <w:sz w:val="21"/>
                      <w:szCs w:val="21"/>
                      <w:highlight w:val="none"/>
                      <w:vertAlign w:val="subscript"/>
                      <w:lang w:val="en-US" w:eastAsia="zh-CN"/>
                    </w:rPr>
                    <w:t>3</w:t>
                  </w:r>
                </w:p>
              </w:tc>
              <w:tc>
                <w:tcPr>
                  <w:tcW w:w="681" w:type="pct"/>
                  <w:tcBorders>
                    <w:tl2br w:val="nil"/>
                    <w:tr2bl w:val="nil"/>
                  </w:tcBorders>
                  <w:vAlign w:val="center"/>
                </w:tcPr>
                <w:p w14:paraId="60E04E2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200g</w:t>
                  </w:r>
                </w:p>
              </w:tc>
              <w:tc>
                <w:tcPr>
                  <w:tcW w:w="713" w:type="pct"/>
                  <w:tcBorders>
                    <w:tl2br w:val="nil"/>
                    <w:tr2bl w:val="nil"/>
                  </w:tcBorders>
                  <w:vAlign w:val="center"/>
                </w:tcPr>
                <w:p w14:paraId="0A241B4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5kg</w:t>
                  </w:r>
                </w:p>
              </w:tc>
              <w:tc>
                <w:tcPr>
                  <w:tcW w:w="634" w:type="pct"/>
                  <w:tcBorders>
                    <w:tl2br w:val="nil"/>
                    <w:tr2bl w:val="nil"/>
                  </w:tcBorders>
                  <w:vAlign w:val="center"/>
                </w:tcPr>
                <w:p w14:paraId="07BAF6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0801EF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1FD47C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089A80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7972261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3"/>
                      <w:sz w:val="21"/>
                      <w:szCs w:val="21"/>
                    </w:rPr>
                    <w:t>盐酸</w:t>
                  </w:r>
                </w:p>
              </w:tc>
              <w:tc>
                <w:tcPr>
                  <w:tcW w:w="854" w:type="pct"/>
                  <w:tcBorders>
                    <w:tl2br w:val="nil"/>
                    <w:tr2bl w:val="nil"/>
                  </w:tcBorders>
                  <w:vAlign w:val="center"/>
                </w:tcPr>
                <w:p w14:paraId="5BA616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38%HCl</w:t>
                  </w:r>
                </w:p>
              </w:tc>
              <w:tc>
                <w:tcPr>
                  <w:tcW w:w="681" w:type="pct"/>
                  <w:tcBorders>
                    <w:tl2br w:val="nil"/>
                    <w:tr2bl w:val="nil"/>
                  </w:tcBorders>
                  <w:vAlign w:val="center"/>
                </w:tcPr>
                <w:p w14:paraId="3AFF4C6A">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200mL</w:t>
                  </w:r>
                </w:p>
              </w:tc>
              <w:tc>
                <w:tcPr>
                  <w:tcW w:w="713" w:type="pct"/>
                  <w:tcBorders>
                    <w:tl2br w:val="nil"/>
                    <w:tr2bl w:val="nil"/>
                  </w:tcBorders>
                  <w:vAlign w:val="center"/>
                </w:tcPr>
                <w:p w14:paraId="22C7827E">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2000mL</w:t>
                  </w:r>
                </w:p>
              </w:tc>
              <w:tc>
                <w:tcPr>
                  <w:tcW w:w="634" w:type="pct"/>
                  <w:tcBorders>
                    <w:tl2br w:val="nil"/>
                    <w:tr2bl w:val="nil"/>
                  </w:tcBorders>
                  <w:vAlign w:val="center"/>
                </w:tcPr>
                <w:p w14:paraId="758BE8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玻璃瓶装</w:t>
                  </w:r>
                </w:p>
              </w:tc>
              <w:tc>
                <w:tcPr>
                  <w:tcW w:w="703" w:type="pct"/>
                  <w:tcBorders>
                    <w:tl2br w:val="nil"/>
                    <w:tr2bl w:val="nil"/>
                  </w:tcBorders>
                  <w:vAlign w:val="center"/>
                </w:tcPr>
                <w:p w14:paraId="66048B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0EEA7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051F3B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6A5203D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4"/>
                      <w:sz w:val="21"/>
                      <w:szCs w:val="21"/>
                    </w:rPr>
                    <w:t>石蕊</w:t>
                  </w:r>
                </w:p>
              </w:tc>
              <w:tc>
                <w:tcPr>
                  <w:tcW w:w="854" w:type="pct"/>
                  <w:tcBorders>
                    <w:tl2br w:val="nil"/>
                    <w:tr2bl w:val="nil"/>
                  </w:tcBorders>
                  <w:vAlign w:val="center"/>
                </w:tcPr>
                <w:p w14:paraId="59678D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C</w:t>
                  </w:r>
                  <w:r>
                    <w:rPr>
                      <w:rFonts w:hint="eastAsia" w:ascii="Times New Roman" w:hAnsi="Times New Roman" w:cs="Times New Roman"/>
                      <w:b w:val="0"/>
                      <w:bCs w:val="0"/>
                      <w:color w:val="auto"/>
                      <w:sz w:val="21"/>
                      <w:szCs w:val="21"/>
                      <w:highlight w:val="none"/>
                      <w:vertAlign w:val="subscript"/>
                      <w:lang w:val="en-US" w:eastAsia="zh-CN"/>
                    </w:rPr>
                    <w:t>7</w:t>
                  </w:r>
                  <w:r>
                    <w:rPr>
                      <w:rFonts w:hint="eastAsia" w:ascii="Times New Roman" w:hAnsi="Times New Roman" w:cs="Times New Roman"/>
                      <w:b w:val="0"/>
                      <w:bCs w:val="0"/>
                      <w:color w:val="auto"/>
                      <w:sz w:val="21"/>
                      <w:szCs w:val="21"/>
                      <w:highlight w:val="none"/>
                      <w:vertAlign w:val="baseline"/>
                      <w:lang w:val="en-US" w:eastAsia="zh-CN"/>
                    </w:rPr>
                    <w:t>H</w:t>
                  </w:r>
                  <w:r>
                    <w:rPr>
                      <w:rFonts w:hint="eastAsia" w:ascii="Times New Roman" w:hAnsi="Times New Roman" w:cs="Times New Roman"/>
                      <w:b w:val="0"/>
                      <w:bCs w:val="0"/>
                      <w:color w:val="auto"/>
                      <w:sz w:val="21"/>
                      <w:szCs w:val="21"/>
                      <w:highlight w:val="none"/>
                      <w:vertAlign w:val="subscript"/>
                      <w:lang w:val="en-US" w:eastAsia="zh-CN"/>
                    </w:rPr>
                    <w:t>7</w:t>
                  </w:r>
                  <w:r>
                    <w:rPr>
                      <w:rFonts w:hint="eastAsia" w:ascii="Times New Roman" w:hAnsi="Times New Roman" w:cs="Times New Roman"/>
                      <w:b w:val="0"/>
                      <w:bCs w:val="0"/>
                      <w:color w:val="auto"/>
                      <w:sz w:val="21"/>
                      <w:szCs w:val="21"/>
                      <w:highlight w:val="none"/>
                      <w:vertAlign w:val="baseline"/>
                      <w:lang w:val="en-US" w:eastAsia="zh-CN"/>
                    </w:rPr>
                    <w:t>O</w:t>
                  </w:r>
                  <w:r>
                    <w:rPr>
                      <w:rFonts w:hint="eastAsia" w:ascii="Times New Roman" w:hAnsi="Times New Roman" w:cs="Times New Roman"/>
                      <w:b w:val="0"/>
                      <w:bCs w:val="0"/>
                      <w:color w:val="auto"/>
                      <w:sz w:val="21"/>
                      <w:szCs w:val="21"/>
                      <w:highlight w:val="none"/>
                      <w:vertAlign w:val="subscript"/>
                      <w:lang w:val="en-US" w:eastAsia="zh-CN"/>
                    </w:rPr>
                    <w:t>4</w:t>
                  </w:r>
                  <w:r>
                    <w:rPr>
                      <w:rFonts w:hint="eastAsia" w:ascii="Times New Roman" w:hAnsi="Times New Roman" w:cs="Times New Roman"/>
                      <w:b w:val="0"/>
                      <w:bCs w:val="0"/>
                      <w:color w:val="auto"/>
                      <w:sz w:val="21"/>
                      <w:szCs w:val="21"/>
                      <w:highlight w:val="none"/>
                      <w:vertAlign w:val="baseline"/>
                      <w:lang w:val="en-US" w:eastAsia="zh-CN"/>
                    </w:rPr>
                    <w:t>N</w:t>
                  </w:r>
                </w:p>
              </w:tc>
              <w:tc>
                <w:tcPr>
                  <w:tcW w:w="681" w:type="pct"/>
                  <w:tcBorders>
                    <w:tl2br w:val="nil"/>
                    <w:tr2bl w:val="nil"/>
                  </w:tcBorders>
                  <w:vAlign w:val="center"/>
                </w:tcPr>
                <w:p w14:paraId="595DAE4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20mg</w:t>
                  </w:r>
                </w:p>
              </w:tc>
              <w:tc>
                <w:tcPr>
                  <w:tcW w:w="713" w:type="pct"/>
                  <w:tcBorders>
                    <w:tl2br w:val="nil"/>
                    <w:tr2bl w:val="nil"/>
                  </w:tcBorders>
                  <w:vAlign w:val="center"/>
                </w:tcPr>
                <w:p w14:paraId="3232BCD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50mg</w:t>
                  </w:r>
                </w:p>
              </w:tc>
              <w:tc>
                <w:tcPr>
                  <w:tcW w:w="634" w:type="pct"/>
                  <w:tcBorders>
                    <w:tl2br w:val="nil"/>
                    <w:tr2bl w:val="nil"/>
                  </w:tcBorders>
                  <w:vAlign w:val="center"/>
                </w:tcPr>
                <w:p w14:paraId="14D316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玻璃拼装</w:t>
                  </w:r>
                </w:p>
              </w:tc>
              <w:tc>
                <w:tcPr>
                  <w:tcW w:w="703" w:type="pct"/>
                  <w:tcBorders>
                    <w:tl2br w:val="nil"/>
                    <w:tr2bl w:val="nil"/>
                  </w:tcBorders>
                  <w:vAlign w:val="center"/>
                </w:tcPr>
                <w:p w14:paraId="30E370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0CF4D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27B7C8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1EBB840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2"/>
                      <w:sz w:val="21"/>
                      <w:szCs w:val="21"/>
                    </w:rPr>
                    <w:t>酒精</w:t>
                  </w:r>
                </w:p>
              </w:tc>
              <w:tc>
                <w:tcPr>
                  <w:tcW w:w="854" w:type="pct"/>
                  <w:tcBorders>
                    <w:tl2br w:val="nil"/>
                    <w:tr2bl w:val="nil"/>
                  </w:tcBorders>
                  <w:vAlign w:val="center"/>
                </w:tcPr>
                <w:p w14:paraId="268814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75%C</w:t>
                  </w:r>
                  <w:r>
                    <w:rPr>
                      <w:rFonts w:hint="eastAsia" w:ascii="Times New Roman" w:hAnsi="Times New Roman" w:cs="Times New Roman"/>
                      <w:b w:val="0"/>
                      <w:bCs w:val="0"/>
                      <w:color w:val="auto"/>
                      <w:sz w:val="21"/>
                      <w:szCs w:val="21"/>
                      <w:highlight w:val="none"/>
                      <w:vertAlign w:val="subscript"/>
                      <w:lang w:val="en-US" w:eastAsia="zh-CN"/>
                    </w:rPr>
                    <w:t>2</w:t>
                  </w:r>
                  <w:r>
                    <w:rPr>
                      <w:rFonts w:hint="eastAsia" w:ascii="Times New Roman" w:hAnsi="Times New Roman" w:cs="Times New Roman"/>
                      <w:b w:val="0"/>
                      <w:bCs w:val="0"/>
                      <w:color w:val="auto"/>
                      <w:sz w:val="21"/>
                      <w:szCs w:val="21"/>
                      <w:highlight w:val="none"/>
                      <w:vertAlign w:val="baseline"/>
                      <w:lang w:val="en-US" w:eastAsia="zh-CN"/>
                    </w:rPr>
                    <w:t>H</w:t>
                  </w:r>
                  <w:r>
                    <w:rPr>
                      <w:rFonts w:hint="eastAsia" w:ascii="Times New Roman" w:hAnsi="Times New Roman" w:cs="Times New Roman"/>
                      <w:b w:val="0"/>
                      <w:bCs w:val="0"/>
                      <w:color w:val="auto"/>
                      <w:sz w:val="21"/>
                      <w:szCs w:val="21"/>
                      <w:highlight w:val="none"/>
                      <w:vertAlign w:val="subscript"/>
                      <w:lang w:val="en-US" w:eastAsia="zh-CN"/>
                    </w:rPr>
                    <w:t>5</w:t>
                  </w:r>
                  <w:r>
                    <w:rPr>
                      <w:rFonts w:hint="eastAsia" w:ascii="Times New Roman" w:hAnsi="Times New Roman" w:cs="Times New Roman"/>
                      <w:b w:val="0"/>
                      <w:bCs w:val="0"/>
                      <w:color w:val="auto"/>
                      <w:sz w:val="21"/>
                      <w:szCs w:val="21"/>
                      <w:highlight w:val="none"/>
                      <w:vertAlign w:val="baseline"/>
                      <w:lang w:val="en-US" w:eastAsia="zh-CN"/>
                    </w:rPr>
                    <w:t>OH</w:t>
                  </w:r>
                </w:p>
              </w:tc>
              <w:tc>
                <w:tcPr>
                  <w:tcW w:w="681" w:type="pct"/>
                  <w:tcBorders>
                    <w:tl2br w:val="nil"/>
                    <w:tr2bl w:val="nil"/>
                  </w:tcBorders>
                  <w:vAlign w:val="center"/>
                </w:tcPr>
                <w:p w14:paraId="04EB05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500mL</w:t>
                  </w:r>
                </w:p>
              </w:tc>
              <w:tc>
                <w:tcPr>
                  <w:tcW w:w="713" w:type="pct"/>
                  <w:tcBorders>
                    <w:tl2br w:val="nil"/>
                    <w:tr2bl w:val="nil"/>
                  </w:tcBorders>
                  <w:vAlign w:val="center"/>
                </w:tcPr>
                <w:p w14:paraId="162CCE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2500mL</w:t>
                  </w:r>
                </w:p>
              </w:tc>
              <w:tc>
                <w:tcPr>
                  <w:tcW w:w="634" w:type="pct"/>
                  <w:tcBorders>
                    <w:tl2br w:val="nil"/>
                    <w:tr2bl w:val="nil"/>
                  </w:tcBorders>
                  <w:vAlign w:val="center"/>
                </w:tcPr>
                <w:p w14:paraId="31135F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7B7679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3C914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57312B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0F6799D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镁条</w:t>
                  </w:r>
                </w:p>
              </w:tc>
              <w:tc>
                <w:tcPr>
                  <w:tcW w:w="854" w:type="pct"/>
                  <w:tcBorders>
                    <w:tl2br w:val="nil"/>
                    <w:tr2bl w:val="nil"/>
                  </w:tcBorders>
                  <w:vAlign w:val="center"/>
                </w:tcPr>
                <w:p w14:paraId="308E36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Mg</w:t>
                  </w:r>
                </w:p>
              </w:tc>
              <w:tc>
                <w:tcPr>
                  <w:tcW w:w="681" w:type="pct"/>
                  <w:tcBorders>
                    <w:tl2br w:val="nil"/>
                    <w:tr2bl w:val="nil"/>
                  </w:tcBorders>
                  <w:vAlign w:val="center"/>
                </w:tcPr>
                <w:p w14:paraId="2504DE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20g</w:t>
                  </w:r>
                </w:p>
              </w:tc>
              <w:tc>
                <w:tcPr>
                  <w:tcW w:w="713" w:type="pct"/>
                  <w:tcBorders>
                    <w:tl2br w:val="nil"/>
                    <w:tr2bl w:val="nil"/>
                  </w:tcBorders>
                  <w:vAlign w:val="center"/>
                </w:tcPr>
                <w:p w14:paraId="3CC869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100g</w:t>
                  </w:r>
                </w:p>
              </w:tc>
              <w:tc>
                <w:tcPr>
                  <w:tcW w:w="634" w:type="pct"/>
                  <w:tcBorders>
                    <w:tl2br w:val="nil"/>
                    <w:tr2bl w:val="nil"/>
                  </w:tcBorders>
                  <w:vAlign w:val="center"/>
                </w:tcPr>
                <w:p w14:paraId="30A0F9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袋装</w:t>
                  </w:r>
                </w:p>
              </w:tc>
              <w:tc>
                <w:tcPr>
                  <w:tcW w:w="703" w:type="pct"/>
                  <w:tcBorders>
                    <w:tl2br w:val="nil"/>
                    <w:tr2bl w:val="nil"/>
                  </w:tcBorders>
                  <w:vAlign w:val="center"/>
                </w:tcPr>
                <w:p w14:paraId="2F4676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099DDC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1A95D6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461A5220">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锌片</w:t>
                  </w:r>
                </w:p>
              </w:tc>
              <w:tc>
                <w:tcPr>
                  <w:tcW w:w="854" w:type="pct"/>
                  <w:tcBorders>
                    <w:tl2br w:val="nil"/>
                    <w:tr2bl w:val="nil"/>
                  </w:tcBorders>
                  <w:vAlign w:val="center"/>
                </w:tcPr>
                <w:p w14:paraId="33F600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Zn</w:t>
                  </w:r>
                </w:p>
              </w:tc>
              <w:tc>
                <w:tcPr>
                  <w:tcW w:w="681" w:type="pct"/>
                  <w:tcBorders>
                    <w:tl2br w:val="nil"/>
                    <w:tr2bl w:val="nil"/>
                  </w:tcBorders>
                  <w:vAlign w:val="center"/>
                </w:tcPr>
                <w:p w14:paraId="7075FC7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50g</w:t>
                  </w:r>
                </w:p>
              </w:tc>
              <w:tc>
                <w:tcPr>
                  <w:tcW w:w="713" w:type="pct"/>
                  <w:tcBorders>
                    <w:tl2br w:val="nil"/>
                    <w:tr2bl w:val="nil"/>
                  </w:tcBorders>
                  <w:vAlign w:val="center"/>
                </w:tcPr>
                <w:p w14:paraId="23EBACC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500g</w:t>
                  </w:r>
                </w:p>
              </w:tc>
              <w:tc>
                <w:tcPr>
                  <w:tcW w:w="634" w:type="pct"/>
                  <w:tcBorders>
                    <w:tl2br w:val="nil"/>
                    <w:tr2bl w:val="nil"/>
                  </w:tcBorders>
                  <w:vAlign w:val="center"/>
                </w:tcPr>
                <w:p w14:paraId="62ECA0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袋装</w:t>
                  </w:r>
                </w:p>
              </w:tc>
              <w:tc>
                <w:tcPr>
                  <w:tcW w:w="703" w:type="pct"/>
                  <w:tcBorders>
                    <w:tl2br w:val="nil"/>
                    <w:tr2bl w:val="nil"/>
                  </w:tcBorders>
                  <w:vAlign w:val="center"/>
                </w:tcPr>
                <w:p w14:paraId="227A11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2DAFD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4CA4D9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056CBF4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4"/>
                      <w:sz w:val="21"/>
                      <w:szCs w:val="21"/>
                    </w:rPr>
                    <w:t>铜片</w:t>
                  </w:r>
                </w:p>
              </w:tc>
              <w:tc>
                <w:tcPr>
                  <w:tcW w:w="854" w:type="pct"/>
                  <w:tcBorders>
                    <w:tl2br w:val="nil"/>
                    <w:tr2bl w:val="nil"/>
                  </w:tcBorders>
                  <w:vAlign w:val="center"/>
                </w:tcPr>
                <w:p w14:paraId="13685E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Cu</w:t>
                  </w:r>
                </w:p>
              </w:tc>
              <w:tc>
                <w:tcPr>
                  <w:tcW w:w="681" w:type="pct"/>
                  <w:tcBorders>
                    <w:tl2br w:val="nil"/>
                    <w:tr2bl w:val="nil"/>
                  </w:tcBorders>
                  <w:vAlign w:val="center"/>
                </w:tcPr>
                <w:p w14:paraId="37EC1FB0">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50g</w:t>
                  </w:r>
                </w:p>
              </w:tc>
              <w:tc>
                <w:tcPr>
                  <w:tcW w:w="713" w:type="pct"/>
                  <w:tcBorders>
                    <w:tl2br w:val="nil"/>
                    <w:tr2bl w:val="nil"/>
                  </w:tcBorders>
                  <w:vAlign w:val="center"/>
                </w:tcPr>
                <w:p w14:paraId="682AB71C">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200g</w:t>
                  </w:r>
                </w:p>
              </w:tc>
              <w:tc>
                <w:tcPr>
                  <w:tcW w:w="634" w:type="pct"/>
                  <w:tcBorders>
                    <w:tl2br w:val="nil"/>
                    <w:tr2bl w:val="nil"/>
                  </w:tcBorders>
                  <w:vAlign w:val="center"/>
                </w:tcPr>
                <w:p w14:paraId="3B2691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袋装</w:t>
                  </w:r>
                </w:p>
              </w:tc>
              <w:tc>
                <w:tcPr>
                  <w:tcW w:w="703" w:type="pct"/>
                  <w:tcBorders>
                    <w:tl2br w:val="nil"/>
                    <w:tr2bl w:val="nil"/>
                  </w:tcBorders>
                  <w:vAlign w:val="center"/>
                </w:tcPr>
                <w:p w14:paraId="547290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27DF3B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218EC2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281332BE">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8"/>
                      <w:sz w:val="21"/>
                      <w:szCs w:val="21"/>
                    </w:rPr>
                    <w:t>硫酸铜溶</w:t>
                  </w:r>
                  <w:r>
                    <w:rPr>
                      <w:rFonts w:hint="default" w:ascii="Times New Roman" w:hAnsi="Times New Roman" w:eastAsia="宋体" w:cs="Times New Roman"/>
                      <w:color w:val="auto"/>
                      <w:sz w:val="21"/>
                      <w:szCs w:val="21"/>
                    </w:rPr>
                    <w:t>液</w:t>
                  </w:r>
                </w:p>
              </w:tc>
              <w:tc>
                <w:tcPr>
                  <w:tcW w:w="854" w:type="pct"/>
                  <w:tcBorders>
                    <w:tl2br w:val="nil"/>
                    <w:tr2bl w:val="nil"/>
                  </w:tcBorders>
                  <w:vAlign w:val="center"/>
                </w:tcPr>
                <w:p w14:paraId="27FB47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CuSO</w:t>
                  </w:r>
                  <w:r>
                    <w:rPr>
                      <w:rFonts w:hint="eastAsia" w:ascii="Times New Roman" w:hAnsi="Times New Roman" w:cs="Times New Roman"/>
                      <w:b w:val="0"/>
                      <w:bCs w:val="0"/>
                      <w:color w:val="auto"/>
                      <w:sz w:val="21"/>
                      <w:szCs w:val="21"/>
                      <w:highlight w:val="none"/>
                      <w:vertAlign w:val="subscript"/>
                      <w:lang w:val="en-US" w:eastAsia="zh-CN"/>
                    </w:rPr>
                    <w:t>4</w:t>
                  </w:r>
                </w:p>
              </w:tc>
              <w:tc>
                <w:tcPr>
                  <w:tcW w:w="681" w:type="pct"/>
                  <w:tcBorders>
                    <w:tl2br w:val="nil"/>
                    <w:tr2bl w:val="nil"/>
                  </w:tcBorders>
                  <w:vAlign w:val="center"/>
                </w:tcPr>
                <w:p w14:paraId="232519F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color w:val="auto"/>
                      <w:szCs w:val="21"/>
                      <w:lang w:val="en-US" w:eastAsia="zh-CN"/>
                    </w:rPr>
                    <w:t>100mL</w:t>
                  </w:r>
                </w:p>
              </w:tc>
              <w:tc>
                <w:tcPr>
                  <w:tcW w:w="713" w:type="pct"/>
                  <w:tcBorders>
                    <w:tl2br w:val="nil"/>
                    <w:tr2bl w:val="nil"/>
                  </w:tcBorders>
                  <w:vAlign w:val="center"/>
                </w:tcPr>
                <w:p w14:paraId="09FDEA5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500mL</w:t>
                  </w:r>
                </w:p>
              </w:tc>
              <w:tc>
                <w:tcPr>
                  <w:tcW w:w="634" w:type="pct"/>
                  <w:tcBorders>
                    <w:tl2br w:val="nil"/>
                    <w:tr2bl w:val="nil"/>
                  </w:tcBorders>
                  <w:vAlign w:val="center"/>
                </w:tcPr>
                <w:p w14:paraId="2DFB22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玻璃瓶装</w:t>
                  </w:r>
                </w:p>
              </w:tc>
              <w:tc>
                <w:tcPr>
                  <w:tcW w:w="703" w:type="pct"/>
                  <w:tcBorders>
                    <w:tl2br w:val="nil"/>
                    <w:tr2bl w:val="nil"/>
                  </w:tcBorders>
                  <w:vAlign w:val="center"/>
                </w:tcPr>
                <w:p w14:paraId="47F7C2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2A018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1505EF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4374BAC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氯化钠</w:t>
                  </w:r>
                </w:p>
              </w:tc>
              <w:tc>
                <w:tcPr>
                  <w:tcW w:w="854" w:type="pct"/>
                  <w:tcBorders>
                    <w:tl2br w:val="nil"/>
                    <w:tr2bl w:val="nil"/>
                  </w:tcBorders>
                  <w:vAlign w:val="center"/>
                </w:tcPr>
                <w:p w14:paraId="4615F7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NaCl</w:t>
                  </w:r>
                </w:p>
              </w:tc>
              <w:tc>
                <w:tcPr>
                  <w:tcW w:w="681" w:type="pct"/>
                  <w:tcBorders>
                    <w:tl2br w:val="nil"/>
                    <w:tr2bl w:val="nil"/>
                  </w:tcBorders>
                  <w:vAlign w:val="center"/>
                </w:tcPr>
                <w:p w14:paraId="0AA5DFE0">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1000g</w:t>
                  </w:r>
                </w:p>
              </w:tc>
              <w:tc>
                <w:tcPr>
                  <w:tcW w:w="713" w:type="pct"/>
                  <w:tcBorders>
                    <w:tl2br w:val="nil"/>
                    <w:tr2bl w:val="nil"/>
                  </w:tcBorders>
                  <w:vAlign w:val="center"/>
                </w:tcPr>
                <w:p w14:paraId="41685810">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5000g</w:t>
                  </w:r>
                </w:p>
              </w:tc>
              <w:tc>
                <w:tcPr>
                  <w:tcW w:w="634" w:type="pct"/>
                  <w:tcBorders>
                    <w:tl2br w:val="nil"/>
                    <w:tr2bl w:val="nil"/>
                  </w:tcBorders>
                  <w:vAlign w:val="center"/>
                </w:tcPr>
                <w:p w14:paraId="38EA93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shd w:val="clear" w:color="auto" w:fill="auto"/>
                  <w:vAlign w:val="center"/>
                </w:tcPr>
                <w:p w14:paraId="0B6D64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22B42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344EDC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7CF40FF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7"/>
                      <w:sz w:val="21"/>
                      <w:szCs w:val="21"/>
                    </w:rPr>
                    <w:t>氢氧化钠</w:t>
                  </w:r>
                  <w:r>
                    <w:rPr>
                      <w:rFonts w:hint="default" w:ascii="Times New Roman" w:hAnsi="Times New Roman" w:eastAsia="宋体" w:cs="Times New Roman"/>
                      <w:color w:val="auto"/>
                      <w:spacing w:val="3"/>
                      <w:sz w:val="21"/>
                      <w:szCs w:val="21"/>
                    </w:rPr>
                    <w:t>溶液</w:t>
                  </w:r>
                </w:p>
              </w:tc>
              <w:tc>
                <w:tcPr>
                  <w:tcW w:w="854" w:type="pct"/>
                  <w:tcBorders>
                    <w:tl2br w:val="nil"/>
                    <w:tr2bl w:val="nil"/>
                  </w:tcBorders>
                  <w:vAlign w:val="center"/>
                </w:tcPr>
                <w:p w14:paraId="2C5816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NaOH</w:t>
                  </w:r>
                </w:p>
              </w:tc>
              <w:tc>
                <w:tcPr>
                  <w:tcW w:w="681" w:type="pct"/>
                  <w:tcBorders>
                    <w:tl2br w:val="nil"/>
                    <w:tr2bl w:val="nil"/>
                  </w:tcBorders>
                  <w:vAlign w:val="center"/>
                </w:tcPr>
                <w:p w14:paraId="584F743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200mL</w:t>
                  </w:r>
                </w:p>
              </w:tc>
              <w:tc>
                <w:tcPr>
                  <w:tcW w:w="713" w:type="pct"/>
                  <w:tcBorders>
                    <w:tl2br w:val="nil"/>
                    <w:tr2bl w:val="nil"/>
                  </w:tcBorders>
                  <w:vAlign w:val="center"/>
                </w:tcPr>
                <w:p w14:paraId="75BA9E5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500mL</w:t>
                  </w:r>
                </w:p>
              </w:tc>
              <w:tc>
                <w:tcPr>
                  <w:tcW w:w="634" w:type="pct"/>
                  <w:tcBorders>
                    <w:tl2br w:val="nil"/>
                    <w:tr2bl w:val="nil"/>
                  </w:tcBorders>
                  <w:vAlign w:val="center"/>
                </w:tcPr>
                <w:p w14:paraId="62F63B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玻璃瓶装</w:t>
                  </w:r>
                </w:p>
              </w:tc>
              <w:tc>
                <w:tcPr>
                  <w:tcW w:w="703" w:type="pct"/>
                  <w:tcBorders>
                    <w:tl2br w:val="nil"/>
                    <w:tr2bl w:val="nil"/>
                  </w:tcBorders>
                  <w:vAlign w:val="center"/>
                </w:tcPr>
                <w:p w14:paraId="7D0640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70672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1A26A9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35B50AA5">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7"/>
                      <w:sz w:val="21"/>
                      <w:szCs w:val="21"/>
                    </w:rPr>
                    <w:t>氢氧化钙</w:t>
                  </w:r>
                  <w:r>
                    <w:rPr>
                      <w:rFonts w:hint="default" w:ascii="Times New Roman" w:hAnsi="Times New Roman" w:eastAsia="宋体" w:cs="Times New Roman"/>
                      <w:color w:val="auto"/>
                      <w:spacing w:val="5"/>
                      <w:sz w:val="21"/>
                      <w:szCs w:val="21"/>
                    </w:rPr>
                    <w:t>粉末</w:t>
                  </w:r>
                </w:p>
              </w:tc>
              <w:tc>
                <w:tcPr>
                  <w:tcW w:w="854" w:type="pct"/>
                  <w:tcBorders>
                    <w:tl2br w:val="nil"/>
                    <w:tr2bl w:val="nil"/>
                  </w:tcBorders>
                  <w:vAlign w:val="center"/>
                </w:tcPr>
                <w:p w14:paraId="74A958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Ca（OH）</w:t>
                  </w:r>
                  <w:r>
                    <w:rPr>
                      <w:rFonts w:hint="eastAsia" w:ascii="Times New Roman" w:hAnsi="Times New Roman" w:cs="Times New Roman"/>
                      <w:b w:val="0"/>
                      <w:bCs w:val="0"/>
                      <w:color w:val="auto"/>
                      <w:sz w:val="21"/>
                      <w:szCs w:val="21"/>
                      <w:highlight w:val="none"/>
                      <w:vertAlign w:val="subscript"/>
                      <w:lang w:val="en-US" w:eastAsia="zh-CN"/>
                    </w:rPr>
                    <w:t>2</w:t>
                  </w:r>
                </w:p>
              </w:tc>
              <w:tc>
                <w:tcPr>
                  <w:tcW w:w="681" w:type="pct"/>
                  <w:tcBorders>
                    <w:tl2br w:val="nil"/>
                    <w:tr2bl w:val="nil"/>
                  </w:tcBorders>
                  <w:vAlign w:val="center"/>
                </w:tcPr>
                <w:p w14:paraId="536E8940">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200g</w:t>
                  </w:r>
                </w:p>
              </w:tc>
              <w:tc>
                <w:tcPr>
                  <w:tcW w:w="713" w:type="pct"/>
                  <w:tcBorders>
                    <w:tl2br w:val="nil"/>
                    <w:tr2bl w:val="nil"/>
                  </w:tcBorders>
                  <w:vAlign w:val="center"/>
                </w:tcPr>
                <w:p w14:paraId="02E8346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1000g</w:t>
                  </w:r>
                </w:p>
              </w:tc>
              <w:tc>
                <w:tcPr>
                  <w:tcW w:w="634" w:type="pct"/>
                  <w:tcBorders>
                    <w:tl2br w:val="nil"/>
                    <w:tr2bl w:val="nil"/>
                  </w:tcBorders>
                  <w:vAlign w:val="center"/>
                </w:tcPr>
                <w:p w14:paraId="0DEEF0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shd w:val="clear" w:color="auto" w:fill="auto"/>
                  <w:vAlign w:val="center"/>
                </w:tcPr>
                <w:p w14:paraId="624600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16440C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2FC7AE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0F218DA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4"/>
                      <w:sz w:val="21"/>
                      <w:szCs w:val="21"/>
                    </w:rPr>
                    <w:t>酚酞</w:t>
                  </w:r>
                </w:p>
              </w:tc>
              <w:tc>
                <w:tcPr>
                  <w:tcW w:w="854" w:type="pct"/>
                  <w:tcBorders>
                    <w:tl2br w:val="nil"/>
                    <w:tr2bl w:val="nil"/>
                  </w:tcBorders>
                  <w:vAlign w:val="center"/>
                </w:tcPr>
                <w:p w14:paraId="10247C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C</w:t>
                  </w:r>
                  <w:r>
                    <w:rPr>
                      <w:rFonts w:hint="eastAsia" w:ascii="Times New Roman" w:hAnsi="Times New Roman" w:cs="Times New Roman"/>
                      <w:b w:val="0"/>
                      <w:bCs w:val="0"/>
                      <w:color w:val="auto"/>
                      <w:sz w:val="21"/>
                      <w:szCs w:val="21"/>
                      <w:highlight w:val="none"/>
                      <w:vertAlign w:val="subscript"/>
                      <w:lang w:val="en-US" w:eastAsia="zh-CN"/>
                    </w:rPr>
                    <w:t>20</w:t>
                  </w:r>
                  <w:r>
                    <w:rPr>
                      <w:rFonts w:hint="eastAsia" w:ascii="Times New Roman" w:hAnsi="Times New Roman" w:cs="Times New Roman"/>
                      <w:b w:val="0"/>
                      <w:bCs w:val="0"/>
                      <w:color w:val="auto"/>
                      <w:sz w:val="21"/>
                      <w:szCs w:val="21"/>
                      <w:highlight w:val="none"/>
                      <w:vertAlign w:val="baseline"/>
                      <w:lang w:val="en-US" w:eastAsia="zh-CN"/>
                    </w:rPr>
                    <w:t>H</w:t>
                  </w:r>
                  <w:r>
                    <w:rPr>
                      <w:rFonts w:hint="eastAsia" w:ascii="Times New Roman" w:hAnsi="Times New Roman" w:cs="Times New Roman"/>
                      <w:b w:val="0"/>
                      <w:bCs w:val="0"/>
                      <w:color w:val="auto"/>
                      <w:sz w:val="21"/>
                      <w:szCs w:val="21"/>
                      <w:highlight w:val="none"/>
                      <w:vertAlign w:val="subscript"/>
                      <w:lang w:val="en-US" w:eastAsia="zh-CN"/>
                    </w:rPr>
                    <w:t>14</w:t>
                  </w:r>
                  <w:r>
                    <w:rPr>
                      <w:rFonts w:hint="eastAsia" w:ascii="Times New Roman" w:hAnsi="Times New Roman" w:cs="Times New Roman"/>
                      <w:b w:val="0"/>
                      <w:bCs w:val="0"/>
                      <w:color w:val="auto"/>
                      <w:sz w:val="21"/>
                      <w:szCs w:val="21"/>
                      <w:highlight w:val="none"/>
                      <w:vertAlign w:val="baseline"/>
                      <w:lang w:val="en-US" w:eastAsia="zh-CN"/>
                    </w:rPr>
                    <w:t>O</w:t>
                  </w:r>
                  <w:r>
                    <w:rPr>
                      <w:rFonts w:hint="eastAsia" w:ascii="Times New Roman" w:hAnsi="Times New Roman" w:cs="Times New Roman"/>
                      <w:b w:val="0"/>
                      <w:bCs w:val="0"/>
                      <w:color w:val="auto"/>
                      <w:sz w:val="21"/>
                      <w:szCs w:val="21"/>
                      <w:highlight w:val="none"/>
                      <w:vertAlign w:val="subscript"/>
                      <w:lang w:val="en-US" w:eastAsia="zh-CN"/>
                    </w:rPr>
                    <w:t>4</w:t>
                  </w:r>
                </w:p>
              </w:tc>
              <w:tc>
                <w:tcPr>
                  <w:tcW w:w="681" w:type="pct"/>
                  <w:tcBorders>
                    <w:tl2br w:val="nil"/>
                    <w:tr2bl w:val="nil"/>
                  </w:tcBorders>
                  <w:vAlign w:val="center"/>
                </w:tcPr>
                <w:p w14:paraId="5BDD4A4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20g</w:t>
                  </w:r>
                </w:p>
              </w:tc>
              <w:tc>
                <w:tcPr>
                  <w:tcW w:w="713" w:type="pct"/>
                  <w:tcBorders>
                    <w:tl2br w:val="nil"/>
                    <w:tr2bl w:val="nil"/>
                  </w:tcBorders>
                  <w:vAlign w:val="center"/>
                </w:tcPr>
                <w:p w14:paraId="3BB107D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50g</w:t>
                  </w:r>
                </w:p>
              </w:tc>
              <w:tc>
                <w:tcPr>
                  <w:tcW w:w="634" w:type="pct"/>
                  <w:tcBorders>
                    <w:tl2br w:val="nil"/>
                    <w:tr2bl w:val="nil"/>
                  </w:tcBorders>
                  <w:vAlign w:val="center"/>
                </w:tcPr>
                <w:p w14:paraId="05489B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5CD71A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21EB7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83" w:type="pct"/>
                  <w:vMerge w:val="continue"/>
                  <w:tcBorders>
                    <w:tl2br w:val="nil"/>
                    <w:tr2bl w:val="nil"/>
                  </w:tcBorders>
                  <w:vAlign w:val="center"/>
                </w:tcPr>
                <w:p w14:paraId="3C2BB2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03D1D7A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氯化铁</w:t>
                  </w:r>
                </w:p>
              </w:tc>
              <w:tc>
                <w:tcPr>
                  <w:tcW w:w="854" w:type="pct"/>
                  <w:tcBorders>
                    <w:tl2br w:val="nil"/>
                    <w:tr2bl w:val="nil"/>
                  </w:tcBorders>
                  <w:vAlign w:val="center"/>
                </w:tcPr>
                <w:p w14:paraId="1ACB6B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FeCl</w:t>
                  </w:r>
                  <w:r>
                    <w:rPr>
                      <w:rFonts w:hint="eastAsia" w:ascii="Times New Roman" w:hAnsi="Times New Roman" w:cs="Times New Roman"/>
                      <w:b w:val="0"/>
                      <w:bCs w:val="0"/>
                      <w:color w:val="auto"/>
                      <w:sz w:val="21"/>
                      <w:szCs w:val="21"/>
                      <w:highlight w:val="none"/>
                      <w:vertAlign w:val="subscript"/>
                      <w:lang w:val="en-US" w:eastAsia="zh-CN"/>
                    </w:rPr>
                    <w:t>3</w:t>
                  </w:r>
                </w:p>
              </w:tc>
              <w:tc>
                <w:tcPr>
                  <w:tcW w:w="681" w:type="pct"/>
                  <w:tcBorders>
                    <w:tl2br w:val="nil"/>
                    <w:tr2bl w:val="nil"/>
                  </w:tcBorders>
                  <w:vAlign w:val="center"/>
                </w:tcPr>
                <w:p w14:paraId="2C292E6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50mL</w:t>
                  </w:r>
                </w:p>
              </w:tc>
              <w:tc>
                <w:tcPr>
                  <w:tcW w:w="713" w:type="pct"/>
                  <w:tcBorders>
                    <w:tl2br w:val="nil"/>
                    <w:tr2bl w:val="nil"/>
                  </w:tcBorders>
                  <w:vAlign w:val="center"/>
                </w:tcPr>
                <w:p w14:paraId="0010D122">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100mL</w:t>
                  </w:r>
                </w:p>
              </w:tc>
              <w:tc>
                <w:tcPr>
                  <w:tcW w:w="634" w:type="pct"/>
                  <w:tcBorders>
                    <w:tl2br w:val="nil"/>
                    <w:tr2bl w:val="nil"/>
                  </w:tcBorders>
                  <w:vAlign w:val="center"/>
                </w:tcPr>
                <w:p w14:paraId="570498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5774E0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7735E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3AF01B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48AC9AFE">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4"/>
                      <w:sz w:val="21"/>
                      <w:szCs w:val="21"/>
                    </w:rPr>
                    <w:t>粗盐</w:t>
                  </w:r>
                </w:p>
              </w:tc>
              <w:tc>
                <w:tcPr>
                  <w:tcW w:w="854" w:type="pct"/>
                  <w:tcBorders>
                    <w:tl2br w:val="nil"/>
                    <w:tr2bl w:val="nil"/>
                  </w:tcBorders>
                  <w:vAlign w:val="center"/>
                </w:tcPr>
                <w:p w14:paraId="5C5972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681" w:type="pct"/>
                  <w:tcBorders>
                    <w:tl2br w:val="nil"/>
                    <w:tr2bl w:val="nil"/>
                  </w:tcBorders>
                  <w:vAlign w:val="center"/>
                </w:tcPr>
                <w:p w14:paraId="2745264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500g</w:t>
                  </w:r>
                </w:p>
              </w:tc>
              <w:tc>
                <w:tcPr>
                  <w:tcW w:w="713" w:type="pct"/>
                  <w:tcBorders>
                    <w:tl2br w:val="nil"/>
                    <w:tr2bl w:val="nil"/>
                  </w:tcBorders>
                  <w:vAlign w:val="center"/>
                </w:tcPr>
                <w:p w14:paraId="26BF9FFC">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1000g</w:t>
                  </w:r>
                </w:p>
              </w:tc>
              <w:tc>
                <w:tcPr>
                  <w:tcW w:w="634" w:type="pct"/>
                  <w:tcBorders>
                    <w:tl2br w:val="nil"/>
                    <w:tr2bl w:val="nil"/>
                  </w:tcBorders>
                  <w:vAlign w:val="center"/>
                </w:tcPr>
                <w:p w14:paraId="30908C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6BD421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2798E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3D48AA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02F5336E">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4"/>
                      <w:sz w:val="21"/>
                      <w:szCs w:val="21"/>
                    </w:rPr>
                    <w:t>氨水</w:t>
                  </w:r>
                </w:p>
              </w:tc>
              <w:tc>
                <w:tcPr>
                  <w:tcW w:w="854" w:type="pct"/>
                  <w:tcBorders>
                    <w:tl2br w:val="nil"/>
                    <w:tr2bl w:val="nil"/>
                  </w:tcBorders>
                  <w:vAlign w:val="center"/>
                </w:tcPr>
                <w:p w14:paraId="70EAEA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NH</w:t>
                  </w:r>
                  <w:r>
                    <w:rPr>
                      <w:rFonts w:hint="eastAsia" w:ascii="Times New Roman" w:hAnsi="Times New Roman" w:cs="Times New Roman"/>
                      <w:b w:val="0"/>
                      <w:bCs w:val="0"/>
                      <w:color w:val="auto"/>
                      <w:sz w:val="21"/>
                      <w:szCs w:val="21"/>
                      <w:highlight w:val="none"/>
                      <w:vertAlign w:val="subscript"/>
                      <w:lang w:val="en-US" w:eastAsia="zh-CN"/>
                    </w:rPr>
                    <w:t>3</w:t>
                  </w:r>
                  <w:r>
                    <w:rPr>
                      <w:rFonts w:hint="default" w:ascii="Times New Roman" w:hAnsi="Times New Roman" w:cs="Times New Roman"/>
                      <w:b w:val="0"/>
                      <w:bCs w:val="0"/>
                      <w:color w:val="auto"/>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baseline"/>
                      <w:lang w:val="en-US" w:eastAsia="zh-CN"/>
                    </w:rPr>
                    <w:t>H</w:t>
                  </w:r>
                  <w:r>
                    <w:rPr>
                      <w:rFonts w:hint="eastAsia" w:ascii="Times New Roman" w:hAnsi="Times New Roman" w:cs="Times New Roman"/>
                      <w:b w:val="0"/>
                      <w:bCs w:val="0"/>
                      <w:color w:val="auto"/>
                      <w:sz w:val="21"/>
                      <w:szCs w:val="21"/>
                      <w:highlight w:val="none"/>
                      <w:vertAlign w:val="subscript"/>
                      <w:lang w:val="en-US" w:eastAsia="zh-CN"/>
                    </w:rPr>
                    <w:t>2</w:t>
                  </w:r>
                  <w:r>
                    <w:rPr>
                      <w:rFonts w:hint="eastAsia" w:ascii="Times New Roman" w:hAnsi="Times New Roman" w:cs="Times New Roman"/>
                      <w:b w:val="0"/>
                      <w:bCs w:val="0"/>
                      <w:color w:val="auto"/>
                      <w:sz w:val="21"/>
                      <w:szCs w:val="21"/>
                      <w:highlight w:val="none"/>
                      <w:vertAlign w:val="baseline"/>
                      <w:lang w:val="en-US" w:eastAsia="zh-CN"/>
                    </w:rPr>
                    <w:t>O</w:t>
                  </w:r>
                </w:p>
              </w:tc>
              <w:tc>
                <w:tcPr>
                  <w:tcW w:w="681" w:type="pct"/>
                  <w:tcBorders>
                    <w:tl2br w:val="nil"/>
                    <w:tr2bl w:val="nil"/>
                  </w:tcBorders>
                  <w:vAlign w:val="center"/>
                </w:tcPr>
                <w:p w14:paraId="25704B30">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300mL</w:t>
                  </w:r>
                </w:p>
              </w:tc>
              <w:tc>
                <w:tcPr>
                  <w:tcW w:w="713" w:type="pct"/>
                  <w:tcBorders>
                    <w:tl2br w:val="nil"/>
                    <w:tr2bl w:val="nil"/>
                  </w:tcBorders>
                  <w:vAlign w:val="center"/>
                </w:tcPr>
                <w:p w14:paraId="7246A8D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1000mL</w:t>
                  </w:r>
                </w:p>
              </w:tc>
              <w:tc>
                <w:tcPr>
                  <w:tcW w:w="634" w:type="pct"/>
                  <w:tcBorders>
                    <w:tl2br w:val="nil"/>
                    <w:tr2bl w:val="nil"/>
                  </w:tcBorders>
                  <w:vAlign w:val="center"/>
                </w:tcPr>
                <w:p w14:paraId="71C5C1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玻璃拼装</w:t>
                  </w:r>
                </w:p>
              </w:tc>
              <w:tc>
                <w:tcPr>
                  <w:tcW w:w="703" w:type="pct"/>
                  <w:tcBorders>
                    <w:tl2br w:val="nil"/>
                    <w:tr2bl w:val="nil"/>
                  </w:tcBorders>
                  <w:vAlign w:val="center"/>
                </w:tcPr>
                <w:p w14:paraId="4A22BF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1C006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1EF560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4C70835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7"/>
                      <w:sz w:val="21"/>
                      <w:szCs w:val="21"/>
                    </w:rPr>
                    <w:t>过氧化氢</w:t>
                  </w:r>
                </w:p>
              </w:tc>
              <w:tc>
                <w:tcPr>
                  <w:tcW w:w="854" w:type="pct"/>
                  <w:tcBorders>
                    <w:tl2br w:val="nil"/>
                    <w:tr2bl w:val="nil"/>
                  </w:tcBorders>
                  <w:vAlign w:val="center"/>
                </w:tcPr>
                <w:p w14:paraId="574A63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H</w:t>
                  </w:r>
                  <w:r>
                    <w:rPr>
                      <w:rFonts w:hint="eastAsia" w:ascii="Times New Roman" w:hAnsi="Times New Roman" w:cs="Times New Roman"/>
                      <w:b w:val="0"/>
                      <w:bCs w:val="0"/>
                      <w:color w:val="auto"/>
                      <w:sz w:val="21"/>
                      <w:szCs w:val="21"/>
                      <w:highlight w:val="none"/>
                      <w:vertAlign w:val="subscript"/>
                      <w:lang w:val="en-US" w:eastAsia="zh-CN"/>
                    </w:rPr>
                    <w:t>2</w:t>
                  </w:r>
                  <w:r>
                    <w:rPr>
                      <w:rFonts w:hint="eastAsia" w:ascii="Times New Roman" w:hAnsi="Times New Roman" w:cs="Times New Roman"/>
                      <w:b w:val="0"/>
                      <w:bCs w:val="0"/>
                      <w:color w:val="auto"/>
                      <w:sz w:val="21"/>
                      <w:szCs w:val="21"/>
                      <w:highlight w:val="none"/>
                      <w:vertAlign w:val="baseline"/>
                      <w:lang w:val="en-US" w:eastAsia="zh-CN"/>
                    </w:rPr>
                    <w:t>O</w:t>
                  </w:r>
                  <w:r>
                    <w:rPr>
                      <w:rFonts w:hint="eastAsia" w:ascii="Times New Roman" w:hAnsi="Times New Roman" w:cs="Times New Roman"/>
                      <w:b w:val="0"/>
                      <w:bCs w:val="0"/>
                      <w:color w:val="auto"/>
                      <w:sz w:val="21"/>
                      <w:szCs w:val="21"/>
                      <w:highlight w:val="none"/>
                      <w:vertAlign w:val="subscript"/>
                      <w:lang w:val="en-US" w:eastAsia="zh-CN"/>
                    </w:rPr>
                    <w:t>2</w:t>
                  </w:r>
                </w:p>
              </w:tc>
              <w:tc>
                <w:tcPr>
                  <w:tcW w:w="681" w:type="pct"/>
                  <w:tcBorders>
                    <w:tl2br w:val="nil"/>
                    <w:tr2bl w:val="nil"/>
                  </w:tcBorders>
                  <w:vAlign w:val="center"/>
                </w:tcPr>
                <w:p w14:paraId="21C848B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200mL</w:t>
                  </w:r>
                </w:p>
              </w:tc>
              <w:tc>
                <w:tcPr>
                  <w:tcW w:w="713" w:type="pct"/>
                  <w:tcBorders>
                    <w:tl2br w:val="nil"/>
                    <w:tr2bl w:val="nil"/>
                  </w:tcBorders>
                  <w:vAlign w:val="center"/>
                </w:tcPr>
                <w:p w14:paraId="715C437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1500mL</w:t>
                  </w:r>
                </w:p>
              </w:tc>
              <w:tc>
                <w:tcPr>
                  <w:tcW w:w="634" w:type="pct"/>
                  <w:tcBorders>
                    <w:tl2br w:val="nil"/>
                    <w:tr2bl w:val="nil"/>
                  </w:tcBorders>
                  <w:vAlign w:val="center"/>
                </w:tcPr>
                <w:p w14:paraId="53EEDC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3D4296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0AFC4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66D528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0E477100">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二氧化锰</w:t>
                  </w:r>
                </w:p>
              </w:tc>
              <w:tc>
                <w:tcPr>
                  <w:tcW w:w="854" w:type="pct"/>
                  <w:tcBorders>
                    <w:tl2br w:val="nil"/>
                    <w:tr2bl w:val="nil"/>
                  </w:tcBorders>
                  <w:vAlign w:val="center"/>
                </w:tcPr>
                <w:p w14:paraId="24833E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MnO</w:t>
                  </w:r>
                  <w:r>
                    <w:rPr>
                      <w:rFonts w:hint="eastAsia" w:ascii="Times New Roman" w:hAnsi="Times New Roman" w:cs="Times New Roman"/>
                      <w:b w:val="0"/>
                      <w:bCs w:val="0"/>
                      <w:color w:val="auto"/>
                      <w:sz w:val="21"/>
                      <w:szCs w:val="21"/>
                      <w:highlight w:val="none"/>
                      <w:vertAlign w:val="subscript"/>
                      <w:lang w:val="en-US" w:eastAsia="zh-CN"/>
                    </w:rPr>
                    <w:t>2</w:t>
                  </w:r>
                </w:p>
              </w:tc>
              <w:tc>
                <w:tcPr>
                  <w:tcW w:w="681" w:type="pct"/>
                  <w:tcBorders>
                    <w:tl2br w:val="nil"/>
                    <w:tr2bl w:val="nil"/>
                  </w:tcBorders>
                  <w:vAlign w:val="center"/>
                </w:tcPr>
                <w:p w14:paraId="31A3630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50g</w:t>
                  </w:r>
                </w:p>
              </w:tc>
              <w:tc>
                <w:tcPr>
                  <w:tcW w:w="713" w:type="pct"/>
                  <w:tcBorders>
                    <w:tl2br w:val="nil"/>
                    <w:tr2bl w:val="nil"/>
                  </w:tcBorders>
                  <w:vAlign w:val="center"/>
                </w:tcPr>
                <w:p w14:paraId="17A5310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100g</w:t>
                  </w:r>
                </w:p>
              </w:tc>
              <w:tc>
                <w:tcPr>
                  <w:tcW w:w="634" w:type="pct"/>
                  <w:tcBorders>
                    <w:tl2br w:val="nil"/>
                    <w:tr2bl w:val="nil"/>
                  </w:tcBorders>
                  <w:vAlign w:val="center"/>
                </w:tcPr>
                <w:p w14:paraId="61E176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710C94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0F1BE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0857A4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3C61F6F2">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4"/>
                      <w:sz w:val="21"/>
                      <w:szCs w:val="21"/>
                    </w:rPr>
                    <w:t>铝片</w:t>
                  </w:r>
                </w:p>
              </w:tc>
              <w:tc>
                <w:tcPr>
                  <w:tcW w:w="854" w:type="pct"/>
                  <w:tcBorders>
                    <w:tl2br w:val="nil"/>
                    <w:tr2bl w:val="nil"/>
                  </w:tcBorders>
                  <w:vAlign w:val="center"/>
                </w:tcPr>
                <w:p w14:paraId="7CDBAB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Al</w:t>
                  </w:r>
                </w:p>
              </w:tc>
              <w:tc>
                <w:tcPr>
                  <w:tcW w:w="681" w:type="pct"/>
                  <w:tcBorders>
                    <w:tl2br w:val="nil"/>
                    <w:tr2bl w:val="nil"/>
                  </w:tcBorders>
                  <w:vAlign w:val="center"/>
                </w:tcPr>
                <w:p w14:paraId="7FA2706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50g</w:t>
                  </w:r>
                </w:p>
              </w:tc>
              <w:tc>
                <w:tcPr>
                  <w:tcW w:w="713" w:type="pct"/>
                  <w:tcBorders>
                    <w:tl2br w:val="nil"/>
                    <w:tr2bl w:val="nil"/>
                  </w:tcBorders>
                  <w:vAlign w:val="center"/>
                </w:tcPr>
                <w:p w14:paraId="164190E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200g</w:t>
                  </w:r>
                </w:p>
              </w:tc>
              <w:tc>
                <w:tcPr>
                  <w:tcW w:w="634" w:type="pct"/>
                  <w:tcBorders>
                    <w:tl2br w:val="nil"/>
                    <w:tr2bl w:val="nil"/>
                  </w:tcBorders>
                  <w:vAlign w:val="center"/>
                </w:tcPr>
                <w:p w14:paraId="1E91B8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袋装</w:t>
                  </w:r>
                </w:p>
              </w:tc>
              <w:tc>
                <w:tcPr>
                  <w:tcW w:w="703" w:type="pct"/>
                  <w:tcBorders>
                    <w:tl2br w:val="nil"/>
                    <w:tr2bl w:val="nil"/>
                  </w:tcBorders>
                  <w:vAlign w:val="center"/>
                </w:tcPr>
                <w:p w14:paraId="2C634A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15611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61AF3C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609D4C2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铁片</w:t>
                  </w:r>
                </w:p>
              </w:tc>
              <w:tc>
                <w:tcPr>
                  <w:tcW w:w="854" w:type="pct"/>
                  <w:tcBorders>
                    <w:tl2br w:val="nil"/>
                    <w:tr2bl w:val="nil"/>
                  </w:tcBorders>
                  <w:vAlign w:val="center"/>
                </w:tcPr>
                <w:p w14:paraId="285C14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Fe</w:t>
                  </w:r>
                </w:p>
              </w:tc>
              <w:tc>
                <w:tcPr>
                  <w:tcW w:w="681" w:type="pct"/>
                  <w:tcBorders>
                    <w:tl2br w:val="nil"/>
                    <w:tr2bl w:val="nil"/>
                  </w:tcBorders>
                  <w:vAlign w:val="center"/>
                </w:tcPr>
                <w:p w14:paraId="03E11590">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50g</w:t>
                  </w:r>
                </w:p>
              </w:tc>
              <w:tc>
                <w:tcPr>
                  <w:tcW w:w="713" w:type="pct"/>
                  <w:tcBorders>
                    <w:tl2br w:val="nil"/>
                    <w:tr2bl w:val="nil"/>
                  </w:tcBorders>
                  <w:vAlign w:val="center"/>
                </w:tcPr>
                <w:p w14:paraId="0BE43DA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500g</w:t>
                  </w:r>
                </w:p>
              </w:tc>
              <w:tc>
                <w:tcPr>
                  <w:tcW w:w="634" w:type="pct"/>
                  <w:tcBorders>
                    <w:tl2br w:val="nil"/>
                    <w:tr2bl w:val="nil"/>
                  </w:tcBorders>
                  <w:vAlign w:val="center"/>
                </w:tcPr>
                <w:p w14:paraId="6340F6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袋装</w:t>
                  </w:r>
                </w:p>
              </w:tc>
              <w:tc>
                <w:tcPr>
                  <w:tcW w:w="703" w:type="pct"/>
                  <w:tcBorders>
                    <w:tl2br w:val="nil"/>
                    <w:tr2bl w:val="nil"/>
                  </w:tcBorders>
                  <w:vAlign w:val="center"/>
                </w:tcPr>
                <w:p w14:paraId="41F7EF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1E0EC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7FB875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41FFBC25">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硫酸</w:t>
                  </w:r>
                </w:p>
              </w:tc>
              <w:tc>
                <w:tcPr>
                  <w:tcW w:w="854" w:type="pct"/>
                  <w:tcBorders>
                    <w:tl2br w:val="nil"/>
                    <w:tr2bl w:val="nil"/>
                  </w:tcBorders>
                  <w:vAlign w:val="center"/>
                </w:tcPr>
                <w:p w14:paraId="612AEF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98%H</w:t>
                  </w:r>
                  <w:r>
                    <w:rPr>
                      <w:rFonts w:hint="eastAsia" w:ascii="Times New Roman" w:hAnsi="Times New Roman" w:cs="Times New Roman"/>
                      <w:b w:val="0"/>
                      <w:bCs w:val="0"/>
                      <w:color w:val="auto"/>
                      <w:sz w:val="21"/>
                      <w:szCs w:val="21"/>
                      <w:highlight w:val="none"/>
                      <w:vertAlign w:val="subscript"/>
                      <w:lang w:val="en-US" w:eastAsia="zh-CN"/>
                    </w:rPr>
                    <w:t>2</w:t>
                  </w:r>
                  <w:r>
                    <w:rPr>
                      <w:rFonts w:hint="eastAsia" w:ascii="Times New Roman" w:hAnsi="Times New Roman" w:cs="Times New Roman"/>
                      <w:b w:val="0"/>
                      <w:bCs w:val="0"/>
                      <w:color w:val="auto"/>
                      <w:sz w:val="21"/>
                      <w:szCs w:val="21"/>
                      <w:highlight w:val="none"/>
                      <w:vertAlign w:val="baseline"/>
                      <w:lang w:val="en-US" w:eastAsia="zh-CN"/>
                    </w:rPr>
                    <w:t>SO</w:t>
                  </w:r>
                  <w:r>
                    <w:rPr>
                      <w:rFonts w:hint="eastAsia" w:ascii="Times New Roman" w:hAnsi="Times New Roman" w:cs="Times New Roman"/>
                      <w:b w:val="0"/>
                      <w:bCs w:val="0"/>
                      <w:color w:val="auto"/>
                      <w:sz w:val="21"/>
                      <w:szCs w:val="21"/>
                      <w:highlight w:val="none"/>
                      <w:vertAlign w:val="subscript"/>
                      <w:lang w:val="en-US" w:eastAsia="zh-CN"/>
                    </w:rPr>
                    <w:t>4</w:t>
                  </w:r>
                </w:p>
              </w:tc>
              <w:tc>
                <w:tcPr>
                  <w:tcW w:w="681" w:type="pct"/>
                  <w:tcBorders>
                    <w:tl2br w:val="nil"/>
                    <w:tr2bl w:val="nil"/>
                  </w:tcBorders>
                  <w:vAlign w:val="center"/>
                </w:tcPr>
                <w:p w14:paraId="7641836A">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100mL</w:t>
                  </w:r>
                </w:p>
              </w:tc>
              <w:tc>
                <w:tcPr>
                  <w:tcW w:w="713" w:type="pct"/>
                  <w:tcBorders>
                    <w:tl2br w:val="nil"/>
                    <w:tr2bl w:val="nil"/>
                  </w:tcBorders>
                  <w:vAlign w:val="center"/>
                </w:tcPr>
                <w:p w14:paraId="6D33A5F0">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2000mL</w:t>
                  </w:r>
                </w:p>
              </w:tc>
              <w:tc>
                <w:tcPr>
                  <w:tcW w:w="634" w:type="pct"/>
                  <w:tcBorders>
                    <w:tl2br w:val="nil"/>
                    <w:tr2bl w:val="nil"/>
                  </w:tcBorders>
                  <w:vAlign w:val="center"/>
                </w:tcPr>
                <w:p w14:paraId="1FC751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玻璃瓶装</w:t>
                  </w:r>
                </w:p>
              </w:tc>
              <w:tc>
                <w:tcPr>
                  <w:tcW w:w="703" w:type="pct"/>
                  <w:tcBorders>
                    <w:tl2br w:val="nil"/>
                    <w:tr2bl w:val="nil"/>
                  </w:tcBorders>
                  <w:vAlign w:val="center"/>
                </w:tcPr>
                <w:p w14:paraId="39BD52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51A8C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1984D3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12C37BA5">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2"/>
                      <w:sz w:val="21"/>
                      <w:szCs w:val="21"/>
                    </w:rPr>
                    <w:t>红磷</w:t>
                  </w:r>
                </w:p>
              </w:tc>
              <w:tc>
                <w:tcPr>
                  <w:tcW w:w="854" w:type="pct"/>
                  <w:tcBorders>
                    <w:tl2br w:val="nil"/>
                    <w:tr2bl w:val="nil"/>
                  </w:tcBorders>
                  <w:vAlign w:val="center"/>
                </w:tcPr>
                <w:p w14:paraId="42ED6B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P</w:t>
                  </w:r>
                </w:p>
              </w:tc>
              <w:tc>
                <w:tcPr>
                  <w:tcW w:w="681" w:type="pct"/>
                  <w:tcBorders>
                    <w:tl2br w:val="nil"/>
                    <w:tr2bl w:val="nil"/>
                  </w:tcBorders>
                  <w:vAlign w:val="center"/>
                </w:tcPr>
                <w:p w14:paraId="7223F2F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20g</w:t>
                  </w:r>
                </w:p>
              </w:tc>
              <w:tc>
                <w:tcPr>
                  <w:tcW w:w="713" w:type="pct"/>
                  <w:tcBorders>
                    <w:tl2br w:val="nil"/>
                    <w:tr2bl w:val="nil"/>
                  </w:tcBorders>
                  <w:vAlign w:val="center"/>
                </w:tcPr>
                <w:p w14:paraId="2C4CA5C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50g</w:t>
                  </w:r>
                </w:p>
              </w:tc>
              <w:tc>
                <w:tcPr>
                  <w:tcW w:w="634" w:type="pct"/>
                  <w:tcBorders>
                    <w:tl2br w:val="nil"/>
                    <w:tr2bl w:val="nil"/>
                  </w:tcBorders>
                  <w:vAlign w:val="center"/>
                </w:tcPr>
                <w:p w14:paraId="70065F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玻璃瓶装</w:t>
                  </w:r>
                </w:p>
              </w:tc>
              <w:tc>
                <w:tcPr>
                  <w:tcW w:w="703" w:type="pct"/>
                  <w:tcBorders>
                    <w:tl2br w:val="nil"/>
                    <w:tr2bl w:val="nil"/>
                  </w:tcBorders>
                  <w:vAlign w:val="center"/>
                </w:tcPr>
                <w:p w14:paraId="669ABB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09D6D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0C4AD7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23A689D2">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明矾</w:t>
                  </w:r>
                </w:p>
              </w:tc>
              <w:tc>
                <w:tcPr>
                  <w:tcW w:w="854" w:type="pct"/>
                  <w:tcBorders>
                    <w:tl2br w:val="nil"/>
                    <w:tr2bl w:val="nil"/>
                  </w:tcBorders>
                  <w:vAlign w:val="center"/>
                </w:tcPr>
                <w:p w14:paraId="0E4CB7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KAl（SO</w:t>
                  </w:r>
                  <w:r>
                    <w:rPr>
                      <w:rFonts w:hint="eastAsia" w:ascii="Times New Roman" w:hAnsi="Times New Roman" w:cs="Times New Roman"/>
                      <w:b w:val="0"/>
                      <w:bCs w:val="0"/>
                      <w:color w:val="auto"/>
                      <w:sz w:val="21"/>
                      <w:szCs w:val="21"/>
                      <w:highlight w:val="none"/>
                      <w:vertAlign w:val="subscript"/>
                      <w:lang w:val="en-US" w:eastAsia="zh-CN"/>
                    </w:rPr>
                    <w:t>4</w:t>
                  </w:r>
                  <w:r>
                    <w:rPr>
                      <w:rFonts w:hint="eastAsia" w:ascii="Times New Roman" w:hAnsi="Times New Roman" w:cs="Times New Roman"/>
                      <w:b w:val="0"/>
                      <w:bCs w:val="0"/>
                      <w:color w:val="auto"/>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subscript"/>
                      <w:lang w:val="en-US" w:eastAsia="zh-CN"/>
                    </w:rPr>
                    <w:t>2</w:t>
                  </w:r>
                </w:p>
              </w:tc>
              <w:tc>
                <w:tcPr>
                  <w:tcW w:w="681" w:type="pct"/>
                  <w:tcBorders>
                    <w:tl2br w:val="nil"/>
                    <w:tr2bl w:val="nil"/>
                  </w:tcBorders>
                  <w:vAlign w:val="center"/>
                </w:tcPr>
                <w:p w14:paraId="773DD46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50g</w:t>
                  </w:r>
                </w:p>
              </w:tc>
              <w:tc>
                <w:tcPr>
                  <w:tcW w:w="713" w:type="pct"/>
                  <w:tcBorders>
                    <w:tl2br w:val="nil"/>
                    <w:tr2bl w:val="nil"/>
                  </w:tcBorders>
                  <w:vAlign w:val="center"/>
                </w:tcPr>
                <w:p w14:paraId="49078D5E">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200g</w:t>
                  </w:r>
                </w:p>
              </w:tc>
              <w:tc>
                <w:tcPr>
                  <w:tcW w:w="634" w:type="pct"/>
                  <w:tcBorders>
                    <w:tl2br w:val="nil"/>
                    <w:tr2bl w:val="nil"/>
                  </w:tcBorders>
                  <w:vAlign w:val="center"/>
                </w:tcPr>
                <w:p w14:paraId="07A516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5DCDF3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7C027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0F969E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7230FADC">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4"/>
                      <w:sz w:val="21"/>
                      <w:szCs w:val="21"/>
                    </w:rPr>
                    <w:t>蔗糖</w:t>
                  </w:r>
                </w:p>
              </w:tc>
              <w:tc>
                <w:tcPr>
                  <w:tcW w:w="854" w:type="pct"/>
                  <w:tcBorders>
                    <w:tl2br w:val="nil"/>
                    <w:tr2bl w:val="nil"/>
                  </w:tcBorders>
                  <w:vAlign w:val="center"/>
                </w:tcPr>
                <w:p w14:paraId="418A65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C</w:t>
                  </w:r>
                  <w:r>
                    <w:rPr>
                      <w:rFonts w:hint="eastAsia" w:ascii="Times New Roman" w:hAnsi="Times New Roman" w:cs="Times New Roman"/>
                      <w:b w:val="0"/>
                      <w:bCs w:val="0"/>
                      <w:color w:val="auto"/>
                      <w:sz w:val="21"/>
                      <w:szCs w:val="21"/>
                      <w:highlight w:val="none"/>
                      <w:vertAlign w:val="subscript"/>
                      <w:lang w:val="en-US" w:eastAsia="zh-CN"/>
                    </w:rPr>
                    <w:t>12</w:t>
                  </w:r>
                  <w:r>
                    <w:rPr>
                      <w:rFonts w:hint="eastAsia" w:ascii="Times New Roman" w:hAnsi="Times New Roman" w:cs="Times New Roman"/>
                      <w:b w:val="0"/>
                      <w:bCs w:val="0"/>
                      <w:color w:val="auto"/>
                      <w:sz w:val="21"/>
                      <w:szCs w:val="21"/>
                      <w:highlight w:val="none"/>
                      <w:vertAlign w:val="baseline"/>
                      <w:lang w:val="en-US" w:eastAsia="zh-CN"/>
                    </w:rPr>
                    <w:t>H</w:t>
                  </w:r>
                  <w:r>
                    <w:rPr>
                      <w:rFonts w:hint="eastAsia" w:ascii="Times New Roman" w:hAnsi="Times New Roman" w:cs="Times New Roman"/>
                      <w:b w:val="0"/>
                      <w:bCs w:val="0"/>
                      <w:color w:val="auto"/>
                      <w:sz w:val="21"/>
                      <w:szCs w:val="21"/>
                      <w:highlight w:val="none"/>
                      <w:vertAlign w:val="subscript"/>
                      <w:lang w:val="en-US" w:eastAsia="zh-CN"/>
                    </w:rPr>
                    <w:t>22</w:t>
                  </w:r>
                  <w:r>
                    <w:rPr>
                      <w:rFonts w:hint="eastAsia" w:ascii="Times New Roman" w:hAnsi="Times New Roman" w:cs="Times New Roman"/>
                      <w:b w:val="0"/>
                      <w:bCs w:val="0"/>
                      <w:color w:val="auto"/>
                      <w:sz w:val="21"/>
                      <w:szCs w:val="21"/>
                      <w:highlight w:val="none"/>
                      <w:vertAlign w:val="baseline"/>
                      <w:lang w:val="en-US" w:eastAsia="zh-CN"/>
                    </w:rPr>
                    <w:t>O</w:t>
                  </w:r>
                  <w:r>
                    <w:rPr>
                      <w:rFonts w:hint="eastAsia" w:ascii="Times New Roman" w:hAnsi="Times New Roman" w:cs="Times New Roman"/>
                      <w:b w:val="0"/>
                      <w:bCs w:val="0"/>
                      <w:color w:val="auto"/>
                      <w:sz w:val="21"/>
                      <w:szCs w:val="21"/>
                      <w:highlight w:val="none"/>
                      <w:vertAlign w:val="subscript"/>
                      <w:lang w:val="en-US" w:eastAsia="zh-CN"/>
                    </w:rPr>
                    <w:t>11</w:t>
                  </w:r>
                </w:p>
              </w:tc>
              <w:tc>
                <w:tcPr>
                  <w:tcW w:w="681" w:type="pct"/>
                  <w:tcBorders>
                    <w:tl2br w:val="nil"/>
                    <w:tr2bl w:val="nil"/>
                  </w:tcBorders>
                  <w:vAlign w:val="center"/>
                </w:tcPr>
                <w:p w14:paraId="3280890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1000g</w:t>
                  </w:r>
                </w:p>
              </w:tc>
              <w:tc>
                <w:tcPr>
                  <w:tcW w:w="713" w:type="pct"/>
                  <w:tcBorders>
                    <w:tl2br w:val="nil"/>
                    <w:tr2bl w:val="nil"/>
                  </w:tcBorders>
                  <w:vAlign w:val="center"/>
                </w:tcPr>
                <w:p w14:paraId="04319744">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500g</w:t>
                  </w:r>
                </w:p>
              </w:tc>
              <w:tc>
                <w:tcPr>
                  <w:tcW w:w="634" w:type="pct"/>
                  <w:tcBorders>
                    <w:tl2br w:val="nil"/>
                    <w:tr2bl w:val="nil"/>
                  </w:tcBorders>
                  <w:vAlign w:val="center"/>
                </w:tcPr>
                <w:p w14:paraId="03764D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7962C4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62254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0B3AE9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52C2121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硝酸铵</w:t>
                  </w:r>
                </w:p>
              </w:tc>
              <w:tc>
                <w:tcPr>
                  <w:tcW w:w="854" w:type="pct"/>
                  <w:tcBorders>
                    <w:tl2br w:val="nil"/>
                    <w:tr2bl w:val="nil"/>
                  </w:tcBorders>
                  <w:vAlign w:val="center"/>
                </w:tcPr>
                <w:p w14:paraId="39CB1A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NH</w:t>
                  </w:r>
                  <w:r>
                    <w:rPr>
                      <w:rFonts w:hint="eastAsia" w:ascii="Times New Roman" w:hAnsi="Times New Roman" w:cs="Times New Roman"/>
                      <w:b w:val="0"/>
                      <w:bCs w:val="0"/>
                      <w:color w:val="auto"/>
                      <w:sz w:val="21"/>
                      <w:szCs w:val="21"/>
                      <w:highlight w:val="none"/>
                      <w:vertAlign w:val="subscript"/>
                      <w:lang w:val="en-US" w:eastAsia="zh-CN"/>
                    </w:rPr>
                    <w:t>4</w:t>
                  </w:r>
                  <w:r>
                    <w:rPr>
                      <w:rFonts w:hint="eastAsia" w:ascii="Times New Roman" w:hAnsi="Times New Roman" w:cs="Times New Roman"/>
                      <w:b w:val="0"/>
                      <w:bCs w:val="0"/>
                      <w:color w:val="auto"/>
                      <w:sz w:val="21"/>
                      <w:szCs w:val="21"/>
                      <w:highlight w:val="none"/>
                      <w:vertAlign w:val="baseline"/>
                      <w:lang w:val="en-US" w:eastAsia="zh-CN"/>
                    </w:rPr>
                    <w:t>NO</w:t>
                  </w:r>
                  <w:r>
                    <w:rPr>
                      <w:rFonts w:hint="eastAsia" w:ascii="Times New Roman" w:hAnsi="Times New Roman" w:cs="Times New Roman"/>
                      <w:b w:val="0"/>
                      <w:bCs w:val="0"/>
                      <w:color w:val="auto"/>
                      <w:sz w:val="21"/>
                      <w:szCs w:val="21"/>
                      <w:highlight w:val="none"/>
                      <w:vertAlign w:val="subscript"/>
                      <w:lang w:val="en-US" w:eastAsia="zh-CN"/>
                    </w:rPr>
                    <w:t>3</w:t>
                  </w:r>
                </w:p>
              </w:tc>
              <w:tc>
                <w:tcPr>
                  <w:tcW w:w="681" w:type="pct"/>
                  <w:tcBorders>
                    <w:tl2br w:val="nil"/>
                    <w:tr2bl w:val="nil"/>
                  </w:tcBorders>
                  <w:vAlign w:val="center"/>
                </w:tcPr>
                <w:p w14:paraId="078E8E3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100mL</w:t>
                  </w:r>
                </w:p>
              </w:tc>
              <w:tc>
                <w:tcPr>
                  <w:tcW w:w="713" w:type="pct"/>
                  <w:tcBorders>
                    <w:tl2br w:val="nil"/>
                    <w:tr2bl w:val="nil"/>
                  </w:tcBorders>
                  <w:vAlign w:val="center"/>
                </w:tcPr>
                <w:p w14:paraId="7231D75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500mL</w:t>
                  </w:r>
                </w:p>
              </w:tc>
              <w:tc>
                <w:tcPr>
                  <w:tcW w:w="634" w:type="pct"/>
                  <w:tcBorders>
                    <w:tl2br w:val="nil"/>
                    <w:tr2bl w:val="nil"/>
                  </w:tcBorders>
                  <w:vAlign w:val="center"/>
                </w:tcPr>
                <w:p w14:paraId="2D9114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4A24E2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0EFEA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033ED4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6BA2DFD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硝酸钾</w:t>
                  </w:r>
                </w:p>
              </w:tc>
              <w:tc>
                <w:tcPr>
                  <w:tcW w:w="854" w:type="pct"/>
                  <w:tcBorders>
                    <w:tl2br w:val="nil"/>
                    <w:tr2bl w:val="nil"/>
                  </w:tcBorders>
                  <w:vAlign w:val="center"/>
                </w:tcPr>
                <w:p w14:paraId="5E2754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KNO</w:t>
                  </w:r>
                  <w:r>
                    <w:rPr>
                      <w:rFonts w:hint="eastAsia" w:ascii="Times New Roman" w:hAnsi="Times New Roman" w:cs="Times New Roman"/>
                      <w:b w:val="0"/>
                      <w:bCs w:val="0"/>
                      <w:color w:val="auto"/>
                      <w:sz w:val="21"/>
                      <w:szCs w:val="21"/>
                      <w:highlight w:val="none"/>
                      <w:vertAlign w:val="subscript"/>
                      <w:lang w:val="en-US" w:eastAsia="zh-CN"/>
                    </w:rPr>
                    <w:t>3</w:t>
                  </w:r>
                </w:p>
              </w:tc>
              <w:tc>
                <w:tcPr>
                  <w:tcW w:w="681" w:type="pct"/>
                  <w:tcBorders>
                    <w:tl2br w:val="nil"/>
                    <w:tr2bl w:val="nil"/>
                  </w:tcBorders>
                  <w:vAlign w:val="center"/>
                </w:tcPr>
                <w:p w14:paraId="3472585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50g</w:t>
                  </w:r>
                </w:p>
              </w:tc>
              <w:tc>
                <w:tcPr>
                  <w:tcW w:w="713" w:type="pct"/>
                  <w:tcBorders>
                    <w:tl2br w:val="nil"/>
                    <w:tr2bl w:val="nil"/>
                  </w:tcBorders>
                  <w:vAlign w:val="center"/>
                </w:tcPr>
                <w:p w14:paraId="66449D5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500g</w:t>
                  </w:r>
                </w:p>
              </w:tc>
              <w:tc>
                <w:tcPr>
                  <w:tcW w:w="634" w:type="pct"/>
                  <w:tcBorders>
                    <w:tl2br w:val="nil"/>
                    <w:tr2bl w:val="nil"/>
                  </w:tcBorders>
                  <w:vAlign w:val="center"/>
                </w:tcPr>
                <w:p w14:paraId="5788F8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53985A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51268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2E57C6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70FB9EF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硝酸银</w:t>
                  </w:r>
                </w:p>
              </w:tc>
              <w:tc>
                <w:tcPr>
                  <w:tcW w:w="854" w:type="pct"/>
                  <w:tcBorders>
                    <w:tl2br w:val="nil"/>
                    <w:tr2bl w:val="nil"/>
                  </w:tcBorders>
                  <w:vAlign w:val="center"/>
                </w:tcPr>
                <w:p w14:paraId="18BFF2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AgNO</w:t>
                  </w:r>
                  <w:r>
                    <w:rPr>
                      <w:rFonts w:hint="eastAsia" w:ascii="Times New Roman" w:hAnsi="Times New Roman" w:cs="Times New Roman"/>
                      <w:b w:val="0"/>
                      <w:bCs w:val="0"/>
                      <w:color w:val="auto"/>
                      <w:sz w:val="21"/>
                      <w:szCs w:val="21"/>
                      <w:highlight w:val="none"/>
                      <w:vertAlign w:val="subscript"/>
                      <w:lang w:val="en-US" w:eastAsia="zh-CN"/>
                    </w:rPr>
                    <w:t>3</w:t>
                  </w:r>
                </w:p>
              </w:tc>
              <w:tc>
                <w:tcPr>
                  <w:tcW w:w="681" w:type="pct"/>
                  <w:tcBorders>
                    <w:tl2br w:val="nil"/>
                    <w:tr2bl w:val="nil"/>
                  </w:tcBorders>
                  <w:vAlign w:val="center"/>
                </w:tcPr>
                <w:p w14:paraId="07F70AC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100mL</w:t>
                  </w:r>
                </w:p>
              </w:tc>
              <w:tc>
                <w:tcPr>
                  <w:tcW w:w="713" w:type="pct"/>
                  <w:tcBorders>
                    <w:tl2br w:val="nil"/>
                    <w:tr2bl w:val="nil"/>
                  </w:tcBorders>
                  <w:vAlign w:val="center"/>
                </w:tcPr>
                <w:p w14:paraId="17D3E8E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500mL</w:t>
                  </w:r>
                </w:p>
              </w:tc>
              <w:tc>
                <w:tcPr>
                  <w:tcW w:w="634" w:type="pct"/>
                  <w:tcBorders>
                    <w:tl2br w:val="nil"/>
                    <w:tr2bl w:val="nil"/>
                  </w:tcBorders>
                  <w:vAlign w:val="center"/>
                </w:tcPr>
                <w:p w14:paraId="4C077D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3BAE63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68733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4DE0C4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50B110DA">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7"/>
                      <w:sz w:val="21"/>
                      <w:szCs w:val="21"/>
                    </w:rPr>
                    <w:t>氢氧化钡</w:t>
                  </w:r>
                </w:p>
              </w:tc>
              <w:tc>
                <w:tcPr>
                  <w:tcW w:w="854" w:type="pct"/>
                  <w:tcBorders>
                    <w:tl2br w:val="nil"/>
                    <w:tr2bl w:val="nil"/>
                  </w:tcBorders>
                  <w:vAlign w:val="center"/>
                </w:tcPr>
                <w:p w14:paraId="00AD49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Ba（OH）</w:t>
                  </w:r>
                  <w:r>
                    <w:rPr>
                      <w:rFonts w:hint="eastAsia" w:ascii="Times New Roman" w:hAnsi="Times New Roman" w:cs="Times New Roman"/>
                      <w:b w:val="0"/>
                      <w:bCs w:val="0"/>
                      <w:color w:val="auto"/>
                      <w:sz w:val="21"/>
                      <w:szCs w:val="21"/>
                      <w:highlight w:val="none"/>
                      <w:vertAlign w:val="subscript"/>
                      <w:lang w:val="en-US" w:eastAsia="zh-CN"/>
                    </w:rPr>
                    <w:t>2</w:t>
                  </w:r>
                </w:p>
              </w:tc>
              <w:tc>
                <w:tcPr>
                  <w:tcW w:w="681" w:type="pct"/>
                  <w:tcBorders>
                    <w:tl2br w:val="nil"/>
                    <w:tr2bl w:val="nil"/>
                  </w:tcBorders>
                  <w:vAlign w:val="center"/>
                </w:tcPr>
                <w:p w14:paraId="1AFF96D4">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 xml:space="preserve">100mL </w:t>
                  </w:r>
                </w:p>
              </w:tc>
              <w:tc>
                <w:tcPr>
                  <w:tcW w:w="713" w:type="pct"/>
                  <w:tcBorders>
                    <w:tl2br w:val="nil"/>
                    <w:tr2bl w:val="nil"/>
                  </w:tcBorders>
                  <w:vAlign w:val="center"/>
                </w:tcPr>
                <w:p w14:paraId="106A221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500mL</w:t>
                  </w:r>
                </w:p>
              </w:tc>
              <w:tc>
                <w:tcPr>
                  <w:tcW w:w="634" w:type="pct"/>
                  <w:tcBorders>
                    <w:tl2br w:val="nil"/>
                    <w:tr2bl w:val="nil"/>
                  </w:tcBorders>
                  <w:vAlign w:val="center"/>
                </w:tcPr>
                <w:p w14:paraId="2CCBFF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4CDA2A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7285EE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2E0176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69C5A06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碳酸钠</w:t>
                  </w:r>
                </w:p>
              </w:tc>
              <w:tc>
                <w:tcPr>
                  <w:tcW w:w="854" w:type="pct"/>
                  <w:tcBorders>
                    <w:tl2br w:val="nil"/>
                    <w:tr2bl w:val="nil"/>
                  </w:tcBorders>
                  <w:vAlign w:val="center"/>
                </w:tcPr>
                <w:p w14:paraId="61F7DE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Na</w:t>
                  </w:r>
                  <w:r>
                    <w:rPr>
                      <w:rFonts w:hint="eastAsia" w:ascii="Times New Roman" w:hAnsi="Times New Roman" w:cs="Times New Roman"/>
                      <w:b w:val="0"/>
                      <w:bCs w:val="0"/>
                      <w:color w:val="auto"/>
                      <w:sz w:val="21"/>
                      <w:szCs w:val="21"/>
                      <w:highlight w:val="none"/>
                      <w:vertAlign w:val="subscript"/>
                      <w:lang w:val="en-US" w:eastAsia="zh-CN"/>
                    </w:rPr>
                    <w:t>2</w:t>
                  </w:r>
                  <w:r>
                    <w:rPr>
                      <w:rFonts w:hint="eastAsia" w:ascii="Times New Roman" w:hAnsi="Times New Roman" w:cs="Times New Roman"/>
                      <w:b w:val="0"/>
                      <w:bCs w:val="0"/>
                      <w:color w:val="auto"/>
                      <w:sz w:val="21"/>
                      <w:szCs w:val="21"/>
                      <w:highlight w:val="none"/>
                      <w:vertAlign w:val="baseline"/>
                      <w:lang w:val="en-US" w:eastAsia="zh-CN"/>
                    </w:rPr>
                    <w:t>CO</w:t>
                  </w:r>
                  <w:r>
                    <w:rPr>
                      <w:rFonts w:hint="eastAsia" w:ascii="Times New Roman" w:hAnsi="Times New Roman" w:cs="Times New Roman"/>
                      <w:b w:val="0"/>
                      <w:bCs w:val="0"/>
                      <w:color w:val="auto"/>
                      <w:sz w:val="21"/>
                      <w:szCs w:val="21"/>
                      <w:highlight w:val="none"/>
                      <w:vertAlign w:val="subscript"/>
                      <w:lang w:val="en-US" w:eastAsia="zh-CN"/>
                    </w:rPr>
                    <w:t>3</w:t>
                  </w:r>
                </w:p>
              </w:tc>
              <w:tc>
                <w:tcPr>
                  <w:tcW w:w="681" w:type="pct"/>
                  <w:tcBorders>
                    <w:tl2br w:val="nil"/>
                    <w:tr2bl w:val="nil"/>
                  </w:tcBorders>
                  <w:vAlign w:val="center"/>
                </w:tcPr>
                <w:p w14:paraId="70859532">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50g</w:t>
                  </w:r>
                </w:p>
              </w:tc>
              <w:tc>
                <w:tcPr>
                  <w:tcW w:w="713" w:type="pct"/>
                  <w:tcBorders>
                    <w:tl2br w:val="nil"/>
                    <w:tr2bl w:val="nil"/>
                  </w:tcBorders>
                  <w:vAlign w:val="center"/>
                </w:tcPr>
                <w:p w14:paraId="1A3EE912">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1000g</w:t>
                  </w:r>
                </w:p>
              </w:tc>
              <w:tc>
                <w:tcPr>
                  <w:tcW w:w="634" w:type="pct"/>
                  <w:tcBorders>
                    <w:tl2br w:val="nil"/>
                    <w:tr2bl w:val="nil"/>
                  </w:tcBorders>
                  <w:vAlign w:val="center"/>
                </w:tcPr>
                <w:p w14:paraId="59DD92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35B507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6E1D5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52A23E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6FA8B24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7"/>
                      <w:sz w:val="21"/>
                      <w:szCs w:val="21"/>
                    </w:rPr>
                    <w:t>碳酸氢钠</w:t>
                  </w:r>
                </w:p>
              </w:tc>
              <w:tc>
                <w:tcPr>
                  <w:tcW w:w="854" w:type="pct"/>
                  <w:tcBorders>
                    <w:tl2br w:val="nil"/>
                    <w:tr2bl w:val="nil"/>
                  </w:tcBorders>
                  <w:vAlign w:val="center"/>
                </w:tcPr>
                <w:p w14:paraId="40A0D7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NaHCO</w:t>
                  </w:r>
                  <w:r>
                    <w:rPr>
                      <w:rFonts w:hint="eastAsia" w:ascii="Times New Roman" w:hAnsi="Times New Roman" w:cs="Times New Roman"/>
                      <w:b w:val="0"/>
                      <w:bCs w:val="0"/>
                      <w:color w:val="auto"/>
                      <w:sz w:val="21"/>
                      <w:szCs w:val="21"/>
                      <w:highlight w:val="none"/>
                      <w:vertAlign w:val="subscript"/>
                      <w:lang w:val="en-US" w:eastAsia="zh-CN"/>
                    </w:rPr>
                    <w:t>3</w:t>
                  </w:r>
                </w:p>
              </w:tc>
              <w:tc>
                <w:tcPr>
                  <w:tcW w:w="681" w:type="pct"/>
                  <w:tcBorders>
                    <w:tl2br w:val="nil"/>
                    <w:tr2bl w:val="nil"/>
                  </w:tcBorders>
                  <w:vAlign w:val="center"/>
                </w:tcPr>
                <w:p w14:paraId="1AFDB31C">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100g</w:t>
                  </w:r>
                </w:p>
              </w:tc>
              <w:tc>
                <w:tcPr>
                  <w:tcW w:w="713" w:type="pct"/>
                  <w:tcBorders>
                    <w:tl2br w:val="nil"/>
                    <w:tr2bl w:val="nil"/>
                  </w:tcBorders>
                  <w:vAlign w:val="center"/>
                </w:tcPr>
                <w:p w14:paraId="6DE3A42A">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500g</w:t>
                  </w:r>
                </w:p>
              </w:tc>
              <w:tc>
                <w:tcPr>
                  <w:tcW w:w="634" w:type="pct"/>
                  <w:tcBorders>
                    <w:tl2br w:val="nil"/>
                    <w:tr2bl w:val="nil"/>
                  </w:tcBorders>
                  <w:vAlign w:val="center"/>
                </w:tcPr>
                <w:p w14:paraId="03FCD6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116E84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5789D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20EB07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4CC7C1F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氯化钡</w:t>
                  </w:r>
                </w:p>
              </w:tc>
              <w:tc>
                <w:tcPr>
                  <w:tcW w:w="854" w:type="pct"/>
                  <w:tcBorders>
                    <w:tl2br w:val="nil"/>
                    <w:tr2bl w:val="nil"/>
                  </w:tcBorders>
                  <w:vAlign w:val="center"/>
                </w:tcPr>
                <w:p w14:paraId="62B04C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BaCl</w:t>
                  </w:r>
                  <w:r>
                    <w:rPr>
                      <w:rFonts w:hint="eastAsia" w:ascii="Times New Roman" w:hAnsi="Times New Roman" w:cs="Times New Roman"/>
                      <w:b w:val="0"/>
                      <w:bCs w:val="0"/>
                      <w:color w:val="auto"/>
                      <w:sz w:val="21"/>
                      <w:szCs w:val="21"/>
                      <w:highlight w:val="none"/>
                      <w:vertAlign w:val="subscript"/>
                      <w:lang w:val="en-US" w:eastAsia="zh-CN"/>
                    </w:rPr>
                    <w:t>2</w:t>
                  </w:r>
                </w:p>
              </w:tc>
              <w:tc>
                <w:tcPr>
                  <w:tcW w:w="681" w:type="pct"/>
                  <w:tcBorders>
                    <w:tl2br w:val="nil"/>
                    <w:tr2bl w:val="nil"/>
                  </w:tcBorders>
                  <w:vAlign w:val="center"/>
                </w:tcPr>
                <w:p w14:paraId="747AC6A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50mL</w:t>
                  </w:r>
                </w:p>
              </w:tc>
              <w:tc>
                <w:tcPr>
                  <w:tcW w:w="713" w:type="pct"/>
                  <w:tcBorders>
                    <w:tl2br w:val="nil"/>
                    <w:tr2bl w:val="nil"/>
                  </w:tcBorders>
                  <w:vAlign w:val="center"/>
                </w:tcPr>
                <w:p w14:paraId="7BF80D5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100mL</w:t>
                  </w:r>
                </w:p>
              </w:tc>
              <w:tc>
                <w:tcPr>
                  <w:tcW w:w="634" w:type="pct"/>
                  <w:tcBorders>
                    <w:tl2br w:val="nil"/>
                    <w:tr2bl w:val="nil"/>
                  </w:tcBorders>
                  <w:vAlign w:val="center"/>
                </w:tcPr>
                <w:p w14:paraId="2FD91B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0CD42A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3FAF3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restart"/>
                  <w:tcBorders>
                    <w:tl2br w:val="nil"/>
                    <w:tr2bl w:val="nil"/>
                  </w:tcBorders>
                  <w:vAlign w:val="center"/>
                </w:tcPr>
                <w:p w14:paraId="545558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生物实验</w:t>
                  </w:r>
                </w:p>
              </w:tc>
              <w:tc>
                <w:tcPr>
                  <w:tcW w:w="828" w:type="pct"/>
                  <w:tcBorders>
                    <w:tl2br w:val="nil"/>
                    <w:tr2bl w:val="nil"/>
                  </w:tcBorders>
                  <w:vAlign w:val="center"/>
                </w:tcPr>
                <w:p w14:paraId="2406E0DC">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碘液</w:t>
                  </w:r>
                </w:p>
              </w:tc>
              <w:tc>
                <w:tcPr>
                  <w:tcW w:w="854" w:type="pct"/>
                  <w:tcBorders>
                    <w:tl2br w:val="nil"/>
                    <w:tr2bl w:val="nil"/>
                  </w:tcBorders>
                  <w:vAlign w:val="center"/>
                </w:tcPr>
                <w:p w14:paraId="54142C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681" w:type="pct"/>
                  <w:tcBorders>
                    <w:tl2br w:val="nil"/>
                    <w:tr2bl w:val="nil"/>
                  </w:tcBorders>
                  <w:vAlign w:val="center"/>
                </w:tcPr>
                <w:p w14:paraId="4FBE8052">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50mL</w:t>
                  </w:r>
                </w:p>
              </w:tc>
              <w:tc>
                <w:tcPr>
                  <w:tcW w:w="713" w:type="pct"/>
                  <w:tcBorders>
                    <w:tl2br w:val="nil"/>
                    <w:tr2bl w:val="nil"/>
                  </w:tcBorders>
                  <w:vAlign w:val="center"/>
                </w:tcPr>
                <w:p w14:paraId="22CDCED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100mL</w:t>
                  </w:r>
                </w:p>
              </w:tc>
              <w:tc>
                <w:tcPr>
                  <w:tcW w:w="634" w:type="pct"/>
                  <w:tcBorders>
                    <w:tl2br w:val="nil"/>
                    <w:tr2bl w:val="nil"/>
                  </w:tcBorders>
                  <w:vAlign w:val="center"/>
                </w:tcPr>
                <w:p w14:paraId="25D77B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4121BE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3E281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0EE724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4F67E990">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2"/>
                      <w:sz w:val="21"/>
                      <w:szCs w:val="21"/>
                    </w:rPr>
                    <w:t>酒精</w:t>
                  </w:r>
                </w:p>
              </w:tc>
              <w:tc>
                <w:tcPr>
                  <w:tcW w:w="854" w:type="pct"/>
                  <w:tcBorders>
                    <w:tl2br w:val="nil"/>
                    <w:tr2bl w:val="nil"/>
                  </w:tcBorders>
                  <w:vAlign w:val="center"/>
                </w:tcPr>
                <w:p w14:paraId="19D6F8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75%C</w:t>
                  </w:r>
                  <w:r>
                    <w:rPr>
                      <w:rFonts w:hint="eastAsia" w:ascii="Times New Roman" w:hAnsi="Times New Roman" w:cs="Times New Roman"/>
                      <w:b w:val="0"/>
                      <w:bCs w:val="0"/>
                      <w:color w:val="auto"/>
                      <w:sz w:val="21"/>
                      <w:szCs w:val="21"/>
                      <w:highlight w:val="none"/>
                      <w:vertAlign w:val="subscript"/>
                      <w:lang w:val="en-US" w:eastAsia="zh-CN"/>
                    </w:rPr>
                    <w:t>2</w:t>
                  </w:r>
                  <w:r>
                    <w:rPr>
                      <w:rFonts w:hint="eastAsia" w:ascii="Times New Roman" w:hAnsi="Times New Roman" w:cs="Times New Roman"/>
                      <w:b w:val="0"/>
                      <w:bCs w:val="0"/>
                      <w:color w:val="auto"/>
                      <w:sz w:val="21"/>
                      <w:szCs w:val="21"/>
                      <w:highlight w:val="none"/>
                      <w:vertAlign w:val="baseline"/>
                      <w:lang w:val="en-US" w:eastAsia="zh-CN"/>
                    </w:rPr>
                    <w:t>H</w:t>
                  </w:r>
                  <w:r>
                    <w:rPr>
                      <w:rFonts w:hint="eastAsia" w:ascii="Times New Roman" w:hAnsi="Times New Roman" w:cs="Times New Roman"/>
                      <w:b w:val="0"/>
                      <w:bCs w:val="0"/>
                      <w:color w:val="auto"/>
                      <w:sz w:val="21"/>
                      <w:szCs w:val="21"/>
                      <w:highlight w:val="none"/>
                      <w:vertAlign w:val="subscript"/>
                      <w:lang w:val="en-US" w:eastAsia="zh-CN"/>
                    </w:rPr>
                    <w:t>5</w:t>
                  </w:r>
                  <w:r>
                    <w:rPr>
                      <w:rFonts w:hint="eastAsia" w:ascii="Times New Roman" w:hAnsi="Times New Roman" w:cs="Times New Roman"/>
                      <w:b w:val="0"/>
                      <w:bCs w:val="0"/>
                      <w:color w:val="auto"/>
                      <w:sz w:val="21"/>
                      <w:szCs w:val="21"/>
                      <w:highlight w:val="none"/>
                      <w:vertAlign w:val="baseline"/>
                      <w:lang w:val="en-US" w:eastAsia="zh-CN"/>
                    </w:rPr>
                    <w:t>OH</w:t>
                  </w:r>
                </w:p>
              </w:tc>
              <w:tc>
                <w:tcPr>
                  <w:tcW w:w="681" w:type="pct"/>
                  <w:tcBorders>
                    <w:tl2br w:val="nil"/>
                    <w:tr2bl w:val="nil"/>
                  </w:tcBorders>
                  <w:vAlign w:val="center"/>
                </w:tcPr>
                <w:p w14:paraId="5B608B35">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500mL</w:t>
                  </w:r>
                </w:p>
              </w:tc>
              <w:tc>
                <w:tcPr>
                  <w:tcW w:w="713" w:type="pct"/>
                  <w:tcBorders>
                    <w:tl2br w:val="nil"/>
                    <w:tr2bl w:val="nil"/>
                  </w:tcBorders>
                  <w:vAlign w:val="center"/>
                </w:tcPr>
                <w:p w14:paraId="44A129C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2500mL</w:t>
                  </w:r>
                </w:p>
              </w:tc>
              <w:tc>
                <w:tcPr>
                  <w:tcW w:w="634" w:type="pct"/>
                  <w:tcBorders>
                    <w:tl2br w:val="nil"/>
                    <w:tr2bl w:val="nil"/>
                  </w:tcBorders>
                  <w:vAlign w:val="center"/>
                </w:tcPr>
                <w:p w14:paraId="093D23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5DFA8E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25B42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4D150F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828" w:type="pct"/>
                  <w:tcBorders>
                    <w:tl2br w:val="nil"/>
                    <w:tr2bl w:val="nil"/>
                  </w:tcBorders>
                  <w:vAlign w:val="center"/>
                </w:tcPr>
                <w:p w14:paraId="39A5F300">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生理盐水</w:t>
                  </w:r>
                </w:p>
              </w:tc>
              <w:tc>
                <w:tcPr>
                  <w:tcW w:w="854" w:type="pct"/>
                  <w:tcBorders>
                    <w:tl2br w:val="nil"/>
                    <w:tr2bl w:val="nil"/>
                  </w:tcBorders>
                  <w:vAlign w:val="center"/>
                </w:tcPr>
                <w:p w14:paraId="0BBFDF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氯化钠溶液</w:t>
                  </w:r>
                </w:p>
              </w:tc>
              <w:tc>
                <w:tcPr>
                  <w:tcW w:w="681" w:type="pct"/>
                  <w:tcBorders>
                    <w:tl2br w:val="nil"/>
                    <w:tr2bl w:val="nil"/>
                  </w:tcBorders>
                  <w:vAlign w:val="center"/>
                </w:tcPr>
                <w:p w14:paraId="5903225A">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2000mL</w:t>
                  </w:r>
                </w:p>
              </w:tc>
              <w:tc>
                <w:tcPr>
                  <w:tcW w:w="713" w:type="pct"/>
                  <w:tcBorders>
                    <w:tl2br w:val="nil"/>
                    <w:tr2bl w:val="nil"/>
                  </w:tcBorders>
                  <w:vAlign w:val="center"/>
                </w:tcPr>
                <w:p w14:paraId="1A52BAFC">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4000mL</w:t>
                  </w:r>
                </w:p>
              </w:tc>
              <w:tc>
                <w:tcPr>
                  <w:tcW w:w="634" w:type="pct"/>
                  <w:tcBorders>
                    <w:tl2br w:val="nil"/>
                    <w:tr2bl w:val="nil"/>
                  </w:tcBorders>
                  <w:vAlign w:val="center"/>
                </w:tcPr>
                <w:p w14:paraId="0E0A63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4705DA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1FD28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5FAE14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55623BC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7"/>
                      <w:sz w:val="21"/>
                      <w:szCs w:val="21"/>
                    </w:rPr>
                    <w:t>蔗糖溶液</w:t>
                  </w:r>
                </w:p>
              </w:tc>
              <w:tc>
                <w:tcPr>
                  <w:tcW w:w="854" w:type="pct"/>
                  <w:tcBorders>
                    <w:tl2br w:val="nil"/>
                    <w:tr2bl w:val="nil"/>
                  </w:tcBorders>
                  <w:vAlign w:val="center"/>
                </w:tcPr>
                <w:p w14:paraId="6376DA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0.3g/ml</w:t>
                  </w:r>
                </w:p>
              </w:tc>
              <w:tc>
                <w:tcPr>
                  <w:tcW w:w="681" w:type="pct"/>
                  <w:tcBorders>
                    <w:tl2br w:val="nil"/>
                    <w:tr2bl w:val="nil"/>
                  </w:tcBorders>
                  <w:vAlign w:val="center"/>
                </w:tcPr>
                <w:p w14:paraId="0996EEA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1000mL</w:t>
                  </w:r>
                </w:p>
              </w:tc>
              <w:tc>
                <w:tcPr>
                  <w:tcW w:w="713" w:type="pct"/>
                  <w:tcBorders>
                    <w:tl2br w:val="nil"/>
                    <w:tr2bl w:val="nil"/>
                  </w:tcBorders>
                  <w:vAlign w:val="center"/>
                </w:tcPr>
                <w:p w14:paraId="3D0D2D5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2000mL</w:t>
                  </w:r>
                </w:p>
              </w:tc>
              <w:tc>
                <w:tcPr>
                  <w:tcW w:w="634" w:type="pct"/>
                  <w:tcBorders>
                    <w:tl2br w:val="nil"/>
                    <w:tr2bl w:val="nil"/>
                  </w:tcBorders>
                  <w:vAlign w:val="center"/>
                </w:tcPr>
                <w:p w14:paraId="0210CC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3536BC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6D4E0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11C58A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02D4A46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7"/>
                      <w:sz w:val="21"/>
                      <w:szCs w:val="21"/>
                    </w:rPr>
                    <w:t>碳酸氢钠</w:t>
                  </w:r>
                </w:p>
              </w:tc>
              <w:tc>
                <w:tcPr>
                  <w:tcW w:w="854" w:type="pct"/>
                  <w:tcBorders>
                    <w:tl2br w:val="nil"/>
                    <w:tr2bl w:val="nil"/>
                  </w:tcBorders>
                  <w:vAlign w:val="center"/>
                </w:tcPr>
                <w:p w14:paraId="3952F8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NaHCO</w:t>
                  </w:r>
                  <w:r>
                    <w:rPr>
                      <w:rFonts w:hint="eastAsia" w:ascii="Times New Roman" w:hAnsi="Times New Roman" w:cs="Times New Roman"/>
                      <w:b w:val="0"/>
                      <w:bCs w:val="0"/>
                      <w:color w:val="auto"/>
                      <w:sz w:val="21"/>
                      <w:szCs w:val="21"/>
                      <w:highlight w:val="none"/>
                      <w:vertAlign w:val="subscript"/>
                      <w:lang w:val="en-US" w:eastAsia="zh-CN"/>
                    </w:rPr>
                    <w:t>3</w:t>
                  </w:r>
                </w:p>
              </w:tc>
              <w:tc>
                <w:tcPr>
                  <w:tcW w:w="681" w:type="pct"/>
                  <w:tcBorders>
                    <w:tl2br w:val="nil"/>
                    <w:tr2bl w:val="nil"/>
                  </w:tcBorders>
                  <w:vAlign w:val="center"/>
                </w:tcPr>
                <w:p w14:paraId="68437AB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500mL</w:t>
                  </w:r>
                </w:p>
              </w:tc>
              <w:tc>
                <w:tcPr>
                  <w:tcW w:w="713" w:type="pct"/>
                  <w:tcBorders>
                    <w:tl2br w:val="nil"/>
                    <w:tr2bl w:val="nil"/>
                  </w:tcBorders>
                  <w:vAlign w:val="center"/>
                </w:tcPr>
                <w:p w14:paraId="2E2A158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1000mL</w:t>
                  </w:r>
                </w:p>
              </w:tc>
              <w:tc>
                <w:tcPr>
                  <w:tcW w:w="634" w:type="pct"/>
                  <w:tcBorders>
                    <w:tl2br w:val="nil"/>
                    <w:tr2bl w:val="nil"/>
                  </w:tcBorders>
                  <w:vAlign w:val="center"/>
                </w:tcPr>
                <w:p w14:paraId="7FBD2D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shd w:val="clear" w:color="auto" w:fill="auto"/>
                  <w:vAlign w:val="center"/>
                </w:tcPr>
                <w:p w14:paraId="10D789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269BE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continue"/>
                  <w:tcBorders>
                    <w:tl2br w:val="nil"/>
                    <w:tr2bl w:val="nil"/>
                  </w:tcBorders>
                  <w:vAlign w:val="center"/>
                </w:tcPr>
                <w:p w14:paraId="62FDB6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202461D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石灰水</w:t>
                  </w:r>
                </w:p>
              </w:tc>
              <w:tc>
                <w:tcPr>
                  <w:tcW w:w="854" w:type="pct"/>
                  <w:tcBorders>
                    <w:tl2br w:val="nil"/>
                    <w:tr2bl w:val="nil"/>
                  </w:tcBorders>
                  <w:vAlign w:val="center"/>
                </w:tcPr>
                <w:p w14:paraId="6A0F88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氢氧化钙溶液</w:t>
                  </w:r>
                </w:p>
              </w:tc>
              <w:tc>
                <w:tcPr>
                  <w:tcW w:w="681" w:type="pct"/>
                  <w:tcBorders>
                    <w:tl2br w:val="nil"/>
                    <w:tr2bl w:val="nil"/>
                  </w:tcBorders>
                  <w:vAlign w:val="center"/>
                </w:tcPr>
                <w:p w14:paraId="76414EE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500mL</w:t>
                  </w:r>
                </w:p>
              </w:tc>
              <w:tc>
                <w:tcPr>
                  <w:tcW w:w="713" w:type="pct"/>
                  <w:tcBorders>
                    <w:tl2br w:val="nil"/>
                    <w:tr2bl w:val="nil"/>
                  </w:tcBorders>
                  <w:vAlign w:val="center"/>
                </w:tcPr>
                <w:p w14:paraId="7B20ECC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1000mL</w:t>
                  </w:r>
                </w:p>
              </w:tc>
              <w:tc>
                <w:tcPr>
                  <w:tcW w:w="634" w:type="pct"/>
                  <w:tcBorders>
                    <w:tl2br w:val="nil"/>
                    <w:tr2bl w:val="nil"/>
                  </w:tcBorders>
                  <w:vAlign w:val="center"/>
                </w:tcPr>
                <w:p w14:paraId="45EB6D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401141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4AB8E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05118E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1E5B5D1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高锰酸钾</w:t>
                  </w:r>
                </w:p>
              </w:tc>
              <w:tc>
                <w:tcPr>
                  <w:tcW w:w="854" w:type="pct"/>
                  <w:tcBorders>
                    <w:tl2br w:val="nil"/>
                    <w:tr2bl w:val="nil"/>
                  </w:tcBorders>
                  <w:vAlign w:val="center"/>
                </w:tcPr>
                <w:p w14:paraId="336A41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KMnO</w:t>
                  </w:r>
                  <w:r>
                    <w:rPr>
                      <w:rFonts w:hint="eastAsia" w:ascii="Times New Roman" w:hAnsi="Times New Roman" w:cs="Times New Roman"/>
                      <w:b w:val="0"/>
                      <w:bCs w:val="0"/>
                      <w:color w:val="auto"/>
                      <w:sz w:val="21"/>
                      <w:szCs w:val="21"/>
                      <w:highlight w:val="none"/>
                      <w:vertAlign w:val="subscript"/>
                      <w:lang w:val="en-US" w:eastAsia="zh-CN"/>
                    </w:rPr>
                    <w:t>4</w:t>
                  </w:r>
                </w:p>
              </w:tc>
              <w:tc>
                <w:tcPr>
                  <w:tcW w:w="681" w:type="pct"/>
                  <w:tcBorders>
                    <w:tl2br w:val="nil"/>
                    <w:tr2bl w:val="nil"/>
                  </w:tcBorders>
                  <w:vAlign w:val="center"/>
                </w:tcPr>
                <w:p w14:paraId="5D98C99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200g</w:t>
                  </w:r>
                </w:p>
              </w:tc>
              <w:tc>
                <w:tcPr>
                  <w:tcW w:w="713" w:type="pct"/>
                  <w:tcBorders>
                    <w:tl2br w:val="nil"/>
                    <w:tr2bl w:val="nil"/>
                  </w:tcBorders>
                  <w:vAlign w:val="center"/>
                </w:tcPr>
                <w:p w14:paraId="3596D4E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1000g</w:t>
                  </w:r>
                </w:p>
              </w:tc>
              <w:tc>
                <w:tcPr>
                  <w:tcW w:w="634" w:type="pct"/>
                  <w:tcBorders>
                    <w:tl2br w:val="nil"/>
                    <w:tr2bl w:val="nil"/>
                  </w:tcBorders>
                  <w:vAlign w:val="center"/>
                </w:tcPr>
                <w:p w14:paraId="363DC9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shd w:val="clear" w:color="auto" w:fill="auto"/>
                  <w:vAlign w:val="center"/>
                </w:tcPr>
                <w:p w14:paraId="1F61BE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11BD2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restart"/>
                  <w:tcBorders>
                    <w:tl2br w:val="nil"/>
                    <w:tr2bl w:val="nil"/>
                  </w:tcBorders>
                  <w:vAlign w:val="center"/>
                </w:tcPr>
                <w:p w14:paraId="0C7A9A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能源</w:t>
                  </w:r>
                </w:p>
              </w:tc>
              <w:tc>
                <w:tcPr>
                  <w:tcW w:w="828" w:type="pct"/>
                  <w:tcBorders>
                    <w:tl2br w:val="nil"/>
                    <w:tr2bl w:val="nil"/>
                  </w:tcBorders>
                  <w:vAlign w:val="center"/>
                </w:tcPr>
                <w:p w14:paraId="5132782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水</w:t>
                  </w:r>
                </w:p>
              </w:tc>
              <w:tc>
                <w:tcPr>
                  <w:tcW w:w="854" w:type="pct"/>
                  <w:tcBorders>
                    <w:tl2br w:val="nil"/>
                    <w:tr2bl w:val="nil"/>
                  </w:tcBorders>
                  <w:vAlign w:val="center"/>
                </w:tcPr>
                <w:p w14:paraId="5AD10D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681" w:type="pct"/>
                  <w:tcBorders>
                    <w:tl2br w:val="nil"/>
                    <w:tr2bl w:val="nil"/>
                  </w:tcBorders>
                  <w:vAlign w:val="center"/>
                </w:tcPr>
                <w:p w14:paraId="185F92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21954.5804m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ascii="Times New Roman" w:hAnsi="Times New Roman" w:cs="Times New Roman"/>
                      <w:b w:val="0"/>
                      <w:bCs w:val="0"/>
                      <w:color w:val="auto"/>
                      <w:sz w:val="21"/>
                      <w:szCs w:val="21"/>
                      <w:highlight w:val="none"/>
                      <w:vertAlign w:val="baseline"/>
                      <w:lang w:val="en-US" w:eastAsia="zh-CN"/>
                    </w:rPr>
                    <w:t>/a</w:t>
                  </w:r>
                </w:p>
              </w:tc>
              <w:tc>
                <w:tcPr>
                  <w:tcW w:w="713" w:type="pct"/>
                  <w:tcBorders>
                    <w:tl2br w:val="nil"/>
                    <w:tr2bl w:val="nil"/>
                  </w:tcBorders>
                  <w:vAlign w:val="center"/>
                </w:tcPr>
                <w:p w14:paraId="575104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634" w:type="pct"/>
                  <w:tcBorders>
                    <w:tl2br w:val="nil"/>
                    <w:tr2bl w:val="nil"/>
                  </w:tcBorders>
                  <w:vAlign w:val="center"/>
                </w:tcPr>
                <w:p w14:paraId="597AE5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703" w:type="pct"/>
                  <w:tcBorders>
                    <w:tl2br w:val="nil"/>
                    <w:tr2bl w:val="nil"/>
                  </w:tcBorders>
                  <w:shd w:val="clear" w:color="auto" w:fill="auto"/>
                  <w:vAlign w:val="center"/>
                </w:tcPr>
                <w:p w14:paraId="5337EB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市政</w:t>
                  </w:r>
                </w:p>
              </w:tc>
            </w:tr>
            <w:tr w14:paraId="579DD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568104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828" w:type="pct"/>
                  <w:tcBorders>
                    <w:tl2br w:val="nil"/>
                    <w:tr2bl w:val="nil"/>
                  </w:tcBorders>
                  <w:vAlign w:val="center"/>
                </w:tcPr>
                <w:p w14:paraId="2390FF6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电</w:t>
                  </w:r>
                </w:p>
              </w:tc>
              <w:tc>
                <w:tcPr>
                  <w:tcW w:w="854" w:type="pct"/>
                  <w:tcBorders>
                    <w:tl2br w:val="nil"/>
                    <w:tr2bl w:val="nil"/>
                  </w:tcBorders>
                  <w:vAlign w:val="center"/>
                </w:tcPr>
                <w:p w14:paraId="694122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681" w:type="pct"/>
                  <w:tcBorders>
                    <w:tl2br w:val="nil"/>
                    <w:tr2bl w:val="nil"/>
                  </w:tcBorders>
                  <w:vAlign w:val="center"/>
                </w:tcPr>
                <w:p w14:paraId="1D3076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2000kW</w:t>
                  </w:r>
                  <w:r>
                    <w:rPr>
                      <w:rFonts w:hint="default" w:ascii="Times New Roman" w:hAnsi="Times New Roman" w:cs="Times New Roman"/>
                      <w:b w:val="0"/>
                      <w:bCs w:val="0"/>
                      <w:color w:val="auto"/>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baseline"/>
                      <w:lang w:val="en-US" w:eastAsia="zh-CN"/>
                    </w:rPr>
                    <w:t>h/a</w:t>
                  </w:r>
                </w:p>
              </w:tc>
              <w:tc>
                <w:tcPr>
                  <w:tcW w:w="713" w:type="pct"/>
                  <w:tcBorders>
                    <w:tl2br w:val="nil"/>
                    <w:tr2bl w:val="nil"/>
                  </w:tcBorders>
                  <w:vAlign w:val="center"/>
                </w:tcPr>
                <w:p w14:paraId="62134A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634" w:type="pct"/>
                  <w:tcBorders>
                    <w:tl2br w:val="nil"/>
                    <w:tr2bl w:val="nil"/>
                  </w:tcBorders>
                  <w:vAlign w:val="center"/>
                </w:tcPr>
                <w:p w14:paraId="6A9104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703" w:type="pct"/>
                  <w:tcBorders>
                    <w:tl2br w:val="nil"/>
                    <w:tr2bl w:val="nil"/>
                  </w:tcBorders>
                  <w:shd w:val="clear" w:color="auto" w:fill="auto"/>
                  <w:vAlign w:val="center"/>
                </w:tcPr>
                <w:p w14:paraId="1E9A60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市政</w:t>
                  </w:r>
                </w:p>
              </w:tc>
            </w:tr>
          </w:tbl>
          <w:p w14:paraId="6FA5411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化学品理化性质：</w:t>
            </w:r>
          </w:p>
          <w:p w14:paraId="0B56967A">
            <w:pPr>
              <w:pStyle w:val="114"/>
              <w:bidi w:val="0"/>
              <w:rPr>
                <w:rFonts w:hint="default"/>
                <w:color w:val="auto"/>
                <w:lang w:val="en-US" w:eastAsia="zh-CN"/>
              </w:rPr>
            </w:pPr>
            <w:r>
              <w:rPr>
                <w:rFonts w:hint="eastAsia"/>
                <w:color w:val="auto"/>
                <w:lang w:val="en-US" w:eastAsia="zh-CN"/>
              </w:rPr>
              <w:t>项目化学品理化性质一览表</w:t>
            </w:r>
          </w:p>
          <w:tbl>
            <w:tblPr>
              <w:tblStyle w:val="12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80"/>
              <w:gridCol w:w="1302"/>
              <w:gridCol w:w="1281"/>
              <w:gridCol w:w="5918"/>
            </w:tblGrid>
            <w:tr w14:paraId="280D11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shd w:val="clear" w:color="auto" w:fill="auto"/>
                  <w:vAlign w:val="center"/>
                </w:tcPr>
                <w:p w14:paraId="5DB5072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b/>
                      <w:bCs/>
                      <w:color w:val="auto"/>
                      <w:sz w:val="21"/>
                      <w:szCs w:val="21"/>
                      <w:lang w:val="en-US" w:eastAsia="zh-CN"/>
                    </w:rPr>
                  </w:pPr>
                  <w:r>
                    <w:rPr>
                      <w:rFonts w:hint="eastAsia" w:eastAsia="宋体"/>
                      <w:b/>
                      <w:bCs/>
                      <w:color w:val="auto"/>
                      <w:sz w:val="21"/>
                      <w:szCs w:val="21"/>
                      <w:lang w:val="en-US" w:eastAsia="zh-CN"/>
                    </w:rPr>
                    <w:t>序号</w:t>
                  </w:r>
                </w:p>
              </w:tc>
              <w:tc>
                <w:tcPr>
                  <w:tcW w:w="701" w:type="pct"/>
                  <w:tcBorders>
                    <w:tl2br w:val="nil"/>
                    <w:tr2bl w:val="nil"/>
                  </w:tcBorders>
                  <w:shd w:val="clear" w:color="auto" w:fill="auto"/>
                  <w:vAlign w:val="center"/>
                </w:tcPr>
                <w:p w14:paraId="09AFC31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b/>
                      <w:bCs/>
                      <w:color w:val="auto"/>
                      <w:sz w:val="21"/>
                      <w:szCs w:val="21"/>
                    </w:rPr>
                  </w:pPr>
                  <w:r>
                    <w:rPr>
                      <w:rFonts w:ascii="宋体" w:hAnsi="宋体" w:eastAsia="宋体" w:cs="宋体"/>
                      <w:b/>
                      <w:bCs/>
                      <w:color w:val="auto"/>
                      <w:spacing w:val="6"/>
                      <w:sz w:val="21"/>
                      <w:szCs w:val="21"/>
                    </w:rPr>
                    <w:t>试剂名称</w:t>
                  </w:r>
                </w:p>
              </w:tc>
              <w:tc>
                <w:tcPr>
                  <w:tcW w:w="690" w:type="pct"/>
                  <w:tcBorders>
                    <w:tl2br w:val="nil"/>
                    <w:tr2bl w:val="nil"/>
                  </w:tcBorders>
                  <w:shd w:val="clear" w:color="auto" w:fill="auto"/>
                  <w:vAlign w:val="center"/>
                </w:tcPr>
                <w:p w14:paraId="20ECA02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bCs/>
                      <w:color w:val="auto"/>
                      <w:sz w:val="21"/>
                      <w:szCs w:val="21"/>
                    </w:rPr>
                  </w:pPr>
                  <w:r>
                    <w:rPr>
                      <w:rFonts w:ascii="Times New Roman" w:hAnsi="Times New Roman" w:eastAsia="Times New Roman" w:cs="Times New Roman"/>
                      <w:b/>
                      <w:bCs/>
                      <w:color w:val="auto"/>
                      <w:spacing w:val="3"/>
                      <w:sz w:val="21"/>
                      <w:szCs w:val="21"/>
                    </w:rPr>
                    <w:t>CAS</w:t>
                  </w:r>
                </w:p>
              </w:tc>
              <w:tc>
                <w:tcPr>
                  <w:tcW w:w="3187" w:type="pct"/>
                  <w:tcBorders>
                    <w:tl2br w:val="nil"/>
                    <w:tr2bl w:val="nil"/>
                  </w:tcBorders>
                  <w:shd w:val="clear" w:color="auto" w:fill="auto"/>
                  <w:vAlign w:val="center"/>
                </w:tcPr>
                <w:p w14:paraId="2B0574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b/>
                      <w:bCs/>
                      <w:color w:val="auto"/>
                      <w:sz w:val="21"/>
                      <w:szCs w:val="21"/>
                    </w:rPr>
                  </w:pPr>
                  <w:r>
                    <w:rPr>
                      <w:rFonts w:ascii="宋体" w:hAnsi="宋体" w:eastAsia="宋体" w:cs="宋体"/>
                      <w:b/>
                      <w:bCs/>
                      <w:color w:val="auto"/>
                      <w:spacing w:val="5"/>
                      <w:sz w:val="21"/>
                      <w:szCs w:val="21"/>
                    </w:rPr>
                    <w:t>理化性质</w:t>
                  </w:r>
                </w:p>
              </w:tc>
            </w:tr>
            <w:tr w14:paraId="063CCF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0610A64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701" w:type="pct"/>
                  <w:tcBorders>
                    <w:tl2br w:val="nil"/>
                    <w:tr2bl w:val="nil"/>
                  </w:tcBorders>
                  <w:vAlign w:val="center"/>
                </w:tcPr>
                <w:p w14:paraId="2CDCB6E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5"/>
                      <w:sz w:val="21"/>
                      <w:szCs w:val="21"/>
                    </w:rPr>
                    <w:t>高锰酸钾</w:t>
                  </w:r>
                </w:p>
              </w:tc>
              <w:tc>
                <w:tcPr>
                  <w:tcW w:w="690" w:type="pct"/>
                  <w:tcBorders>
                    <w:tl2br w:val="nil"/>
                    <w:tr2bl w:val="nil"/>
                  </w:tcBorders>
                  <w:vAlign w:val="center"/>
                </w:tcPr>
                <w:p w14:paraId="34B0F52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7722-64-7</w:t>
                  </w:r>
                </w:p>
              </w:tc>
              <w:tc>
                <w:tcPr>
                  <w:tcW w:w="3187" w:type="pct"/>
                  <w:tcBorders>
                    <w:tl2br w:val="nil"/>
                    <w:tr2bl w:val="nil"/>
                  </w:tcBorders>
                  <w:vAlign w:val="center"/>
                </w:tcPr>
                <w:p w14:paraId="1BA492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1"/>
                      <w:sz w:val="21"/>
                      <w:szCs w:val="21"/>
                    </w:rPr>
                    <w:t>常见分子式是</w:t>
                  </w:r>
                  <w:r>
                    <w:rPr>
                      <w:rFonts w:ascii="Times New Roman" w:hAnsi="Times New Roman" w:eastAsia="Times New Roman" w:cs="Times New Roman"/>
                      <w:color w:val="auto"/>
                      <w:sz w:val="21"/>
                      <w:szCs w:val="21"/>
                    </w:rPr>
                    <w:t>KMnO</w:t>
                  </w:r>
                  <w:r>
                    <w:rPr>
                      <w:rFonts w:ascii="Times New Roman" w:hAnsi="Times New Roman" w:eastAsia="Times New Roman" w:cs="Times New Roman"/>
                      <w:color w:val="auto"/>
                      <w:spacing w:val="1"/>
                      <w:position w:val="-1"/>
                      <w:sz w:val="21"/>
                      <w:szCs w:val="21"/>
                      <w:vertAlign w:val="subscript"/>
                    </w:rPr>
                    <w:t>4</w:t>
                  </w:r>
                  <w:r>
                    <w:rPr>
                      <w:rFonts w:ascii="宋体" w:hAnsi="宋体" w:eastAsia="宋体" w:cs="宋体"/>
                      <w:color w:val="auto"/>
                      <w:spacing w:val="1"/>
                      <w:sz w:val="21"/>
                      <w:szCs w:val="21"/>
                    </w:rPr>
                    <w:t>，分子量为</w:t>
                  </w:r>
                  <w:r>
                    <w:rPr>
                      <w:rFonts w:ascii="Times New Roman" w:hAnsi="Times New Roman" w:eastAsia="Times New Roman" w:cs="Times New Roman"/>
                      <w:color w:val="auto"/>
                      <w:spacing w:val="1"/>
                      <w:sz w:val="21"/>
                      <w:szCs w:val="21"/>
                    </w:rPr>
                    <w:t>158.03</w:t>
                  </w:r>
                  <w:r>
                    <w:rPr>
                      <w:rFonts w:ascii="宋体" w:hAnsi="宋体" w:eastAsia="宋体" w:cs="宋体"/>
                      <w:color w:val="auto"/>
                      <w:spacing w:val="1"/>
                      <w:sz w:val="21"/>
                      <w:szCs w:val="21"/>
                    </w:rPr>
                    <w:t>，熔点：</w:t>
                  </w:r>
                  <w:r>
                    <w:rPr>
                      <w:rFonts w:ascii="Times New Roman" w:hAnsi="Times New Roman" w:eastAsia="Times New Roman" w:cs="Times New Roman"/>
                      <w:color w:val="auto"/>
                      <w:spacing w:val="7"/>
                      <w:sz w:val="21"/>
                      <w:szCs w:val="21"/>
                    </w:rPr>
                    <w:t>240℃</w:t>
                  </w:r>
                  <w:r>
                    <w:rPr>
                      <w:rFonts w:ascii="宋体" w:hAnsi="宋体" w:eastAsia="宋体" w:cs="宋体"/>
                      <w:color w:val="auto"/>
                      <w:spacing w:val="7"/>
                      <w:sz w:val="21"/>
                      <w:szCs w:val="21"/>
                    </w:rPr>
                    <w:t>；密度：相对密度</w:t>
                  </w:r>
                  <w:r>
                    <w:rPr>
                      <w:rFonts w:hint="eastAsia" w:ascii="Times New Roman" w:hAnsi="Times New Roman" w:eastAsia="宋体" w:cs="Times New Roman"/>
                      <w:color w:val="auto"/>
                      <w:spacing w:val="7"/>
                      <w:sz w:val="21"/>
                      <w:szCs w:val="21"/>
                      <w:lang w:eastAsia="zh-CN"/>
                    </w:rPr>
                    <w:t>（</w:t>
                  </w:r>
                  <w:r>
                    <w:rPr>
                      <w:rFonts w:ascii="宋体" w:hAnsi="宋体" w:eastAsia="宋体" w:cs="宋体"/>
                      <w:color w:val="auto"/>
                      <w:spacing w:val="7"/>
                      <w:sz w:val="21"/>
                      <w:szCs w:val="21"/>
                    </w:rPr>
                    <w:t>水</w:t>
                  </w:r>
                  <w:r>
                    <w:rPr>
                      <w:rFonts w:ascii="Times New Roman" w:hAnsi="Times New Roman" w:eastAsia="Times New Roman" w:cs="Times New Roman"/>
                      <w:color w:val="auto"/>
                      <w:spacing w:val="7"/>
                      <w:sz w:val="21"/>
                      <w:szCs w:val="21"/>
                    </w:rPr>
                    <w:t>=1</w:t>
                  </w:r>
                  <w:r>
                    <w:rPr>
                      <w:rFonts w:hint="eastAsia" w:ascii="Times New Roman" w:hAnsi="Times New Roman" w:eastAsia="宋体" w:cs="Times New Roman"/>
                      <w:color w:val="auto"/>
                      <w:spacing w:val="7"/>
                      <w:sz w:val="21"/>
                      <w:szCs w:val="21"/>
                      <w:lang w:eastAsia="zh-CN"/>
                    </w:rPr>
                    <w:t>）</w:t>
                  </w:r>
                  <w:r>
                    <w:rPr>
                      <w:rFonts w:ascii="Times New Roman" w:hAnsi="Times New Roman" w:eastAsia="Times New Roman" w:cs="Times New Roman"/>
                      <w:color w:val="auto"/>
                      <w:spacing w:val="7"/>
                      <w:sz w:val="21"/>
                      <w:szCs w:val="21"/>
                    </w:rPr>
                    <w:t>2.7</w:t>
                  </w:r>
                  <w:r>
                    <w:rPr>
                      <w:rFonts w:ascii="宋体" w:hAnsi="宋体" w:eastAsia="宋体" w:cs="宋体"/>
                      <w:color w:val="auto"/>
                      <w:spacing w:val="7"/>
                      <w:sz w:val="21"/>
                      <w:szCs w:val="21"/>
                    </w:rPr>
                    <w:t>；溶解性：溶</w:t>
                  </w:r>
                  <w:r>
                    <w:rPr>
                      <w:rFonts w:ascii="宋体" w:hAnsi="宋体" w:eastAsia="宋体" w:cs="宋体"/>
                      <w:color w:val="auto"/>
                      <w:spacing w:val="4"/>
                      <w:sz w:val="21"/>
                      <w:szCs w:val="21"/>
                    </w:rPr>
                    <w:t>于水、碱液，微溶于甲醇、丙酮、硫酸；外观与</w:t>
                  </w:r>
                  <w:r>
                    <w:rPr>
                      <w:rFonts w:ascii="宋体" w:hAnsi="宋体" w:eastAsia="宋体" w:cs="宋体"/>
                      <w:color w:val="auto"/>
                      <w:spacing w:val="8"/>
                      <w:sz w:val="21"/>
                      <w:szCs w:val="21"/>
                    </w:rPr>
                    <w:t>性状：深紫色细长斜方柱状结晶，有金属光泽。</w:t>
                  </w:r>
                </w:p>
              </w:tc>
            </w:tr>
            <w:tr w14:paraId="21D1A8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13671A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701" w:type="pct"/>
                  <w:tcBorders>
                    <w:tl2br w:val="nil"/>
                    <w:tr2bl w:val="nil"/>
                  </w:tcBorders>
                  <w:vAlign w:val="center"/>
                </w:tcPr>
                <w:p w14:paraId="59439B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6"/>
                      <w:sz w:val="21"/>
                      <w:szCs w:val="21"/>
                    </w:rPr>
                    <w:t>石灰水</w:t>
                  </w:r>
                </w:p>
              </w:tc>
              <w:tc>
                <w:tcPr>
                  <w:tcW w:w="690" w:type="pct"/>
                  <w:tcBorders>
                    <w:tl2br w:val="nil"/>
                    <w:tr2bl w:val="nil"/>
                  </w:tcBorders>
                  <w:vAlign w:val="center"/>
                </w:tcPr>
                <w:p w14:paraId="69AF80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3187" w:type="pct"/>
                  <w:tcBorders>
                    <w:tl2br w:val="nil"/>
                    <w:tr2bl w:val="nil"/>
                  </w:tcBorders>
                  <w:vAlign w:val="center"/>
                </w:tcPr>
                <w:p w14:paraId="607E6B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6"/>
                      <w:sz w:val="21"/>
                      <w:szCs w:val="21"/>
                    </w:rPr>
                    <w:t>主要成分是氢氧化钙</w:t>
                  </w:r>
                  <w:r>
                    <w:rPr>
                      <w:rFonts w:ascii="宋体" w:hAnsi="宋体" w:eastAsia="宋体" w:cs="宋体"/>
                      <w:color w:val="auto"/>
                      <w:spacing w:val="-32"/>
                      <w:sz w:val="21"/>
                      <w:szCs w:val="21"/>
                    </w:rPr>
                    <w:t xml:space="preserve"> </w:t>
                  </w:r>
                  <w:r>
                    <w:rPr>
                      <w:rFonts w:ascii="Times New Roman" w:hAnsi="Times New Roman" w:eastAsia="Times New Roman" w:cs="Times New Roman"/>
                      <w:color w:val="auto"/>
                      <w:sz w:val="21"/>
                      <w:szCs w:val="21"/>
                    </w:rPr>
                    <w:t>Ca</w:t>
                  </w:r>
                  <w:r>
                    <w:rPr>
                      <w:rFonts w:ascii="Times New Roman" w:hAnsi="Times New Roman" w:eastAsia="Times New Roman" w:cs="Times New Roman"/>
                      <w:color w:val="auto"/>
                      <w:spacing w:val="6"/>
                      <w:sz w:val="21"/>
                      <w:szCs w:val="21"/>
                    </w:rPr>
                    <w:t>(</w:t>
                  </w:r>
                  <w:r>
                    <w:rPr>
                      <w:rFonts w:ascii="Times New Roman" w:hAnsi="Times New Roman" w:eastAsia="Times New Roman" w:cs="Times New Roman"/>
                      <w:color w:val="auto"/>
                      <w:sz w:val="21"/>
                      <w:szCs w:val="21"/>
                    </w:rPr>
                    <w:t>OH</w:t>
                  </w:r>
                  <w:r>
                    <w:rPr>
                      <w:rFonts w:ascii="Times New Roman" w:hAnsi="Times New Roman" w:eastAsia="Times New Roman" w:cs="Times New Roman"/>
                      <w:color w:val="auto"/>
                      <w:spacing w:val="6"/>
                      <w:sz w:val="21"/>
                      <w:szCs w:val="21"/>
                    </w:rPr>
                    <w:t>)</w:t>
                  </w:r>
                  <w:r>
                    <w:rPr>
                      <w:rFonts w:ascii="Times New Roman" w:hAnsi="Times New Roman" w:eastAsia="Times New Roman" w:cs="Times New Roman"/>
                      <w:color w:val="auto"/>
                      <w:spacing w:val="6"/>
                      <w:position w:val="-1"/>
                      <w:sz w:val="21"/>
                      <w:szCs w:val="21"/>
                      <w:vertAlign w:val="subscript"/>
                    </w:rPr>
                    <w:t>2</w:t>
                  </w:r>
                  <w:r>
                    <w:rPr>
                      <w:rFonts w:ascii="宋体" w:hAnsi="宋体" w:eastAsia="宋体" w:cs="宋体"/>
                      <w:color w:val="auto"/>
                      <w:spacing w:val="6"/>
                      <w:sz w:val="21"/>
                      <w:szCs w:val="21"/>
                    </w:rPr>
                    <w:t>，与二氧化碳反应</w:t>
                  </w:r>
                  <w:r>
                    <w:rPr>
                      <w:rFonts w:ascii="宋体" w:hAnsi="宋体" w:eastAsia="宋体" w:cs="宋体"/>
                      <w:color w:val="auto"/>
                      <w:spacing w:val="7"/>
                      <w:sz w:val="21"/>
                      <w:szCs w:val="21"/>
                    </w:rPr>
                    <w:t>生成碳酸钙和水。</w:t>
                  </w:r>
                </w:p>
              </w:tc>
            </w:tr>
            <w:tr w14:paraId="6AD0F6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15B8C10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701" w:type="pct"/>
                  <w:tcBorders>
                    <w:tl2br w:val="nil"/>
                    <w:tr2bl w:val="nil"/>
                  </w:tcBorders>
                  <w:vAlign w:val="center"/>
                </w:tcPr>
                <w:p w14:paraId="4143D0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6"/>
                      <w:sz w:val="21"/>
                      <w:szCs w:val="21"/>
                    </w:rPr>
                    <w:t>大理石</w:t>
                  </w:r>
                </w:p>
              </w:tc>
              <w:tc>
                <w:tcPr>
                  <w:tcW w:w="690" w:type="pct"/>
                  <w:tcBorders>
                    <w:tl2br w:val="nil"/>
                    <w:tr2bl w:val="nil"/>
                  </w:tcBorders>
                  <w:vAlign w:val="center"/>
                </w:tcPr>
                <w:p w14:paraId="3D3FA41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1317-65-3</w:t>
                  </w:r>
                </w:p>
              </w:tc>
              <w:tc>
                <w:tcPr>
                  <w:tcW w:w="3187" w:type="pct"/>
                  <w:tcBorders>
                    <w:tl2br w:val="nil"/>
                    <w:tr2bl w:val="nil"/>
                  </w:tcBorders>
                  <w:vAlign w:val="center"/>
                </w:tcPr>
                <w:p w14:paraId="7F273F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3"/>
                      <w:sz w:val="21"/>
                      <w:szCs w:val="21"/>
                    </w:rPr>
                    <w:t>白色结晶性粉末。无嗅、无味。有两种结晶，一</w:t>
                  </w:r>
                  <w:r>
                    <w:rPr>
                      <w:rFonts w:ascii="宋体" w:hAnsi="宋体" w:eastAsia="宋体" w:cs="宋体"/>
                      <w:color w:val="auto"/>
                      <w:spacing w:val="2"/>
                      <w:sz w:val="21"/>
                      <w:szCs w:val="21"/>
                    </w:rPr>
                    <w:t>种是正交晶体文石，熔点</w:t>
                  </w:r>
                  <w:r>
                    <w:rPr>
                      <w:rFonts w:ascii="宋体" w:hAnsi="宋体" w:eastAsia="宋体" w:cs="宋体"/>
                      <w:color w:val="auto"/>
                      <w:spacing w:val="-32"/>
                      <w:sz w:val="21"/>
                      <w:szCs w:val="21"/>
                    </w:rPr>
                    <w:t xml:space="preserve"> </w:t>
                  </w:r>
                  <w:r>
                    <w:rPr>
                      <w:rFonts w:ascii="Times New Roman" w:hAnsi="Times New Roman" w:eastAsia="Times New Roman" w:cs="Times New Roman"/>
                      <w:color w:val="auto"/>
                      <w:spacing w:val="2"/>
                      <w:sz w:val="21"/>
                      <w:szCs w:val="21"/>
                    </w:rPr>
                    <w:t>825℃</w:t>
                  </w:r>
                  <w:r>
                    <w:rPr>
                      <w:rFonts w:ascii="宋体" w:hAnsi="宋体" w:eastAsia="宋体" w:cs="宋体"/>
                      <w:color w:val="auto"/>
                      <w:spacing w:val="2"/>
                      <w:sz w:val="21"/>
                      <w:szCs w:val="21"/>
                    </w:rPr>
                    <w:t>（分解</w:t>
                  </w:r>
                  <w:r>
                    <w:rPr>
                      <w:rFonts w:ascii="宋体" w:hAnsi="宋体" w:eastAsia="宋体" w:cs="宋体"/>
                      <w:color w:val="auto"/>
                      <w:spacing w:val="-50"/>
                      <w:w w:val="95"/>
                      <w:sz w:val="21"/>
                      <w:szCs w:val="21"/>
                    </w:rPr>
                    <w:t>）</w:t>
                  </w:r>
                  <w:r>
                    <w:rPr>
                      <w:rFonts w:hint="eastAsia" w:ascii="宋体" w:hAnsi="宋体" w:eastAsia="宋体" w:cs="宋体"/>
                      <w:color w:val="auto"/>
                      <w:spacing w:val="-50"/>
                      <w:w w:val="95"/>
                      <w:sz w:val="21"/>
                      <w:szCs w:val="21"/>
                      <w:lang w:eastAsia="zh-CN"/>
                    </w:rPr>
                    <w:t>，</w:t>
                  </w:r>
                  <w:r>
                    <w:rPr>
                      <w:rFonts w:ascii="宋体" w:hAnsi="宋体" w:eastAsia="宋体" w:cs="宋体"/>
                      <w:color w:val="auto"/>
                      <w:spacing w:val="4"/>
                      <w:sz w:val="21"/>
                      <w:szCs w:val="21"/>
                    </w:rPr>
                    <w:t>分解为氧化钙和二氧化碳。一种是六方菱面晶体</w:t>
                  </w:r>
                  <w:r>
                    <w:rPr>
                      <w:rFonts w:ascii="宋体" w:hAnsi="宋体" w:eastAsia="宋体" w:cs="宋体"/>
                      <w:color w:val="auto"/>
                      <w:spacing w:val="5"/>
                      <w:sz w:val="21"/>
                      <w:szCs w:val="21"/>
                    </w:rPr>
                    <w:t>方解石，熔点</w:t>
                  </w:r>
                  <w:r>
                    <w:rPr>
                      <w:rFonts w:ascii="Times New Roman" w:hAnsi="Times New Roman" w:eastAsia="Times New Roman" w:cs="Times New Roman"/>
                      <w:color w:val="auto"/>
                      <w:spacing w:val="5"/>
                      <w:sz w:val="21"/>
                      <w:szCs w:val="21"/>
                    </w:rPr>
                    <w:t>1339℃</w:t>
                  </w:r>
                  <w:r>
                    <w:rPr>
                      <w:rFonts w:hint="eastAsia" w:ascii="Times New Roman" w:hAnsi="Times New Roman" w:eastAsia="宋体" w:cs="Times New Roman"/>
                      <w:color w:val="auto"/>
                      <w:spacing w:val="5"/>
                      <w:sz w:val="21"/>
                      <w:szCs w:val="21"/>
                      <w:lang w:eastAsia="zh-CN"/>
                    </w:rPr>
                    <w:t>（</w:t>
                  </w:r>
                  <w:r>
                    <w:rPr>
                      <w:rFonts w:ascii="Times New Roman" w:hAnsi="Times New Roman" w:eastAsia="Times New Roman" w:cs="Times New Roman"/>
                      <w:color w:val="auto"/>
                      <w:spacing w:val="5"/>
                      <w:sz w:val="21"/>
                      <w:szCs w:val="21"/>
                    </w:rPr>
                    <w:t>10.3</w:t>
                  </w:r>
                  <w:r>
                    <w:rPr>
                      <w:rFonts w:ascii="Times New Roman" w:hAnsi="Times New Roman" w:eastAsia="Times New Roman" w:cs="Times New Roman"/>
                      <w:color w:val="auto"/>
                      <w:spacing w:val="4"/>
                      <w:sz w:val="21"/>
                      <w:szCs w:val="21"/>
                    </w:rPr>
                    <w:t>9</w:t>
                  </w:r>
                  <w:r>
                    <w:rPr>
                      <w:rFonts w:ascii="Times New Roman" w:hAnsi="Times New Roman" w:eastAsia="Times New Roman" w:cs="Times New Roman"/>
                      <w:color w:val="auto"/>
                      <w:sz w:val="21"/>
                      <w:szCs w:val="21"/>
                    </w:rPr>
                    <w:t>MPa</w:t>
                  </w:r>
                  <w:r>
                    <w:rPr>
                      <w:rFonts w:hint="eastAsia" w:ascii="Times New Roman" w:hAnsi="Times New Roman" w:eastAsia="宋体" w:cs="Times New Roman"/>
                      <w:color w:val="auto"/>
                      <w:spacing w:val="5"/>
                      <w:sz w:val="21"/>
                      <w:szCs w:val="21"/>
                      <w:lang w:eastAsia="zh-CN"/>
                    </w:rPr>
                    <w:t>）</w:t>
                  </w:r>
                  <w:r>
                    <w:rPr>
                      <w:rFonts w:ascii="宋体" w:hAnsi="宋体" w:eastAsia="宋体" w:cs="宋体"/>
                      <w:color w:val="auto"/>
                      <w:spacing w:val="4"/>
                      <w:sz w:val="21"/>
                      <w:szCs w:val="21"/>
                    </w:rPr>
                    <w:t>。</w:t>
                  </w:r>
                  <w:r>
                    <w:rPr>
                      <w:rFonts w:ascii="宋体" w:hAnsi="宋体" w:eastAsia="宋体" w:cs="宋体"/>
                      <w:color w:val="auto"/>
                      <w:spacing w:val="7"/>
                      <w:sz w:val="21"/>
                      <w:szCs w:val="21"/>
                    </w:rPr>
                    <w:t>几乎不溶于水，溶于酸。</w:t>
                  </w:r>
                </w:p>
              </w:tc>
            </w:tr>
            <w:tr w14:paraId="220D26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696B77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4</w:t>
                  </w:r>
                </w:p>
              </w:tc>
              <w:tc>
                <w:tcPr>
                  <w:tcW w:w="701" w:type="pct"/>
                  <w:tcBorders>
                    <w:tl2br w:val="nil"/>
                    <w:tr2bl w:val="nil"/>
                  </w:tcBorders>
                  <w:vAlign w:val="center"/>
                </w:tcPr>
                <w:p w14:paraId="78167E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3"/>
                      <w:sz w:val="21"/>
                      <w:szCs w:val="21"/>
                    </w:rPr>
                    <w:t>盐酸</w:t>
                  </w:r>
                </w:p>
              </w:tc>
              <w:tc>
                <w:tcPr>
                  <w:tcW w:w="690" w:type="pct"/>
                  <w:tcBorders>
                    <w:tl2br w:val="nil"/>
                    <w:tr2bl w:val="nil"/>
                  </w:tcBorders>
                  <w:vAlign w:val="center"/>
                </w:tcPr>
                <w:p w14:paraId="6BAF5CF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7647-01-0</w:t>
                  </w:r>
                </w:p>
              </w:tc>
              <w:tc>
                <w:tcPr>
                  <w:tcW w:w="3187" w:type="pct"/>
                  <w:tcBorders>
                    <w:tl2br w:val="nil"/>
                    <w:tr2bl w:val="nil"/>
                  </w:tcBorders>
                  <w:vAlign w:val="center"/>
                </w:tcPr>
                <w:p w14:paraId="7D1A5E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俗称氢氯酸，为一元强酸，具有刺激性气味。熔</w:t>
                  </w:r>
                  <w:r>
                    <w:rPr>
                      <w:rFonts w:ascii="宋体" w:hAnsi="宋体" w:eastAsia="宋体" w:cs="宋体"/>
                      <w:color w:val="auto"/>
                      <w:spacing w:val="-2"/>
                      <w:sz w:val="21"/>
                      <w:szCs w:val="21"/>
                    </w:rPr>
                    <w:t>点(</w:t>
                  </w:r>
                  <w:r>
                    <w:rPr>
                      <w:rFonts w:ascii="Times New Roman" w:hAnsi="Times New Roman" w:eastAsia="Times New Roman" w:cs="Times New Roman"/>
                      <w:color w:val="auto"/>
                      <w:spacing w:val="-2"/>
                      <w:sz w:val="21"/>
                      <w:szCs w:val="21"/>
                    </w:rPr>
                    <w:t>℃</w:t>
                  </w:r>
                  <w:r>
                    <w:rPr>
                      <w:rFonts w:ascii="宋体" w:hAnsi="宋体" w:eastAsia="宋体" w:cs="宋体"/>
                      <w:color w:val="auto"/>
                      <w:spacing w:val="-2"/>
                      <w:sz w:val="21"/>
                      <w:szCs w:val="21"/>
                    </w:rPr>
                    <w:t>)：</w:t>
                  </w:r>
                  <w:r>
                    <w:rPr>
                      <w:rFonts w:ascii="Times New Roman" w:hAnsi="Times New Roman" w:eastAsia="Times New Roman" w:cs="Times New Roman"/>
                      <w:color w:val="auto"/>
                      <w:spacing w:val="-2"/>
                      <w:sz w:val="21"/>
                      <w:szCs w:val="21"/>
                    </w:rPr>
                    <w:t>-114.8</w:t>
                  </w:r>
                  <w:r>
                    <w:rPr>
                      <w:rFonts w:ascii="宋体" w:hAnsi="宋体" w:eastAsia="宋体" w:cs="宋体"/>
                      <w:color w:val="auto"/>
                      <w:spacing w:val="-2"/>
                      <w:sz w:val="21"/>
                      <w:szCs w:val="21"/>
                    </w:rPr>
                    <w:t>（纯</w:t>
                  </w:r>
                  <w:r>
                    <w:rPr>
                      <w:rFonts w:ascii="宋体" w:hAnsi="宋体" w:eastAsia="宋体" w:cs="宋体"/>
                      <w:color w:val="auto"/>
                      <w:spacing w:val="-43"/>
                      <w:sz w:val="21"/>
                      <w:szCs w:val="21"/>
                    </w:rPr>
                    <w:t xml:space="preserve"> </w:t>
                  </w:r>
                  <w:r>
                    <w:rPr>
                      <w:rFonts w:ascii="Times New Roman" w:hAnsi="Times New Roman" w:eastAsia="Times New Roman" w:cs="Times New Roman"/>
                      <w:color w:val="auto"/>
                      <w:spacing w:val="-2"/>
                      <w:sz w:val="21"/>
                      <w:szCs w:val="21"/>
                    </w:rPr>
                    <w:t>HCl</w:t>
                  </w:r>
                  <w:r>
                    <w:rPr>
                      <w:rFonts w:ascii="宋体" w:hAnsi="宋体" w:eastAsia="宋体" w:cs="宋体"/>
                      <w:color w:val="auto"/>
                      <w:spacing w:val="-8"/>
                      <w:sz w:val="21"/>
                      <w:szCs w:val="21"/>
                    </w:rPr>
                    <w:t>），</w:t>
                  </w:r>
                  <w:r>
                    <w:rPr>
                      <w:rFonts w:ascii="宋体" w:hAnsi="宋体" w:eastAsia="宋体" w:cs="宋体"/>
                      <w:color w:val="auto"/>
                      <w:spacing w:val="-2"/>
                      <w:sz w:val="21"/>
                      <w:szCs w:val="21"/>
                    </w:rPr>
                    <w:t>沸点(</w:t>
                  </w:r>
                  <w:r>
                    <w:rPr>
                      <w:rFonts w:ascii="Times New Roman" w:hAnsi="Times New Roman" w:eastAsia="Times New Roman" w:cs="Times New Roman"/>
                      <w:color w:val="auto"/>
                      <w:spacing w:val="-2"/>
                      <w:sz w:val="21"/>
                      <w:szCs w:val="21"/>
                    </w:rPr>
                    <w:t>℃</w:t>
                  </w:r>
                  <w:r>
                    <w:rPr>
                      <w:rFonts w:ascii="宋体" w:hAnsi="宋体" w:eastAsia="宋体" w:cs="宋体"/>
                      <w:color w:val="auto"/>
                      <w:spacing w:val="-2"/>
                      <w:sz w:val="21"/>
                      <w:szCs w:val="21"/>
                    </w:rPr>
                    <w:t>)：</w:t>
                  </w:r>
                  <w:r>
                    <w:rPr>
                      <w:rFonts w:ascii="Times New Roman" w:hAnsi="Times New Roman" w:eastAsia="Times New Roman" w:cs="Times New Roman"/>
                      <w:color w:val="auto"/>
                      <w:spacing w:val="-2"/>
                      <w:sz w:val="21"/>
                      <w:szCs w:val="21"/>
                    </w:rPr>
                    <w:t>108.6</w:t>
                  </w:r>
                  <w:r>
                    <w:rPr>
                      <w:rFonts w:ascii="宋体" w:hAnsi="宋体" w:eastAsia="宋体" w:cs="宋体"/>
                      <w:color w:val="auto"/>
                      <w:spacing w:val="11"/>
                      <w:sz w:val="21"/>
                      <w:szCs w:val="21"/>
                    </w:rPr>
                    <w:t>（</w:t>
                  </w:r>
                  <w:r>
                    <w:rPr>
                      <w:rFonts w:ascii="Times New Roman" w:hAnsi="Times New Roman" w:eastAsia="Times New Roman" w:cs="Times New Roman"/>
                      <w:color w:val="auto"/>
                      <w:spacing w:val="11"/>
                      <w:sz w:val="21"/>
                      <w:szCs w:val="21"/>
                    </w:rPr>
                    <w:t>20%</w:t>
                  </w:r>
                  <w:r>
                    <w:rPr>
                      <w:rFonts w:ascii="宋体" w:hAnsi="宋体" w:eastAsia="宋体" w:cs="宋体"/>
                      <w:color w:val="auto"/>
                      <w:spacing w:val="11"/>
                      <w:sz w:val="21"/>
                      <w:szCs w:val="21"/>
                    </w:rPr>
                    <w:t>恒沸溶液</w:t>
                  </w:r>
                  <w:r>
                    <w:rPr>
                      <w:rFonts w:ascii="宋体" w:hAnsi="宋体" w:eastAsia="宋体" w:cs="宋体"/>
                      <w:color w:val="auto"/>
                      <w:spacing w:val="18"/>
                      <w:sz w:val="21"/>
                      <w:szCs w:val="21"/>
                    </w:rPr>
                    <w:t>），</w:t>
                  </w:r>
                  <w:r>
                    <w:rPr>
                      <w:rFonts w:ascii="宋体" w:hAnsi="宋体" w:eastAsia="宋体" w:cs="宋体"/>
                      <w:color w:val="auto"/>
                      <w:spacing w:val="11"/>
                      <w:sz w:val="21"/>
                      <w:szCs w:val="21"/>
                    </w:rPr>
                    <w:t>相对密度</w:t>
                  </w:r>
                  <w:r>
                    <w:rPr>
                      <w:rFonts w:hint="eastAsia" w:ascii="Times New Roman" w:hAnsi="Times New Roman" w:eastAsia="宋体" w:cs="Times New Roman"/>
                      <w:color w:val="auto"/>
                      <w:spacing w:val="11"/>
                      <w:sz w:val="21"/>
                      <w:szCs w:val="21"/>
                      <w:lang w:eastAsia="zh-CN"/>
                    </w:rPr>
                    <w:t>（</w:t>
                  </w:r>
                  <w:r>
                    <w:rPr>
                      <w:rFonts w:ascii="宋体" w:hAnsi="宋体" w:eastAsia="宋体" w:cs="宋体"/>
                      <w:color w:val="auto"/>
                      <w:spacing w:val="11"/>
                      <w:sz w:val="21"/>
                      <w:szCs w:val="21"/>
                    </w:rPr>
                    <w:t>水</w:t>
                  </w:r>
                  <w:r>
                    <w:rPr>
                      <w:rFonts w:ascii="Times New Roman" w:hAnsi="Times New Roman" w:eastAsia="Times New Roman" w:cs="Times New Roman"/>
                      <w:color w:val="auto"/>
                      <w:spacing w:val="11"/>
                      <w:sz w:val="21"/>
                      <w:szCs w:val="21"/>
                    </w:rPr>
                    <w:t>=1</w:t>
                  </w:r>
                  <w:r>
                    <w:rPr>
                      <w:rFonts w:hint="eastAsia" w:ascii="Times New Roman" w:hAnsi="Times New Roman" w:eastAsia="宋体" w:cs="Times New Roman"/>
                      <w:color w:val="auto"/>
                      <w:spacing w:val="11"/>
                      <w:sz w:val="21"/>
                      <w:szCs w:val="21"/>
                      <w:lang w:eastAsia="zh-CN"/>
                    </w:rPr>
                    <w:t>）</w:t>
                  </w:r>
                  <w:r>
                    <w:rPr>
                      <w:rFonts w:ascii="宋体" w:hAnsi="宋体" w:eastAsia="宋体" w:cs="宋体"/>
                      <w:color w:val="auto"/>
                      <w:spacing w:val="11"/>
                      <w:sz w:val="21"/>
                      <w:szCs w:val="21"/>
                    </w:rPr>
                    <w:t>：</w:t>
                  </w:r>
                  <w:r>
                    <w:rPr>
                      <w:rFonts w:ascii="Times New Roman" w:hAnsi="Times New Roman" w:eastAsia="Times New Roman" w:cs="Times New Roman"/>
                      <w:color w:val="auto"/>
                      <w:spacing w:val="11"/>
                      <w:sz w:val="21"/>
                      <w:szCs w:val="21"/>
                    </w:rPr>
                    <w:t>1.20</w:t>
                  </w:r>
                  <w:r>
                    <w:rPr>
                      <w:rFonts w:ascii="宋体" w:hAnsi="宋体" w:eastAsia="宋体" w:cs="宋体"/>
                      <w:color w:val="auto"/>
                      <w:spacing w:val="11"/>
                      <w:sz w:val="21"/>
                      <w:szCs w:val="21"/>
                    </w:rPr>
                    <w:t>。</w:t>
                  </w:r>
                </w:p>
              </w:tc>
            </w:tr>
            <w:tr w14:paraId="6A754A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7B2157A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701" w:type="pct"/>
                  <w:tcBorders>
                    <w:tl2br w:val="nil"/>
                    <w:tr2bl w:val="nil"/>
                  </w:tcBorders>
                  <w:vAlign w:val="center"/>
                </w:tcPr>
                <w:p w14:paraId="282AC9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石蕊</w:t>
                  </w:r>
                </w:p>
              </w:tc>
              <w:tc>
                <w:tcPr>
                  <w:tcW w:w="690" w:type="pct"/>
                  <w:tcBorders>
                    <w:tl2br w:val="nil"/>
                    <w:tr2bl w:val="nil"/>
                  </w:tcBorders>
                  <w:vAlign w:val="center"/>
                </w:tcPr>
                <w:p w14:paraId="6ABF0AE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1393-92-6</w:t>
                  </w:r>
                </w:p>
              </w:tc>
              <w:tc>
                <w:tcPr>
                  <w:tcW w:w="3187" w:type="pct"/>
                  <w:tcBorders>
                    <w:tl2br w:val="nil"/>
                    <w:tr2bl w:val="nil"/>
                  </w:tcBorders>
                  <w:vAlign w:val="center"/>
                </w:tcPr>
                <w:p w14:paraId="7BEA26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石蕊指示剂是一种有机酸，从地衣类植物提取得到，组成复杂。其酸式为红色，碱式为蓝色，故</w:t>
                  </w:r>
                  <w:r>
                    <w:rPr>
                      <w:rFonts w:ascii="宋体" w:hAnsi="宋体" w:eastAsia="宋体" w:cs="宋体"/>
                      <w:color w:val="auto"/>
                      <w:spacing w:val="12"/>
                      <w:sz w:val="21"/>
                      <w:szCs w:val="21"/>
                    </w:rPr>
                    <w:t>在酸性溶液中，主要以红色的酸式分子形式存</w:t>
                  </w:r>
                  <w:r>
                    <w:rPr>
                      <w:rFonts w:ascii="宋体" w:hAnsi="宋体" w:eastAsia="宋体" w:cs="宋体"/>
                      <w:color w:val="auto"/>
                      <w:spacing w:val="4"/>
                      <w:sz w:val="21"/>
                      <w:szCs w:val="21"/>
                    </w:rPr>
                    <w:t>在；在碱性溶液中，主要以蓝色的碱式离子形式</w:t>
                  </w:r>
                  <w:r>
                    <w:rPr>
                      <w:rFonts w:ascii="宋体" w:hAnsi="宋体" w:eastAsia="宋体" w:cs="宋体"/>
                      <w:color w:val="auto"/>
                      <w:spacing w:val="13"/>
                      <w:sz w:val="21"/>
                      <w:szCs w:val="21"/>
                    </w:rPr>
                    <w:t>存住。室温时，它的变色范围是</w:t>
                  </w:r>
                  <w:r>
                    <w:rPr>
                      <w:rFonts w:ascii="宋体" w:hAnsi="宋体" w:eastAsia="宋体" w:cs="宋体"/>
                      <w:color w:val="auto"/>
                      <w:spacing w:val="-46"/>
                      <w:sz w:val="21"/>
                      <w:szCs w:val="21"/>
                    </w:rPr>
                    <w:t xml:space="preserve"> </w:t>
                  </w:r>
                  <w:r>
                    <w:rPr>
                      <w:rFonts w:ascii="Times New Roman" w:hAnsi="Times New Roman" w:eastAsia="Times New Roman" w:cs="Times New Roman"/>
                      <w:color w:val="auto"/>
                      <w:sz w:val="21"/>
                      <w:szCs w:val="21"/>
                    </w:rPr>
                    <w:t>pH</w:t>
                  </w:r>
                  <w:r>
                    <w:rPr>
                      <w:rFonts w:ascii="Times New Roman" w:hAnsi="Times New Roman" w:eastAsia="Times New Roman" w:cs="Times New Roman"/>
                      <w:color w:val="auto"/>
                      <w:spacing w:val="13"/>
                      <w:sz w:val="21"/>
                      <w:szCs w:val="21"/>
                    </w:rPr>
                    <w:t>5.0</w:t>
                  </w:r>
                  <w:r>
                    <w:rPr>
                      <w:rFonts w:hint="eastAsia" w:ascii="Times New Roman" w:hAnsi="Times New Roman" w:eastAsia="宋体" w:cs="Times New Roman"/>
                      <w:color w:val="auto"/>
                      <w:spacing w:val="13"/>
                      <w:sz w:val="21"/>
                      <w:szCs w:val="21"/>
                      <w:lang w:eastAsia="zh-CN"/>
                    </w:rPr>
                    <w:t>（</w:t>
                  </w:r>
                  <w:r>
                    <w:rPr>
                      <w:rFonts w:ascii="宋体" w:hAnsi="宋体" w:eastAsia="宋体" w:cs="宋体"/>
                      <w:color w:val="auto"/>
                      <w:spacing w:val="13"/>
                      <w:sz w:val="21"/>
                      <w:szCs w:val="21"/>
                    </w:rPr>
                    <w:t>红色</w:t>
                  </w:r>
                  <w:r>
                    <w:rPr>
                      <w:rFonts w:hint="eastAsia" w:ascii="Times New Roman" w:hAnsi="Times New Roman" w:eastAsia="宋体" w:cs="Times New Roman"/>
                      <w:color w:val="auto"/>
                      <w:spacing w:val="13"/>
                      <w:sz w:val="21"/>
                      <w:szCs w:val="21"/>
                      <w:lang w:eastAsia="zh-CN"/>
                    </w:rPr>
                    <w:t>）</w:t>
                  </w:r>
                  <w:r>
                    <w:rPr>
                      <w:rFonts w:hint="default" w:ascii="Times New Roman" w:hAnsi="Times New Roman" w:eastAsia="宋体" w:cs="Times New Roman"/>
                      <w:color w:val="auto"/>
                      <w:spacing w:val="13"/>
                      <w:sz w:val="21"/>
                      <w:szCs w:val="21"/>
                      <w:lang w:val="en-US" w:eastAsia="zh-CN"/>
                    </w:rPr>
                    <w:t>~</w:t>
                  </w:r>
                  <w:r>
                    <w:rPr>
                      <w:rFonts w:ascii="Times New Roman" w:hAnsi="Times New Roman" w:eastAsia="Times New Roman" w:cs="Times New Roman"/>
                      <w:color w:val="auto"/>
                      <w:spacing w:val="3"/>
                      <w:sz w:val="21"/>
                      <w:szCs w:val="21"/>
                    </w:rPr>
                    <w:t>8.0(</w:t>
                  </w:r>
                  <w:r>
                    <w:rPr>
                      <w:rFonts w:ascii="宋体" w:hAnsi="宋体" w:eastAsia="宋体" w:cs="宋体"/>
                      <w:color w:val="auto"/>
                      <w:spacing w:val="3"/>
                      <w:sz w:val="21"/>
                      <w:szCs w:val="21"/>
                    </w:rPr>
                    <w:t>蓝色</w:t>
                  </w:r>
                  <w:r>
                    <w:rPr>
                      <w:rFonts w:ascii="Times New Roman" w:hAnsi="Times New Roman" w:eastAsia="Times New Roman" w:cs="Times New Roman"/>
                      <w:color w:val="auto"/>
                      <w:spacing w:val="3"/>
                      <w:sz w:val="21"/>
                      <w:szCs w:val="21"/>
                    </w:rPr>
                    <w:t>)</w:t>
                  </w:r>
                  <w:r>
                    <w:rPr>
                      <w:rFonts w:ascii="宋体" w:hAnsi="宋体" w:eastAsia="宋体" w:cs="宋体"/>
                      <w:color w:val="auto"/>
                      <w:spacing w:val="3"/>
                      <w:sz w:val="21"/>
                      <w:szCs w:val="21"/>
                    </w:rPr>
                    <w:t>。</w:t>
                  </w:r>
                </w:p>
              </w:tc>
            </w:tr>
            <w:tr w14:paraId="19DF3F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57BCB4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701" w:type="pct"/>
                  <w:tcBorders>
                    <w:tl2br w:val="nil"/>
                    <w:tr2bl w:val="nil"/>
                  </w:tcBorders>
                  <w:vAlign w:val="center"/>
                </w:tcPr>
                <w:p w14:paraId="66B4E4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2"/>
                      <w:sz w:val="21"/>
                      <w:szCs w:val="21"/>
                    </w:rPr>
                    <w:t>酒精</w:t>
                  </w:r>
                </w:p>
              </w:tc>
              <w:tc>
                <w:tcPr>
                  <w:tcW w:w="690" w:type="pct"/>
                  <w:tcBorders>
                    <w:tl2br w:val="nil"/>
                    <w:tr2bl w:val="nil"/>
                  </w:tcBorders>
                  <w:vAlign w:val="center"/>
                </w:tcPr>
                <w:p w14:paraId="192FA5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64-17-5</w:t>
                  </w:r>
                </w:p>
              </w:tc>
              <w:tc>
                <w:tcPr>
                  <w:tcW w:w="3187" w:type="pct"/>
                  <w:tcBorders>
                    <w:tl2br w:val="nil"/>
                    <w:tr2bl w:val="nil"/>
                  </w:tcBorders>
                  <w:vAlign w:val="center"/>
                </w:tcPr>
                <w:p w14:paraId="45D51BA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7"/>
                      <w:sz w:val="21"/>
                      <w:szCs w:val="21"/>
                    </w:rPr>
                    <w:t>无色透明液体。无水</w:t>
                  </w:r>
                  <w:r>
                    <w:rPr>
                      <w:color w:val="auto"/>
                      <w:sz w:val="21"/>
                      <w:szCs w:val="21"/>
                    </w:rPr>
                    <w:fldChar w:fldCharType="begin"/>
                  </w:r>
                  <w:r>
                    <w:rPr>
                      <w:color w:val="auto"/>
                      <w:sz w:val="21"/>
                      <w:szCs w:val="21"/>
                    </w:rPr>
                    <w:instrText xml:space="preserve"> HYPERLINK "http://www.ichemistry.cn/chemistry/64-17-5.htm" </w:instrText>
                  </w:r>
                  <w:r>
                    <w:rPr>
                      <w:color w:val="auto"/>
                      <w:sz w:val="21"/>
                      <w:szCs w:val="21"/>
                    </w:rPr>
                    <w:fldChar w:fldCharType="separate"/>
                  </w:r>
                  <w:r>
                    <w:rPr>
                      <w:rFonts w:ascii="宋体" w:hAnsi="宋体" w:eastAsia="宋体" w:cs="宋体"/>
                      <w:color w:val="auto"/>
                      <w:spacing w:val="7"/>
                      <w:sz w:val="21"/>
                      <w:szCs w:val="21"/>
                    </w:rPr>
                    <w:t>乙醇</w:t>
                  </w:r>
                  <w:r>
                    <w:rPr>
                      <w:rFonts w:ascii="宋体" w:hAnsi="宋体" w:eastAsia="宋体" w:cs="宋体"/>
                      <w:color w:val="auto"/>
                      <w:spacing w:val="7"/>
                      <w:sz w:val="21"/>
                      <w:szCs w:val="21"/>
                    </w:rPr>
                    <w:fldChar w:fldCharType="end"/>
                  </w:r>
                  <w:r>
                    <w:rPr>
                      <w:rFonts w:ascii="宋体" w:hAnsi="宋体" w:eastAsia="宋体" w:cs="宋体"/>
                      <w:color w:val="auto"/>
                      <w:spacing w:val="7"/>
                      <w:sz w:val="21"/>
                      <w:szCs w:val="21"/>
                    </w:rPr>
                    <w:t>相对密度</w:t>
                  </w:r>
                  <w:r>
                    <w:rPr>
                      <w:rFonts w:ascii="Times New Roman" w:hAnsi="Times New Roman" w:eastAsia="Times New Roman" w:cs="Times New Roman"/>
                      <w:color w:val="auto"/>
                      <w:spacing w:val="7"/>
                      <w:sz w:val="21"/>
                      <w:szCs w:val="21"/>
                    </w:rPr>
                    <w:t>0.7893</w:t>
                  </w:r>
                  <w:r>
                    <w:rPr>
                      <w:rFonts w:ascii="宋体" w:hAnsi="宋体" w:eastAsia="宋体" w:cs="宋体"/>
                      <w:color w:val="auto"/>
                      <w:spacing w:val="-4"/>
                      <w:sz w:val="21"/>
                      <w:szCs w:val="21"/>
                    </w:rPr>
                    <w:t>（</w:t>
                  </w:r>
                  <w:r>
                    <w:rPr>
                      <w:rFonts w:ascii="Times New Roman" w:hAnsi="Times New Roman" w:eastAsia="Times New Roman" w:cs="Times New Roman"/>
                      <w:color w:val="auto"/>
                      <w:spacing w:val="-4"/>
                      <w:sz w:val="21"/>
                      <w:szCs w:val="21"/>
                    </w:rPr>
                    <w:t>20/4℃</w:t>
                  </w:r>
                  <w:r>
                    <w:rPr>
                      <w:rFonts w:ascii="宋体" w:hAnsi="宋体" w:eastAsia="宋体" w:cs="宋体"/>
                      <w:color w:val="auto"/>
                      <w:spacing w:val="-4"/>
                      <w:sz w:val="21"/>
                      <w:szCs w:val="21"/>
                    </w:rPr>
                    <w:t>),熔点</w:t>
                  </w:r>
                  <w:r>
                    <w:rPr>
                      <w:rFonts w:ascii="Times New Roman" w:hAnsi="Times New Roman" w:eastAsia="Times New Roman" w:cs="Times New Roman"/>
                      <w:color w:val="auto"/>
                      <w:spacing w:val="-4"/>
                      <w:sz w:val="21"/>
                      <w:szCs w:val="21"/>
                    </w:rPr>
                    <w:t>-117.3℃</w:t>
                  </w:r>
                  <w:r>
                    <w:rPr>
                      <w:rFonts w:hint="eastAsia" w:ascii="宋体" w:hAnsi="宋体" w:eastAsia="宋体" w:cs="宋体"/>
                      <w:color w:val="auto"/>
                      <w:spacing w:val="-4"/>
                      <w:sz w:val="21"/>
                      <w:szCs w:val="21"/>
                      <w:lang w:eastAsia="zh-CN"/>
                    </w:rPr>
                    <w:t>，</w:t>
                  </w:r>
                  <w:r>
                    <w:rPr>
                      <w:rFonts w:ascii="宋体" w:hAnsi="宋体" w:eastAsia="宋体" w:cs="宋体"/>
                      <w:color w:val="auto"/>
                      <w:spacing w:val="-4"/>
                      <w:sz w:val="21"/>
                      <w:szCs w:val="21"/>
                    </w:rPr>
                    <w:t>沸点</w:t>
                  </w:r>
                  <w:r>
                    <w:rPr>
                      <w:rFonts w:ascii="宋体" w:hAnsi="宋体" w:eastAsia="宋体" w:cs="宋体"/>
                      <w:color w:val="auto"/>
                      <w:spacing w:val="-38"/>
                      <w:sz w:val="21"/>
                      <w:szCs w:val="21"/>
                    </w:rPr>
                    <w:t xml:space="preserve"> </w:t>
                  </w:r>
                  <w:r>
                    <w:rPr>
                      <w:rFonts w:ascii="Times New Roman" w:hAnsi="Times New Roman" w:eastAsia="Times New Roman" w:cs="Times New Roman"/>
                      <w:color w:val="auto"/>
                      <w:spacing w:val="-4"/>
                      <w:sz w:val="21"/>
                      <w:szCs w:val="21"/>
                    </w:rPr>
                    <w:t>78.32℃</w:t>
                  </w:r>
                  <w:r>
                    <w:rPr>
                      <w:rFonts w:hint="eastAsia" w:ascii="宋体" w:hAnsi="宋体" w:eastAsia="宋体" w:cs="宋体"/>
                      <w:color w:val="auto"/>
                      <w:spacing w:val="-4"/>
                      <w:sz w:val="21"/>
                      <w:szCs w:val="21"/>
                      <w:lang w:eastAsia="zh-CN"/>
                    </w:rPr>
                    <w:t>，</w:t>
                  </w:r>
                  <w:r>
                    <w:rPr>
                      <w:rFonts w:ascii="宋体" w:hAnsi="宋体" w:eastAsia="宋体" w:cs="宋体"/>
                      <w:color w:val="auto"/>
                      <w:spacing w:val="-4"/>
                      <w:sz w:val="21"/>
                      <w:szCs w:val="21"/>
                    </w:rPr>
                    <w:t>折射</w:t>
                  </w:r>
                  <w:r>
                    <w:rPr>
                      <w:rFonts w:ascii="宋体" w:hAnsi="宋体" w:eastAsia="宋体" w:cs="宋体"/>
                      <w:color w:val="auto"/>
                      <w:spacing w:val="4"/>
                      <w:sz w:val="21"/>
                      <w:szCs w:val="21"/>
                    </w:rPr>
                    <w:t>率</w:t>
                  </w:r>
                  <w:r>
                    <w:rPr>
                      <w:rFonts w:ascii="Times New Roman" w:hAnsi="Times New Roman" w:eastAsia="Times New Roman" w:cs="Times New Roman"/>
                      <w:color w:val="auto"/>
                      <w:spacing w:val="4"/>
                      <w:sz w:val="21"/>
                      <w:szCs w:val="21"/>
                    </w:rPr>
                    <w:t>1.3614</w:t>
                  </w:r>
                  <w:r>
                    <w:rPr>
                      <w:rFonts w:ascii="宋体" w:hAnsi="宋体" w:eastAsia="宋体" w:cs="宋体"/>
                      <w:color w:val="auto"/>
                      <w:spacing w:val="4"/>
                      <w:sz w:val="21"/>
                      <w:szCs w:val="21"/>
                    </w:rPr>
                    <w:t>，闪点（闭杯）</w:t>
                  </w:r>
                  <w:r>
                    <w:rPr>
                      <w:rFonts w:ascii="Times New Roman" w:hAnsi="Times New Roman" w:eastAsia="Times New Roman" w:cs="Times New Roman"/>
                      <w:color w:val="auto"/>
                      <w:spacing w:val="4"/>
                      <w:sz w:val="21"/>
                      <w:szCs w:val="21"/>
                    </w:rPr>
                    <w:t>14℃</w:t>
                  </w:r>
                  <w:r>
                    <w:rPr>
                      <w:rFonts w:ascii="宋体" w:hAnsi="宋体" w:eastAsia="宋体" w:cs="宋体"/>
                      <w:color w:val="auto"/>
                      <w:spacing w:val="4"/>
                      <w:sz w:val="21"/>
                      <w:szCs w:val="21"/>
                    </w:rPr>
                    <w:t>。工业乙</w:t>
                  </w:r>
                  <w:r>
                    <w:rPr>
                      <w:color w:val="auto"/>
                      <w:sz w:val="21"/>
                      <w:szCs w:val="21"/>
                    </w:rPr>
                    <w:fldChar w:fldCharType="begin"/>
                  </w:r>
                  <w:r>
                    <w:rPr>
                      <w:color w:val="auto"/>
                      <w:sz w:val="21"/>
                      <w:szCs w:val="21"/>
                    </w:rPr>
                    <w:instrText xml:space="preserve"> HYPERLINK "http://www.ichemistry.cn/cas/.B4.BC" </w:instrText>
                  </w:r>
                  <w:r>
                    <w:rPr>
                      <w:color w:val="auto"/>
                      <w:sz w:val="21"/>
                      <w:szCs w:val="21"/>
                    </w:rPr>
                    <w:fldChar w:fldCharType="separate"/>
                  </w:r>
                  <w:r>
                    <w:rPr>
                      <w:rFonts w:ascii="宋体" w:hAnsi="宋体" w:eastAsia="宋体" w:cs="宋体"/>
                      <w:color w:val="auto"/>
                      <w:spacing w:val="4"/>
                      <w:sz w:val="21"/>
                      <w:szCs w:val="21"/>
                    </w:rPr>
                    <w:t>醇</w:t>
                  </w:r>
                  <w:r>
                    <w:rPr>
                      <w:rFonts w:ascii="宋体" w:hAnsi="宋体" w:eastAsia="宋体" w:cs="宋体"/>
                      <w:color w:val="auto"/>
                      <w:spacing w:val="4"/>
                      <w:sz w:val="21"/>
                      <w:szCs w:val="21"/>
                    </w:rPr>
                    <w:fldChar w:fldCharType="end"/>
                  </w:r>
                  <w:r>
                    <w:rPr>
                      <w:rFonts w:ascii="宋体" w:hAnsi="宋体" w:eastAsia="宋体" w:cs="宋体"/>
                      <w:color w:val="auto"/>
                      <w:spacing w:val="4"/>
                      <w:sz w:val="21"/>
                      <w:szCs w:val="21"/>
                    </w:rPr>
                    <w:t>（含</w:t>
                  </w:r>
                  <w:r>
                    <w:rPr>
                      <w:rFonts w:ascii="宋体" w:hAnsi="宋体" w:eastAsia="宋体" w:cs="宋体"/>
                      <w:color w:val="auto"/>
                      <w:spacing w:val="3"/>
                      <w:sz w:val="21"/>
                      <w:szCs w:val="21"/>
                    </w:rPr>
                    <w:t>乙醇</w:t>
                  </w:r>
                  <w:r>
                    <w:rPr>
                      <w:rFonts w:ascii="Times New Roman" w:hAnsi="Times New Roman" w:eastAsia="Times New Roman" w:cs="Times New Roman"/>
                      <w:color w:val="auto"/>
                      <w:spacing w:val="3"/>
                      <w:sz w:val="21"/>
                      <w:szCs w:val="21"/>
                    </w:rPr>
                    <w:t>95</w:t>
                  </w:r>
                  <w:r>
                    <w:rPr>
                      <w:rFonts w:ascii="宋体" w:hAnsi="宋体" w:eastAsia="宋体" w:cs="宋体"/>
                      <w:color w:val="auto"/>
                      <w:spacing w:val="3"/>
                      <w:sz w:val="21"/>
                      <w:szCs w:val="21"/>
                    </w:rPr>
                    <w:t>）折射率</w:t>
                  </w:r>
                  <w:r>
                    <w:rPr>
                      <w:rFonts w:ascii="Times New Roman" w:hAnsi="Times New Roman" w:eastAsia="Times New Roman" w:cs="Times New Roman"/>
                      <w:color w:val="auto"/>
                      <w:spacing w:val="3"/>
                      <w:sz w:val="21"/>
                      <w:szCs w:val="21"/>
                    </w:rPr>
                    <w:t>1.3651</w:t>
                  </w:r>
                  <w:r>
                    <w:rPr>
                      <w:rFonts w:ascii="宋体" w:hAnsi="宋体" w:eastAsia="宋体" w:cs="宋体"/>
                      <w:color w:val="auto"/>
                      <w:spacing w:val="3"/>
                      <w:sz w:val="21"/>
                      <w:szCs w:val="21"/>
                    </w:rPr>
                    <w:t>，表面张力（</w:t>
                  </w:r>
                  <w:r>
                    <w:rPr>
                      <w:rFonts w:ascii="Times New Roman" w:hAnsi="Times New Roman" w:eastAsia="Times New Roman" w:cs="Times New Roman"/>
                      <w:color w:val="auto"/>
                      <w:spacing w:val="3"/>
                      <w:sz w:val="21"/>
                      <w:szCs w:val="21"/>
                    </w:rPr>
                    <w:t>20℃</w:t>
                  </w:r>
                  <w:r>
                    <w:rPr>
                      <w:rFonts w:ascii="宋体" w:hAnsi="宋体" w:eastAsia="宋体" w:cs="宋体"/>
                      <w:color w:val="auto"/>
                      <w:spacing w:val="3"/>
                      <w:sz w:val="21"/>
                      <w:szCs w:val="21"/>
                    </w:rPr>
                    <w:t>)</w:t>
                  </w:r>
                  <w:r>
                    <w:rPr>
                      <w:rFonts w:ascii="Times New Roman" w:hAnsi="Times New Roman" w:eastAsia="Times New Roman" w:cs="Times New Roman"/>
                      <w:color w:val="auto"/>
                      <w:spacing w:val="2"/>
                      <w:sz w:val="21"/>
                      <w:szCs w:val="21"/>
                    </w:rPr>
                    <w:t>22.8</w:t>
                  </w:r>
                  <w:r>
                    <w:rPr>
                      <w:rFonts w:ascii="Times New Roman" w:hAnsi="Times New Roman" w:eastAsia="Times New Roman" w:cs="Times New Roman"/>
                      <w:color w:val="auto"/>
                      <w:sz w:val="21"/>
                      <w:szCs w:val="21"/>
                    </w:rPr>
                    <w:t>mN</w:t>
                  </w:r>
                  <w:r>
                    <w:rPr>
                      <w:rFonts w:ascii="Times New Roman" w:hAnsi="Times New Roman" w:eastAsia="Times New Roman" w:cs="Times New Roman"/>
                      <w:color w:val="auto"/>
                      <w:spacing w:val="2"/>
                      <w:sz w:val="21"/>
                      <w:szCs w:val="21"/>
                    </w:rPr>
                    <w:t>/m</w:t>
                  </w:r>
                  <w:r>
                    <w:rPr>
                      <w:rFonts w:ascii="宋体" w:hAnsi="宋体" w:eastAsia="宋体" w:cs="宋体"/>
                      <w:color w:val="auto"/>
                      <w:spacing w:val="2"/>
                      <w:sz w:val="21"/>
                      <w:szCs w:val="21"/>
                    </w:rPr>
                    <w:t>，粘度（</w:t>
                  </w:r>
                  <w:r>
                    <w:rPr>
                      <w:rFonts w:ascii="Times New Roman" w:hAnsi="Times New Roman" w:eastAsia="Times New Roman" w:cs="Times New Roman"/>
                      <w:color w:val="auto"/>
                      <w:spacing w:val="2"/>
                      <w:sz w:val="21"/>
                      <w:szCs w:val="21"/>
                    </w:rPr>
                    <w:t>20℃</w:t>
                  </w:r>
                  <w:r>
                    <w:rPr>
                      <w:rFonts w:ascii="宋体" w:hAnsi="宋体" w:eastAsia="宋体" w:cs="宋体"/>
                      <w:color w:val="auto"/>
                      <w:spacing w:val="2"/>
                      <w:sz w:val="21"/>
                      <w:szCs w:val="21"/>
                    </w:rPr>
                    <w:t>)</w:t>
                  </w:r>
                  <w:r>
                    <w:rPr>
                      <w:rFonts w:ascii="Times New Roman" w:hAnsi="Times New Roman" w:eastAsia="Times New Roman" w:cs="Times New Roman"/>
                      <w:color w:val="auto"/>
                      <w:spacing w:val="2"/>
                      <w:sz w:val="21"/>
                      <w:szCs w:val="21"/>
                    </w:rPr>
                    <w:t>1.41</w:t>
                  </w:r>
                  <w:r>
                    <w:rPr>
                      <w:rFonts w:ascii="Times New Roman" w:hAnsi="Times New Roman" w:eastAsia="Times New Roman" w:cs="Times New Roman"/>
                      <w:color w:val="auto"/>
                      <w:sz w:val="21"/>
                      <w:szCs w:val="21"/>
                    </w:rPr>
                    <w:t>mPa</w:t>
                  </w:r>
                  <w:r>
                    <w:rPr>
                      <w:rFonts w:ascii="Times New Roman" w:hAnsi="Times New Roman" w:eastAsia="Times New Roman" w:cs="Times New Roman"/>
                      <w:color w:val="auto"/>
                      <w:spacing w:val="2"/>
                      <w:sz w:val="21"/>
                      <w:szCs w:val="21"/>
                    </w:rPr>
                    <w:t>·</w:t>
                  </w:r>
                  <w:r>
                    <w:rPr>
                      <w:rFonts w:ascii="Times New Roman" w:hAnsi="Times New Roman" w:eastAsia="Times New Roman" w:cs="Times New Roman"/>
                      <w:color w:val="auto"/>
                      <w:spacing w:val="-39"/>
                      <w:sz w:val="21"/>
                      <w:szCs w:val="21"/>
                    </w:rPr>
                    <w:t xml:space="preserve"> </w:t>
                  </w:r>
                  <w:r>
                    <w:rPr>
                      <w:rFonts w:ascii="Times New Roman" w:hAnsi="Times New Roman" w:eastAsia="Times New Roman" w:cs="Times New Roman"/>
                      <w:color w:val="auto"/>
                      <w:spacing w:val="2"/>
                      <w:sz w:val="21"/>
                      <w:szCs w:val="21"/>
                    </w:rPr>
                    <w:t>s</w:t>
                  </w:r>
                  <w:r>
                    <w:rPr>
                      <w:rFonts w:ascii="宋体" w:hAnsi="宋体" w:eastAsia="宋体" w:cs="宋体"/>
                      <w:color w:val="auto"/>
                      <w:spacing w:val="2"/>
                      <w:sz w:val="21"/>
                      <w:szCs w:val="21"/>
                    </w:rPr>
                    <w:t>，蒸气压</w:t>
                  </w:r>
                  <w:r>
                    <w:rPr>
                      <w:rFonts w:ascii="宋体" w:hAnsi="宋体" w:eastAsia="宋体" w:cs="宋体"/>
                      <w:color w:val="auto"/>
                      <w:spacing w:val="1"/>
                      <w:sz w:val="21"/>
                      <w:szCs w:val="21"/>
                    </w:rPr>
                    <w:t>（</w:t>
                  </w:r>
                  <w:r>
                    <w:rPr>
                      <w:rFonts w:ascii="Times New Roman" w:hAnsi="Times New Roman" w:eastAsia="Times New Roman" w:cs="Times New Roman"/>
                      <w:color w:val="auto"/>
                      <w:spacing w:val="1"/>
                      <w:sz w:val="21"/>
                      <w:szCs w:val="21"/>
                    </w:rPr>
                    <w:t>20℃</w:t>
                  </w:r>
                  <w:r>
                    <w:rPr>
                      <w:rFonts w:ascii="宋体" w:hAnsi="宋体" w:eastAsia="宋体" w:cs="宋体"/>
                      <w:color w:val="auto"/>
                      <w:spacing w:val="1"/>
                      <w:sz w:val="21"/>
                      <w:szCs w:val="21"/>
                    </w:rPr>
                    <w:t>)</w:t>
                  </w:r>
                  <w:r>
                    <w:rPr>
                      <w:rFonts w:ascii="Times New Roman" w:hAnsi="Times New Roman" w:eastAsia="Times New Roman" w:cs="Times New Roman"/>
                      <w:color w:val="auto"/>
                      <w:spacing w:val="1"/>
                      <w:sz w:val="21"/>
                      <w:szCs w:val="21"/>
                    </w:rPr>
                    <w:t>5.732</w:t>
                  </w:r>
                  <w:r>
                    <w:rPr>
                      <w:rFonts w:ascii="Times New Roman" w:hAnsi="Times New Roman" w:eastAsia="Times New Roman" w:cs="Times New Roman"/>
                      <w:color w:val="auto"/>
                      <w:sz w:val="21"/>
                      <w:szCs w:val="21"/>
                    </w:rPr>
                    <w:t>kPa</w:t>
                  </w:r>
                  <w:r>
                    <w:rPr>
                      <w:rFonts w:ascii="宋体" w:hAnsi="宋体" w:eastAsia="宋体" w:cs="宋体"/>
                      <w:color w:val="auto"/>
                      <w:spacing w:val="1"/>
                      <w:sz w:val="21"/>
                      <w:szCs w:val="21"/>
                    </w:rPr>
                    <w:t>，比热容（</w:t>
                  </w:r>
                  <w:r>
                    <w:rPr>
                      <w:rFonts w:ascii="Times New Roman" w:hAnsi="Times New Roman" w:eastAsia="Times New Roman" w:cs="Times New Roman"/>
                      <w:color w:val="auto"/>
                      <w:spacing w:val="1"/>
                      <w:sz w:val="21"/>
                      <w:szCs w:val="21"/>
                    </w:rPr>
                    <w:t>23℃</w:t>
                  </w:r>
                  <w:r>
                    <w:rPr>
                      <w:rFonts w:ascii="宋体" w:hAnsi="宋体" w:eastAsia="宋体" w:cs="宋体"/>
                      <w:color w:val="auto"/>
                      <w:spacing w:val="1"/>
                      <w:sz w:val="21"/>
                      <w:szCs w:val="21"/>
                    </w:rPr>
                    <w:t>)</w:t>
                  </w:r>
                  <w:r>
                    <w:rPr>
                      <w:rFonts w:ascii="Times New Roman" w:hAnsi="Times New Roman" w:eastAsia="Times New Roman" w:cs="Times New Roman"/>
                      <w:color w:val="auto"/>
                      <w:spacing w:val="1"/>
                      <w:sz w:val="21"/>
                      <w:szCs w:val="21"/>
                    </w:rPr>
                    <w:t>2.58J/(g·℃</w:t>
                  </w:r>
                  <w:r>
                    <w:rPr>
                      <w:rFonts w:ascii="宋体" w:hAnsi="宋体" w:eastAsia="宋体" w:cs="宋体"/>
                      <w:color w:val="auto"/>
                      <w:spacing w:val="1"/>
                      <w:sz w:val="21"/>
                      <w:szCs w:val="21"/>
                    </w:rPr>
                    <w:t>)</w:t>
                  </w:r>
                  <w:r>
                    <w:rPr>
                      <w:rFonts w:hint="eastAsia" w:ascii="宋体" w:hAnsi="宋体" w:eastAsia="宋体" w:cs="宋体"/>
                      <w:color w:val="auto"/>
                      <w:spacing w:val="1"/>
                      <w:sz w:val="21"/>
                      <w:szCs w:val="21"/>
                      <w:lang w:eastAsia="zh-CN"/>
                    </w:rPr>
                    <w:t>，</w:t>
                  </w:r>
                  <w:r>
                    <w:rPr>
                      <w:rFonts w:ascii="宋体" w:hAnsi="宋体" w:eastAsia="宋体" w:cs="宋体"/>
                      <w:color w:val="auto"/>
                      <w:spacing w:val="-1"/>
                      <w:sz w:val="21"/>
                      <w:szCs w:val="21"/>
                    </w:rPr>
                    <w:t>闪点</w:t>
                  </w:r>
                  <w:r>
                    <w:rPr>
                      <w:rFonts w:ascii="Times New Roman" w:hAnsi="Times New Roman" w:eastAsia="Times New Roman" w:cs="Times New Roman"/>
                      <w:color w:val="auto"/>
                      <w:spacing w:val="-1"/>
                      <w:sz w:val="21"/>
                      <w:szCs w:val="21"/>
                    </w:rPr>
                    <w:t>12.8℃</w:t>
                  </w:r>
                  <w:r>
                    <w:rPr>
                      <w:rFonts w:hint="eastAsia" w:ascii="Times New Roman" w:hAnsi="Times New Roman" w:eastAsia="宋体" w:cs="Times New Roman"/>
                      <w:color w:val="auto"/>
                      <w:spacing w:val="-23"/>
                      <w:sz w:val="21"/>
                      <w:szCs w:val="21"/>
                      <w:lang w:eastAsia="zh-CN"/>
                    </w:rPr>
                    <w:t>，</w:t>
                  </w:r>
                  <w:r>
                    <w:rPr>
                      <w:rFonts w:ascii="宋体" w:hAnsi="宋体" w:eastAsia="宋体" w:cs="宋体"/>
                      <w:color w:val="auto"/>
                      <w:spacing w:val="-1"/>
                      <w:sz w:val="21"/>
                      <w:szCs w:val="21"/>
                    </w:rPr>
                    <w:t>相对密度</w:t>
                  </w:r>
                  <w:r>
                    <w:rPr>
                      <w:rFonts w:ascii="宋体" w:hAnsi="宋体" w:eastAsia="宋体" w:cs="宋体"/>
                      <w:color w:val="auto"/>
                      <w:spacing w:val="-39"/>
                      <w:sz w:val="21"/>
                      <w:szCs w:val="21"/>
                    </w:rPr>
                    <w:t xml:space="preserve"> </w:t>
                  </w:r>
                  <w:r>
                    <w:rPr>
                      <w:rFonts w:ascii="Times New Roman" w:hAnsi="Times New Roman" w:eastAsia="Times New Roman" w:cs="Times New Roman"/>
                      <w:color w:val="auto"/>
                      <w:spacing w:val="-1"/>
                      <w:sz w:val="21"/>
                      <w:szCs w:val="21"/>
                    </w:rPr>
                    <w:t>0.816</w:t>
                  </w:r>
                  <w:r>
                    <w:rPr>
                      <w:rFonts w:ascii="宋体" w:hAnsi="宋体" w:eastAsia="宋体" w:cs="宋体"/>
                      <w:color w:val="auto"/>
                      <w:spacing w:val="-1"/>
                      <w:sz w:val="21"/>
                      <w:szCs w:val="21"/>
                    </w:rPr>
                    <w:t>，沸点</w:t>
                  </w:r>
                  <w:r>
                    <w:rPr>
                      <w:rFonts w:ascii="宋体" w:hAnsi="宋体" w:eastAsia="宋体" w:cs="宋体"/>
                      <w:color w:val="auto"/>
                      <w:spacing w:val="-40"/>
                      <w:sz w:val="21"/>
                      <w:szCs w:val="21"/>
                    </w:rPr>
                    <w:t xml:space="preserve"> </w:t>
                  </w:r>
                  <w:r>
                    <w:rPr>
                      <w:rFonts w:ascii="Times New Roman" w:hAnsi="Times New Roman" w:eastAsia="Times New Roman" w:cs="Times New Roman"/>
                      <w:color w:val="auto"/>
                      <w:spacing w:val="-1"/>
                      <w:sz w:val="21"/>
                      <w:szCs w:val="21"/>
                    </w:rPr>
                    <w:t>78.15℃</w:t>
                  </w:r>
                  <w:r>
                    <w:rPr>
                      <w:rFonts w:hint="eastAsia" w:ascii="宋体" w:hAnsi="宋体" w:eastAsia="宋体" w:cs="宋体"/>
                      <w:color w:val="auto"/>
                      <w:spacing w:val="-1"/>
                      <w:sz w:val="21"/>
                      <w:szCs w:val="21"/>
                      <w:lang w:eastAsia="zh-CN"/>
                    </w:rPr>
                    <w:t>，</w:t>
                  </w:r>
                  <w:r>
                    <w:rPr>
                      <w:rFonts w:ascii="宋体" w:hAnsi="宋体" w:eastAsia="宋体" w:cs="宋体"/>
                      <w:color w:val="auto"/>
                      <w:spacing w:val="-2"/>
                      <w:sz w:val="21"/>
                      <w:szCs w:val="21"/>
                    </w:rPr>
                    <w:t>凝固点</w:t>
                  </w:r>
                  <w:r>
                    <w:rPr>
                      <w:rFonts w:ascii="Times New Roman" w:hAnsi="Times New Roman" w:eastAsia="Times New Roman" w:cs="Times New Roman"/>
                      <w:color w:val="auto"/>
                      <w:spacing w:val="-2"/>
                      <w:sz w:val="21"/>
                      <w:szCs w:val="21"/>
                    </w:rPr>
                    <w:t>-114℃</w:t>
                  </w:r>
                  <w:r>
                    <w:rPr>
                      <w:rFonts w:ascii="宋体" w:hAnsi="宋体" w:eastAsia="宋体" w:cs="宋体"/>
                      <w:color w:val="auto"/>
                      <w:spacing w:val="-2"/>
                      <w:sz w:val="21"/>
                      <w:szCs w:val="21"/>
                    </w:rPr>
                    <w:t>,自燃点</w:t>
                  </w:r>
                  <w:r>
                    <w:rPr>
                      <w:rFonts w:ascii="宋体" w:hAnsi="宋体" w:eastAsia="宋体" w:cs="宋体"/>
                      <w:color w:val="auto"/>
                      <w:spacing w:val="-39"/>
                      <w:sz w:val="21"/>
                      <w:szCs w:val="21"/>
                    </w:rPr>
                    <w:t xml:space="preserve"> </w:t>
                  </w:r>
                  <w:r>
                    <w:rPr>
                      <w:rFonts w:ascii="Times New Roman" w:hAnsi="Times New Roman" w:eastAsia="Times New Roman" w:cs="Times New Roman"/>
                      <w:color w:val="auto"/>
                      <w:spacing w:val="-2"/>
                      <w:sz w:val="21"/>
                      <w:szCs w:val="21"/>
                    </w:rPr>
                    <w:t>793℃</w:t>
                  </w:r>
                  <w:r>
                    <w:rPr>
                      <w:rFonts w:ascii="宋体" w:hAnsi="宋体" w:eastAsia="宋体" w:cs="宋体"/>
                      <w:color w:val="auto"/>
                      <w:spacing w:val="-2"/>
                      <w:sz w:val="21"/>
                      <w:szCs w:val="21"/>
                    </w:rPr>
                    <w:t>。</w:t>
                  </w:r>
                </w:p>
              </w:tc>
            </w:tr>
            <w:tr w14:paraId="2D2CBA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199209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c>
                <w:tcPr>
                  <w:tcW w:w="701" w:type="pct"/>
                  <w:tcBorders>
                    <w:tl2br w:val="nil"/>
                    <w:tr2bl w:val="nil"/>
                  </w:tcBorders>
                  <w:vAlign w:val="center"/>
                </w:tcPr>
                <w:p w14:paraId="694595C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5"/>
                      <w:sz w:val="21"/>
                      <w:szCs w:val="21"/>
                    </w:rPr>
                    <w:t>镁条</w:t>
                  </w:r>
                </w:p>
              </w:tc>
              <w:tc>
                <w:tcPr>
                  <w:tcW w:w="690" w:type="pct"/>
                  <w:tcBorders>
                    <w:tl2br w:val="nil"/>
                    <w:tr2bl w:val="nil"/>
                  </w:tcBorders>
                  <w:vAlign w:val="center"/>
                </w:tcPr>
                <w:p w14:paraId="314388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7439-95-4</w:t>
                  </w:r>
                </w:p>
              </w:tc>
              <w:tc>
                <w:tcPr>
                  <w:tcW w:w="3187" w:type="pct"/>
                  <w:tcBorders>
                    <w:tl2br w:val="nil"/>
                    <w:tr2bl w:val="nil"/>
                  </w:tcBorders>
                  <w:vAlign w:val="center"/>
                </w:tcPr>
                <w:p w14:paraId="5EB3A57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6"/>
                      <w:sz w:val="21"/>
                      <w:szCs w:val="21"/>
                    </w:rPr>
                    <w:t>银白色金属（六方晶系）。熔点</w:t>
                  </w:r>
                  <w:r>
                    <w:rPr>
                      <w:rFonts w:ascii="Times New Roman" w:hAnsi="Times New Roman" w:eastAsia="Times New Roman" w:cs="Times New Roman"/>
                      <w:color w:val="auto"/>
                      <w:spacing w:val="6"/>
                      <w:sz w:val="21"/>
                      <w:szCs w:val="21"/>
                    </w:rPr>
                    <w:t>648.5℃</w:t>
                  </w:r>
                  <w:r>
                    <w:rPr>
                      <w:rFonts w:ascii="宋体" w:hAnsi="宋体" w:eastAsia="宋体" w:cs="宋体"/>
                      <w:color w:val="auto"/>
                      <w:spacing w:val="6"/>
                      <w:sz w:val="21"/>
                      <w:szCs w:val="21"/>
                    </w:rPr>
                    <w:t>。沸点</w:t>
                  </w:r>
                  <w:r>
                    <w:rPr>
                      <w:rFonts w:ascii="Times New Roman" w:hAnsi="Times New Roman" w:eastAsia="Times New Roman" w:cs="Times New Roman"/>
                      <w:color w:val="auto"/>
                      <w:spacing w:val="3"/>
                      <w:sz w:val="21"/>
                      <w:szCs w:val="21"/>
                    </w:rPr>
                    <w:t>1107℃</w:t>
                  </w:r>
                  <w:r>
                    <w:rPr>
                      <w:rFonts w:ascii="宋体" w:hAnsi="宋体" w:eastAsia="宋体" w:cs="宋体"/>
                      <w:color w:val="auto"/>
                      <w:spacing w:val="3"/>
                      <w:sz w:val="21"/>
                      <w:szCs w:val="21"/>
                    </w:rPr>
                    <w:t>。相对密度</w:t>
                  </w:r>
                  <w:r>
                    <w:rPr>
                      <w:rFonts w:ascii="Times New Roman" w:hAnsi="Times New Roman" w:eastAsia="Times New Roman" w:cs="Times New Roman"/>
                      <w:color w:val="auto"/>
                      <w:spacing w:val="3"/>
                      <w:sz w:val="21"/>
                      <w:szCs w:val="21"/>
                    </w:rPr>
                    <w:t>1.74g/</w:t>
                  </w:r>
                  <w:r>
                    <w:rPr>
                      <w:rFonts w:ascii="Times New Roman" w:hAnsi="Times New Roman" w:eastAsia="Times New Roman" w:cs="Times New Roman"/>
                      <w:color w:val="auto"/>
                      <w:sz w:val="21"/>
                      <w:szCs w:val="21"/>
                    </w:rPr>
                    <w:t>cm</w:t>
                  </w:r>
                  <w:r>
                    <w:rPr>
                      <w:rFonts w:ascii="Times New Roman" w:hAnsi="Times New Roman" w:eastAsia="Times New Roman" w:cs="Times New Roman"/>
                      <w:color w:val="auto"/>
                      <w:spacing w:val="3"/>
                      <w:sz w:val="21"/>
                      <w:szCs w:val="21"/>
                    </w:rPr>
                    <w:t>³</w:t>
                  </w:r>
                  <w:r>
                    <w:rPr>
                      <w:rFonts w:ascii="宋体" w:hAnsi="宋体" w:eastAsia="宋体" w:cs="宋体"/>
                      <w:color w:val="auto"/>
                      <w:spacing w:val="3"/>
                      <w:sz w:val="21"/>
                      <w:szCs w:val="21"/>
                    </w:rPr>
                    <w:t>。溶于无机酸、铵</w:t>
                  </w:r>
                  <w:r>
                    <w:rPr>
                      <w:rFonts w:ascii="宋体" w:hAnsi="宋体" w:eastAsia="宋体" w:cs="宋体"/>
                      <w:color w:val="auto"/>
                      <w:spacing w:val="4"/>
                      <w:sz w:val="21"/>
                      <w:szCs w:val="21"/>
                    </w:rPr>
                    <w:t>盐类，不溶于冷水、铬酸酐、碱。遇热水分解生成氢氧化镁。在干燥空气中并不丧失光泽，但在潮湿空气中氧化成灰色氧化膜。块状在常温下稳定，但粉末及碎屑有着火的危险，处理时应加注意。在高温时，块状除此以外容易氧化燃烧，应</w:t>
                  </w:r>
                  <w:r>
                    <w:rPr>
                      <w:rFonts w:ascii="宋体" w:hAnsi="宋体" w:eastAsia="宋体" w:cs="宋体"/>
                      <w:color w:val="auto"/>
                      <w:spacing w:val="9"/>
                      <w:sz w:val="21"/>
                      <w:szCs w:val="21"/>
                    </w:rPr>
                    <w:t>该在二氧化硫或六氟化硫气氛的保护下进行热</w:t>
                  </w:r>
                  <w:r>
                    <w:rPr>
                      <w:rFonts w:ascii="宋体" w:hAnsi="宋体" w:eastAsia="宋体" w:cs="宋体"/>
                      <w:color w:val="auto"/>
                      <w:spacing w:val="6"/>
                      <w:sz w:val="21"/>
                      <w:szCs w:val="21"/>
                    </w:rPr>
                    <w:t>处理等操作。</w:t>
                  </w:r>
                </w:p>
              </w:tc>
            </w:tr>
            <w:tr w14:paraId="0CB60D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51A298E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c>
                <w:tcPr>
                  <w:tcW w:w="701" w:type="pct"/>
                  <w:tcBorders>
                    <w:tl2br w:val="nil"/>
                    <w:tr2bl w:val="nil"/>
                  </w:tcBorders>
                  <w:vAlign w:val="center"/>
                </w:tcPr>
                <w:p w14:paraId="6D0AE2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5"/>
                      <w:sz w:val="21"/>
                      <w:szCs w:val="21"/>
                    </w:rPr>
                    <w:t>锌片</w:t>
                  </w:r>
                </w:p>
              </w:tc>
              <w:tc>
                <w:tcPr>
                  <w:tcW w:w="690" w:type="pct"/>
                  <w:tcBorders>
                    <w:tl2br w:val="nil"/>
                    <w:tr2bl w:val="nil"/>
                  </w:tcBorders>
                  <w:vAlign w:val="center"/>
                </w:tcPr>
                <w:p w14:paraId="3CDBD15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7440-66-6</w:t>
                  </w:r>
                </w:p>
              </w:tc>
              <w:tc>
                <w:tcPr>
                  <w:tcW w:w="3187" w:type="pct"/>
                  <w:tcBorders>
                    <w:tl2br w:val="nil"/>
                    <w:tr2bl w:val="nil"/>
                  </w:tcBorders>
                  <w:vAlign w:val="center"/>
                </w:tcPr>
                <w:p w14:paraId="4E0DF9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锌为蓝白色金属（紧密堆积六方晶系）。粉末为</w:t>
                  </w:r>
                  <w:r>
                    <w:rPr>
                      <w:rFonts w:ascii="宋体" w:hAnsi="宋体" w:eastAsia="宋体" w:cs="宋体"/>
                      <w:color w:val="auto"/>
                      <w:sz w:val="21"/>
                      <w:szCs w:val="21"/>
                    </w:rPr>
                    <w:t>浅灰色的细小粉末。熔点</w:t>
                  </w:r>
                  <w:r>
                    <w:rPr>
                      <w:rFonts w:ascii="宋体" w:hAnsi="宋体" w:eastAsia="宋体" w:cs="宋体"/>
                      <w:color w:val="auto"/>
                      <w:spacing w:val="-36"/>
                      <w:sz w:val="21"/>
                      <w:szCs w:val="21"/>
                    </w:rPr>
                    <w:t xml:space="preserve"> </w:t>
                  </w:r>
                  <w:r>
                    <w:rPr>
                      <w:rFonts w:ascii="Times New Roman" w:hAnsi="Times New Roman" w:eastAsia="Times New Roman" w:cs="Times New Roman"/>
                      <w:color w:val="auto"/>
                      <w:sz w:val="21"/>
                      <w:szCs w:val="21"/>
                    </w:rPr>
                    <w:t>419.58℃</w:t>
                  </w:r>
                  <w:r>
                    <w:rPr>
                      <w:rFonts w:ascii="宋体" w:hAnsi="宋体" w:eastAsia="宋体" w:cs="宋体"/>
                      <w:color w:val="auto"/>
                      <w:sz w:val="21"/>
                      <w:szCs w:val="21"/>
                    </w:rPr>
                    <w:t>。沸点</w:t>
                  </w:r>
                  <w:r>
                    <w:rPr>
                      <w:rFonts w:ascii="宋体" w:hAnsi="宋体" w:eastAsia="宋体" w:cs="宋体"/>
                      <w:color w:val="auto"/>
                      <w:spacing w:val="-36"/>
                      <w:sz w:val="21"/>
                      <w:szCs w:val="21"/>
                    </w:rPr>
                    <w:t xml:space="preserve"> </w:t>
                  </w:r>
                  <w:r>
                    <w:rPr>
                      <w:rFonts w:ascii="Times New Roman" w:hAnsi="Times New Roman" w:eastAsia="Times New Roman" w:cs="Times New Roman"/>
                      <w:color w:val="auto"/>
                      <w:sz w:val="21"/>
                      <w:szCs w:val="21"/>
                    </w:rPr>
                    <w:t>907℃</w:t>
                  </w:r>
                  <w:r>
                    <w:rPr>
                      <w:rFonts w:ascii="宋体" w:hAnsi="宋体" w:eastAsia="宋体" w:cs="宋体"/>
                      <w:color w:val="auto"/>
                      <w:sz w:val="21"/>
                      <w:szCs w:val="21"/>
                    </w:rPr>
                    <w:t>。</w:t>
                  </w:r>
                  <w:r>
                    <w:rPr>
                      <w:rFonts w:ascii="宋体" w:hAnsi="宋体" w:eastAsia="宋体" w:cs="宋体"/>
                      <w:color w:val="auto"/>
                      <w:spacing w:val="1"/>
                      <w:sz w:val="21"/>
                      <w:szCs w:val="21"/>
                    </w:rPr>
                    <w:t>相对密度</w:t>
                  </w:r>
                  <w:r>
                    <w:rPr>
                      <w:rFonts w:ascii="宋体" w:hAnsi="宋体" w:eastAsia="宋体" w:cs="宋体"/>
                      <w:color w:val="auto"/>
                      <w:spacing w:val="-34"/>
                      <w:sz w:val="21"/>
                      <w:szCs w:val="21"/>
                    </w:rPr>
                    <w:t xml:space="preserve"> </w:t>
                  </w:r>
                  <w:r>
                    <w:rPr>
                      <w:rFonts w:ascii="Times New Roman" w:hAnsi="Times New Roman" w:eastAsia="Times New Roman" w:cs="Times New Roman"/>
                      <w:color w:val="auto"/>
                      <w:spacing w:val="1"/>
                      <w:sz w:val="21"/>
                      <w:szCs w:val="21"/>
                    </w:rPr>
                    <w:t>7.14</w:t>
                  </w:r>
                  <w:r>
                    <w:rPr>
                      <w:rFonts w:ascii="宋体" w:hAnsi="宋体" w:eastAsia="宋体" w:cs="宋体"/>
                      <w:color w:val="auto"/>
                      <w:spacing w:val="1"/>
                      <w:sz w:val="21"/>
                      <w:szCs w:val="21"/>
                    </w:rPr>
                    <w:t>。蒸汽压</w:t>
                  </w:r>
                  <w:r>
                    <w:rPr>
                      <w:rFonts w:ascii="宋体" w:hAnsi="宋体" w:eastAsia="宋体" w:cs="宋体"/>
                      <w:color w:val="auto"/>
                      <w:spacing w:val="-39"/>
                      <w:sz w:val="21"/>
                      <w:szCs w:val="21"/>
                    </w:rPr>
                    <w:t xml:space="preserve"> </w:t>
                  </w:r>
                  <w:r>
                    <w:rPr>
                      <w:rFonts w:ascii="Times New Roman" w:hAnsi="Times New Roman" w:eastAsia="Times New Roman" w:cs="Times New Roman"/>
                      <w:color w:val="auto"/>
                      <w:spacing w:val="1"/>
                      <w:sz w:val="21"/>
                      <w:szCs w:val="21"/>
                    </w:rPr>
                    <w:t>0.13</w:t>
                  </w:r>
                  <w:r>
                    <w:rPr>
                      <w:rFonts w:ascii="Times New Roman" w:hAnsi="Times New Roman" w:eastAsia="Times New Roman" w:cs="Times New Roman"/>
                      <w:color w:val="auto"/>
                      <w:sz w:val="21"/>
                      <w:szCs w:val="21"/>
                    </w:rPr>
                    <w:t>kPa</w:t>
                  </w:r>
                  <w:r>
                    <w:rPr>
                      <w:rFonts w:hint="eastAsia" w:ascii="Times New Roman" w:hAnsi="Times New Roman" w:eastAsia="宋体" w:cs="Times New Roman"/>
                      <w:color w:val="auto"/>
                      <w:spacing w:val="1"/>
                      <w:sz w:val="21"/>
                      <w:szCs w:val="21"/>
                      <w:lang w:eastAsia="zh-CN"/>
                    </w:rPr>
                    <w:t>（</w:t>
                  </w:r>
                  <w:r>
                    <w:rPr>
                      <w:rFonts w:ascii="Times New Roman" w:hAnsi="Times New Roman" w:eastAsia="Times New Roman" w:cs="Times New Roman"/>
                      <w:color w:val="auto"/>
                      <w:spacing w:val="1"/>
                      <w:sz w:val="21"/>
                      <w:szCs w:val="21"/>
                    </w:rPr>
                    <w:t>487℃</w:t>
                  </w:r>
                  <w:r>
                    <w:rPr>
                      <w:rFonts w:hint="eastAsia" w:ascii="Times New Roman" w:hAnsi="Times New Roman" w:eastAsia="宋体" w:cs="Times New Roman"/>
                      <w:color w:val="auto"/>
                      <w:spacing w:val="1"/>
                      <w:sz w:val="21"/>
                      <w:szCs w:val="21"/>
                      <w:lang w:eastAsia="zh-CN"/>
                    </w:rPr>
                    <w:t>）</w:t>
                  </w:r>
                  <w:r>
                    <w:rPr>
                      <w:rFonts w:ascii="宋体" w:hAnsi="宋体" w:eastAsia="宋体" w:cs="宋体"/>
                      <w:color w:val="auto"/>
                      <w:spacing w:val="1"/>
                      <w:sz w:val="21"/>
                      <w:szCs w:val="21"/>
                    </w:rPr>
                    <w:t>。溶于无</w:t>
                  </w:r>
                  <w:r>
                    <w:rPr>
                      <w:rFonts w:ascii="宋体" w:hAnsi="宋体" w:eastAsia="宋体" w:cs="宋体"/>
                      <w:color w:val="auto"/>
                      <w:spacing w:val="8"/>
                      <w:sz w:val="21"/>
                      <w:szCs w:val="21"/>
                    </w:rPr>
                    <w:t>机酸、碱、醋酸，不溶于水。</w:t>
                  </w:r>
                </w:p>
              </w:tc>
            </w:tr>
            <w:tr w14:paraId="25360B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6AEC0F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9</w:t>
                  </w:r>
                </w:p>
              </w:tc>
              <w:tc>
                <w:tcPr>
                  <w:tcW w:w="701" w:type="pct"/>
                  <w:tcBorders>
                    <w:tl2br w:val="nil"/>
                    <w:tr2bl w:val="nil"/>
                  </w:tcBorders>
                  <w:vAlign w:val="center"/>
                </w:tcPr>
                <w:p w14:paraId="0BEF344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铜片</w:t>
                  </w:r>
                </w:p>
              </w:tc>
              <w:tc>
                <w:tcPr>
                  <w:tcW w:w="690" w:type="pct"/>
                  <w:tcBorders>
                    <w:tl2br w:val="nil"/>
                    <w:tr2bl w:val="nil"/>
                  </w:tcBorders>
                  <w:vAlign w:val="center"/>
                </w:tcPr>
                <w:p w14:paraId="078B11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7440-50-8</w:t>
                  </w:r>
                </w:p>
              </w:tc>
              <w:tc>
                <w:tcPr>
                  <w:tcW w:w="3187" w:type="pct"/>
                  <w:tcBorders>
                    <w:tl2br w:val="nil"/>
                    <w:tr2bl w:val="nil"/>
                  </w:tcBorders>
                  <w:vAlign w:val="center"/>
                </w:tcPr>
                <w:p w14:paraId="59DE402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9"/>
                      <w:sz w:val="21"/>
                      <w:szCs w:val="21"/>
                    </w:rPr>
                    <w:t>微红色有光泽具延展性的金属。面心立方晶系。</w:t>
                  </w:r>
                  <w:r>
                    <w:rPr>
                      <w:rFonts w:ascii="宋体" w:hAnsi="宋体" w:eastAsia="宋体" w:cs="宋体"/>
                      <w:color w:val="auto"/>
                      <w:sz w:val="21"/>
                      <w:szCs w:val="21"/>
                    </w:rPr>
                    <w:t>相对密度</w:t>
                  </w:r>
                  <w:r>
                    <w:rPr>
                      <w:rFonts w:ascii="Times New Roman" w:hAnsi="Times New Roman" w:eastAsia="Times New Roman" w:cs="Times New Roman"/>
                      <w:color w:val="auto"/>
                      <w:sz w:val="21"/>
                      <w:szCs w:val="21"/>
                    </w:rPr>
                    <w:t>8.94</w:t>
                  </w:r>
                  <w:r>
                    <w:rPr>
                      <w:rFonts w:ascii="宋体" w:hAnsi="宋体" w:eastAsia="宋体" w:cs="宋体"/>
                      <w:color w:val="auto"/>
                      <w:sz w:val="21"/>
                      <w:szCs w:val="21"/>
                    </w:rPr>
                    <w:t>；熔点</w:t>
                  </w:r>
                  <w:r>
                    <w:rPr>
                      <w:rFonts w:ascii="Times New Roman" w:hAnsi="Times New Roman" w:eastAsia="Times New Roman" w:cs="Times New Roman"/>
                      <w:color w:val="auto"/>
                      <w:sz w:val="21"/>
                      <w:szCs w:val="21"/>
                    </w:rPr>
                    <w:t>1083℃</w:t>
                  </w:r>
                  <w:r>
                    <w:rPr>
                      <w:rFonts w:ascii="宋体" w:hAnsi="宋体" w:eastAsia="宋体" w:cs="宋体"/>
                      <w:color w:val="auto"/>
                      <w:sz w:val="21"/>
                      <w:szCs w:val="21"/>
                    </w:rPr>
                    <w:t>,沸点</w:t>
                  </w:r>
                  <w:r>
                    <w:rPr>
                      <w:rFonts w:ascii="宋体" w:hAnsi="宋体" w:eastAsia="宋体" w:cs="宋体"/>
                      <w:color w:val="auto"/>
                      <w:spacing w:val="-40"/>
                      <w:sz w:val="21"/>
                      <w:szCs w:val="21"/>
                    </w:rPr>
                    <w:t xml:space="preserve"> </w:t>
                  </w:r>
                  <w:r>
                    <w:rPr>
                      <w:rFonts w:ascii="Times New Roman" w:hAnsi="Times New Roman" w:eastAsia="Times New Roman" w:cs="Times New Roman"/>
                      <w:color w:val="auto"/>
                      <w:sz w:val="21"/>
                      <w:szCs w:val="21"/>
                    </w:rPr>
                    <w:t>2595℃</w:t>
                  </w:r>
                  <w:r>
                    <w:rPr>
                      <w:rFonts w:ascii="宋体" w:hAnsi="宋体" w:eastAsia="宋体" w:cs="宋体"/>
                      <w:color w:val="auto"/>
                      <w:sz w:val="21"/>
                      <w:szCs w:val="21"/>
                    </w:rPr>
                    <w:t>。溶</w:t>
                  </w:r>
                  <w:r>
                    <w:rPr>
                      <w:rFonts w:ascii="宋体" w:hAnsi="宋体" w:eastAsia="宋体" w:cs="宋体"/>
                      <w:color w:val="auto"/>
                      <w:spacing w:val="8"/>
                      <w:sz w:val="21"/>
                      <w:szCs w:val="21"/>
                    </w:rPr>
                    <w:t>于硝酸、热的浓硫酸，极缓慢溶于盐酸、氨水、</w:t>
                  </w:r>
                  <w:r>
                    <w:rPr>
                      <w:rFonts w:ascii="宋体" w:hAnsi="宋体" w:eastAsia="宋体" w:cs="宋体"/>
                      <w:color w:val="auto"/>
                      <w:spacing w:val="4"/>
                      <w:sz w:val="21"/>
                      <w:szCs w:val="21"/>
                    </w:rPr>
                    <w:t>稀硫酸，亦溶于乙酸和其他有机酸，不溶于冷水</w:t>
                  </w:r>
                  <w:r>
                    <w:rPr>
                      <w:rFonts w:ascii="宋体" w:hAnsi="宋体" w:eastAsia="宋体" w:cs="宋体"/>
                      <w:color w:val="auto"/>
                      <w:spacing w:val="-1"/>
                      <w:sz w:val="21"/>
                      <w:szCs w:val="21"/>
                    </w:rPr>
                    <w:t>和热水。高纯铜为热电良导体。露置空气中变暗，</w:t>
                  </w:r>
                  <w:r>
                    <w:rPr>
                      <w:rFonts w:ascii="宋体" w:hAnsi="宋体" w:eastAsia="宋体" w:cs="宋体"/>
                      <w:color w:val="auto"/>
                      <w:spacing w:val="5"/>
                      <w:sz w:val="21"/>
                      <w:szCs w:val="21"/>
                    </w:rPr>
                    <w:t>在潮湿空气中表面逐渐形成绿色碱式碳酸盐</w:t>
                  </w:r>
                  <w:r>
                    <w:rPr>
                      <w:rFonts w:ascii="宋体" w:hAnsi="宋体" w:eastAsia="宋体" w:cs="宋体"/>
                      <w:color w:val="auto"/>
                      <w:spacing w:val="4"/>
                      <w:sz w:val="21"/>
                      <w:szCs w:val="21"/>
                    </w:rPr>
                    <w:t>。与</w:t>
                  </w:r>
                  <w:r>
                    <w:rPr>
                      <w:rFonts w:ascii="宋体" w:hAnsi="宋体" w:eastAsia="宋体" w:cs="宋体"/>
                      <w:color w:val="auto"/>
                      <w:spacing w:val="3"/>
                      <w:sz w:val="21"/>
                      <w:szCs w:val="21"/>
                    </w:rPr>
                    <w:t>乙炔接触形成撞击敏感化合物。如果铜粉或粉尘</w:t>
                  </w:r>
                  <w:r>
                    <w:rPr>
                      <w:rFonts w:ascii="宋体" w:hAnsi="宋体" w:eastAsia="宋体" w:cs="宋体"/>
                      <w:color w:val="auto"/>
                      <w:spacing w:val="8"/>
                      <w:sz w:val="21"/>
                      <w:szCs w:val="21"/>
                    </w:rPr>
                    <w:t>铜与强氧化剂接触发生剧烈反应。</w:t>
                  </w:r>
                </w:p>
              </w:tc>
            </w:tr>
            <w:tr w14:paraId="39B8F9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2E7BB2D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10</w:t>
                  </w:r>
                </w:p>
              </w:tc>
              <w:tc>
                <w:tcPr>
                  <w:tcW w:w="701" w:type="pct"/>
                  <w:tcBorders>
                    <w:tl2br w:val="nil"/>
                    <w:tr2bl w:val="nil"/>
                  </w:tcBorders>
                  <w:vAlign w:val="center"/>
                </w:tcPr>
                <w:p w14:paraId="748611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7"/>
                      <w:sz w:val="21"/>
                      <w:szCs w:val="21"/>
                    </w:rPr>
                    <w:t>硫酸铜</w:t>
                  </w:r>
                </w:p>
              </w:tc>
              <w:tc>
                <w:tcPr>
                  <w:tcW w:w="690" w:type="pct"/>
                  <w:tcBorders>
                    <w:tl2br w:val="nil"/>
                    <w:tr2bl w:val="nil"/>
                  </w:tcBorders>
                  <w:vAlign w:val="center"/>
                </w:tcPr>
                <w:p w14:paraId="7A5937A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7758-98-7</w:t>
                  </w:r>
                </w:p>
              </w:tc>
              <w:tc>
                <w:tcPr>
                  <w:tcW w:w="3187" w:type="pct"/>
                  <w:tcBorders>
                    <w:tl2br w:val="nil"/>
                    <w:tr2bl w:val="nil"/>
                  </w:tcBorders>
                  <w:vAlign w:val="center"/>
                </w:tcPr>
                <w:p w14:paraId="66A7E7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深蓝色三斜晶体或蓝色结晶性颗粒或粉末。具有令人厌恶的金属味。干燥空气中缓慢风化。相对</w:t>
                  </w:r>
                  <w:r>
                    <w:rPr>
                      <w:rFonts w:ascii="宋体" w:hAnsi="宋体" w:eastAsia="宋体" w:cs="宋体"/>
                      <w:color w:val="auto"/>
                      <w:spacing w:val="5"/>
                      <w:sz w:val="21"/>
                      <w:szCs w:val="21"/>
                    </w:rPr>
                    <w:t>密度</w:t>
                  </w:r>
                  <w:r>
                    <w:rPr>
                      <w:rFonts w:ascii="宋体" w:hAnsi="宋体" w:eastAsia="宋体" w:cs="宋体"/>
                      <w:color w:val="auto"/>
                      <w:spacing w:val="-34"/>
                      <w:sz w:val="21"/>
                      <w:szCs w:val="21"/>
                    </w:rPr>
                    <w:t xml:space="preserve"> </w:t>
                  </w:r>
                  <w:r>
                    <w:rPr>
                      <w:rFonts w:ascii="Times New Roman" w:hAnsi="Times New Roman" w:eastAsia="Times New Roman" w:cs="Times New Roman"/>
                      <w:color w:val="auto"/>
                      <w:spacing w:val="5"/>
                      <w:sz w:val="21"/>
                      <w:szCs w:val="21"/>
                    </w:rPr>
                    <w:t>2.284</w:t>
                  </w:r>
                  <w:r>
                    <w:rPr>
                      <w:rFonts w:ascii="宋体" w:hAnsi="宋体" w:eastAsia="宋体" w:cs="宋体"/>
                      <w:color w:val="auto"/>
                      <w:spacing w:val="5"/>
                      <w:sz w:val="21"/>
                      <w:szCs w:val="21"/>
                    </w:rPr>
                    <w:t>。高于</w:t>
                  </w:r>
                  <w:r>
                    <w:rPr>
                      <w:rFonts w:ascii="Times New Roman" w:hAnsi="Times New Roman" w:eastAsia="Times New Roman" w:cs="Times New Roman"/>
                      <w:color w:val="auto"/>
                      <w:spacing w:val="5"/>
                      <w:sz w:val="21"/>
                      <w:szCs w:val="21"/>
                    </w:rPr>
                    <w:t>150℃</w:t>
                  </w:r>
                  <w:r>
                    <w:rPr>
                      <w:rFonts w:ascii="宋体" w:hAnsi="宋体" w:eastAsia="宋体" w:cs="宋体"/>
                      <w:color w:val="auto"/>
                      <w:spacing w:val="5"/>
                      <w:sz w:val="21"/>
                      <w:szCs w:val="21"/>
                    </w:rPr>
                    <w:t>形成白色易吸水的无水</w:t>
                  </w:r>
                  <w:r>
                    <w:rPr>
                      <w:rFonts w:ascii="宋体" w:hAnsi="宋体" w:eastAsia="宋体" w:cs="宋体"/>
                      <w:color w:val="auto"/>
                      <w:spacing w:val="8"/>
                      <w:sz w:val="21"/>
                      <w:szCs w:val="21"/>
                    </w:rPr>
                    <w:t>硫酸铜。于</w:t>
                  </w:r>
                  <w:r>
                    <w:rPr>
                      <w:rFonts w:ascii="宋体" w:hAnsi="宋体" w:eastAsia="宋体" w:cs="宋体"/>
                      <w:color w:val="auto"/>
                      <w:spacing w:val="-33"/>
                      <w:sz w:val="21"/>
                      <w:szCs w:val="21"/>
                    </w:rPr>
                    <w:t xml:space="preserve"> </w:t>
                  </w:r>
                  <w:r>
                    <w:rPr>
                      <w:rFonts w:ascii="Times New Roman" w:hAnsi="Times New Roman" w:eastAsia="Times New Roman" w:cs="Times New Roman"/>
                      <w:color w:val="auto"/>
                      <w:spacing w:val="8"/>
                      <w:sz w:val="21"/>
                      <w:szCs w:val="21"/>
                    </w:rPr>
                    <w:t>650℃</w:t>
                  </w:r>
                  <w:r>
                    <w:rPr>
                      <w:rFonts w:ascii="宋体" w:hAnsi="宋体" w:eastAsia="宋体" w:cs="宋体"/>
                      <w:color w:val="auto"/>
                      <w:spacing w:val="8"/>
                      <w:sz w:val="21"/>
                      <w:szCs w:val="21"/>
                    </w:rPr>
                    <w:t>分解成氧化铜。易溶于水</w:t>
                  </w:r>
                  <w:r>
                    <w:rPr>
                      <w:rFonts w:ascii="Times New Roman" w:hAnsi="Times New Roman" w:eastAsia="Times New Roman" w:cs="Times New Roman"/>
                      <w:color w:val="auto"/>
                      <w:spacing w:val="3"/>
                      <w:sz w:val="21"/>
                      <w:szCs w:val="21"/>
                    </w:rPr>
                    <w:t>(26.3g/100g</w:t>
                  </w:r>
                  <w:r>
                    <w:rPr>
                      <w:rFonts w:ascii="宋体" w:hAnsi="宋体" w:eastAsia="宋体" w:cs="宋体"/>
                      <w:color w:val="auto"/>
                      <w:spacing w:val="3"/>
                      <w:sz w:val="21"/>
                      <w:szCs w:val="21"/>
                    </w:rPr>
                    <w:t>，</w:t>
                  </w:r>
                  <w:r>
                    <w:rPr>
                      <w:rFonts w:ascii="Times New Roman" w:hAnsi="Times New Roman" w:eastAsia="Times New Roman" w:cs="Times New Roman"/>
                      <w:color w:val="auto"/>
                      <w:spacing w:val="3"/>
                      <w:sz w:val="21"/>
                      <w:szCs w:val="21"/>
                    </w:rPr>
                    <w:t>20℃)</w:t>
                  </w:r>
                  <w:r>
                    <w:rPr>
                      <w:rFonts w:ascii="宋体" w:hAnsi="宋体" w:eastAsia="宋体" w:cs="宋体"/>
                      <w:color w:val="auto"/>
                      <w:spacing w:val="3"/>
                      <w:sz w:val="21"/>
                      <w:szCs w:val="21"/>
                    </w:rPr>
                    <w:t>，呈酸性，</w:t>
                  </w:r>
                  <w:r>
                    <w:rPr>
                      <w:rFonts w:ascii="Times New Roman" w:hAnsi="Times New Roman" w:eastAsia="Times New Roman" w:cs="Times New Roman"/>
                      <w:color w:val="auto"/>
                      <w:spacing w:val="3"/>
                      <w:sz w:val="21"/>
                      <w:szCs w:val="21"/>
                    </w:rPr>
                    <w:t>0.1</w:t>
                  </w:r>
                  <w:r>
                    <w:rPr>
                      <w:rFonts w:ascii="Times New Roman" w:hAnsi="Times New Roman" w:eastAsia="Times New Roman" w:cs="Times New Roman"/>
                      <w:color w:val="auto"/>
                      <w:sz w:val="21"/>
                      <w:szCs w:val="21"/>
                    </w:rPr>
                    <w:t>mol</w:t>
                  </w:r>
                  <w:r>
                    <w:rPr>
                      <w:rFonts w:ascii="Times New Roman" w:hAnsi="Times New Roman" w:eastAsia="Times New Roman" w:cs="Times New Roman"/>
                      <w:color w:val="auto"/>
                      <w:spacing w:val="3"/>
                      <w:sz w:val="21"/>
                      <w:szCs w:val="21"/>
                    </w:rPr>
                    <w:t>/L</w:t>
                  </w:r>
                  <w:r>
                    <w:rPr>
                      <w:rFonts w:ascii="宋体" w:hAnsi="宋体" w:eastAsia="宋体" w:cs="宋体"/>
                      <w:color w:val="auto"/>
                      <w:spacing w:val="3"/>
                      <w:sz w:val="21"/>
                      <w:szCs w:val="21"/>
                    </w:rPr>
                    <w:t>水溶液</w:t>
                  </w:r>
                  <w:r>
                    <w:rPr>
                      <w:rFonts w:ascii="宋体" w:hAnsi="宋体" w:eastAsia="宋体" w:cs="宋体"/>
                      <w:color w:val="auto"/>
                      <w:spacing w:val="4"/>
                      <w:sz w:val="21"/>
                      <w:szCs w:val="21"/>
                    </w:rPr>
                    <w:t>的</w:t>
                  </w:r>
                  <w:r>
                    <w:rPr>
                      <w:rFonts w:ascii="宋体" w:hAnsi="宋体" w:eastAsia="宋体" w:cs="宋体"/>
                      <w:color w:val="auto"/>
                      <w:spacing w:val="-33"/>
                      <w:sz w:val="21"/>
                      <w:szCs w:val="21"/>
                    </w:rPr>
                    <w:t xml:space="preserve"> </w:t>
                  </w:r>
                  <w:r>
                    <w:rPr>
                      <w:rFonts w:ascii="Times New Roman" w:hAnsi="Times New Roman" w:eastAsia="Times New Roman" w:cs="Times New Roman"/>
                      <w:color w:val="auto"/>
                      <w:sz w:val="21"/>
                      <w:szCs w:val="21"/>
                    </w:rPr>
                    <w:t>pH</w:t>
                  </w:r>
                  <w:r>
                    <w:rPr>
                      <w:rFonts w:ascii="宋体" w:hAnsi="宋体" w:eastAsia="宋体" w:cs="宋体"/>
                      <w:color w:val="auto"/>
                      <w:spacing w:val="4"/>
                      <w:sz w:val="21"/>
                      <w:szCs w:val="21"/>
                    </w:rPr>
                    <w:t>值为</w:t>
                  </w:r>
                  <w:r>
                    <w:rPr>
                      <w:rFonts w:ascii="宋体" w:hAnsi="宋体" w:eastAsia="宋体" w:cs="宋体"/>
                      <w:color w:val="auto"/>
                      <w:spacing w:val="-42"/>
                      <w:sz w:val="21"/>
                      <w:szCs w:val="21"/>
                    </w:rPr>
                    <w:t xml:space="preserve"> </w:t>
                  </w:r>
                  <w:r>
                    <w:rPr>
                      <w:rFonts w:ascii="Times New Roman" w:hAnsi="Times New Roman" w:eastAsia="Times New Roman" w:cs="Times New Roman"/>
                      <w:color w:val="auto"/>
                      <w:spacing w:val="4"/>
                      <w:sz w:val="21"/>
                      <w:szCs w:val="21"/>
                    </w:rPr>
                    <w:t>4.17(15℃)</w:t>
                  </w:r>
                  <w:r>
                    <w:rPr>
                      <w:rFonts w:ascii="Times New Roman" w:hAnsi="Times New Roman" w:eastAsia="Times New Roman" w:cs="Times New Roman"/>
                      <w:color w:val="auto"/>
                      <w:spacing w:val="-19"/>
                      <w:sz w:val="21"/>
                      <w:szCs w:val="21"/>
                    </w:rPr>
                    <w:t xml:space="preserve"> </w:t>
                  </w:r>
                  <w:r>
                    <w:rPr>
                      <w:rFonts w:ascii="宋体" w:hAnsi="宋体" w:eastAsia="宋体" w:cs="宋体"/>
                      <w:color w:val="auto"/>
                      <w:spacing w:val="4"/>
                      <w:sz w:val="21"/>
                      <w:szCs w:val="21"/>
                    </w:rPr>
                    <w:t>。易溶于甘油，溶于稀乙</w:t>
                  </w:r>
                  <w:r>
                    <w:rPr>
                      <w:rFonts w:ascii="宋体" w:hAnsi="宋体" w:eastAsia="宋体" w:cs="宋体"/>
                      <w:color w:val="auto"/>
                      <w:spacing w:val="7"/>
                      <w:sz w:val="21"/>
                      <w:szCs w:val="21"/>
                    </w:rPr>
                    <w:t>醇，不溶于无水乙醇。</w:t>
                  </w:r>
                </w:p>
              </w:tc>
            </w:tr>
            <w:tr w14:paraId="7A49D9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61AB7D3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0"/>
                      <w:sz w:val="21"/>
                      <w:szCs w:val="21"/>
                    </w:rPr>
                    <w:t>11</w:t>
                  </w:r>
                </w:p>
              </w:tc>
              <w:tc>
                <w:tcPr>
                  <w:tcW w:w="701" w:type="pct"/>
                  <w:tcBorders>
                    <w:tl2br w:val="nil"/>
                    <w:tr2bl w:val="nil"/>
                  </w:tcBorders>
                  <w:vAlign w:val="center"/>
                </w:tcPr>
                <w:p w14:paraId="387409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5"/>
                      <w:sz w:val="21"/>
                      <w:szCs w:val="21"/>
                    </w:rPr>
                    <w:t>氯化钠</w:t>
                  </w:r>
                </w:p>
              </w:tc>
              <w:tc>
                <w:tcPr>
                  <w:tcW w:w="690" w:type="pct"/>
                  <w:tcBorders>
                    <w:tl2br w:val="nil"/>
                    <w:tr2bl w:val="nil"/>
                  </w:tcBorders>
                  <w:vAlign w:val="center"/>
                </w:tcPr>
                <w:p w14:paraId="2662E2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7647-14-5</w:t>
                  </w:r>
                </w:p>
              </w:tc>
              <w:tc>
                <w:tcPr>
                  <w:tcW w:w="3187" w:type="pct"/>
                  <w:tcBorders>
                    <w:tl2br w:val="nil"/>
                    <w:tr2bl w:val="nil"/>
                  </w:tcBorders>
                  <w:vAlign w:val="center"/>
                </w:tcPr>
                <w:p w14:paraId="776023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无色立方结晶或细小结晶粉末，味咸。外观是白色晶体状，其来源主要是海水，是食盐的主要成分。易溶于水、甘油，微溶于乙醇（酒精）、液氨；不溶于浓盐酸。不纯的氯化钠在空气中有潮</w:t>
                  </w:r>
                  <w:r>
                    <w:rPr>
                      <w:rFonts w:ascii="宋体" w:hAnsi="宋体" w:eastAsia="宋体" w:cs="宋体"/>
                      <w:color w:val="auto"/>
                      <w:spacing w:val="8"/>
                      <w:sz w:val="21"/>
                      <w:szCs w:val="21"/>
                    </w:rPr>
                    <w:t>解性。稳定性比较好。</w:t>
                  </w:r>
                </w:p>
              </w:tc>
            </w:tr>
            <w:tr w14:paraId="6D47A2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6E2017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12</w:t>
                  </w:r>
                </w:p>
              </w:tc>
              <w:tc>
                <w:tcPr>
                  <w:tcW w:w="701" w:type="pct"/>
                  <w:tcBorders>
                    <w:tl2br w:val="nil"/>
                    <w:tr2bl w:val="nil"/>
                  </w:tcBorders>
                  <w:vAlign w:val="center"/>
                </w:tcPr>
                <w:p w14:paraId="426628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7"/>
                      <w:sz w:val="21"/>
                      <w:szCs w:val="21"/>
                    </w:rPr>
                    <w:t>氢氧化钠</w:t>
                  </w:r>
                </w:p>
              </w:tc>
              <w:tc>
                <w:tcPr>
                  <w:tcW w:w="690" w:type="pct"/>
                  <w:tcBorders>
                    <w:tl2br w:val="nil"/>
                    <w:tr2bl w:val="nil"/>
                  </w:tcBorders>
                  <w:vAlign w:val="center"/>
                </w:tcPr>
                <w:p w14:paraId="537A01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1310-73-2</w:t>
                  </w:r>
                </w:p>
              </w:tc>
              <w:tc>
                <w:tcPr>
                  <w:tcW w:w="3187" w:type="pct"/>
                  <w:tcBorders>
                    <w:tl2br w:val="nil"/>
                    <w:tr2bl w:val="nil"/>
                  </w:tcBorders>
                  <w:vAlign w:val="center"/>
                </w:tcPr>
                <w:p w14:paraId="5F748E5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俗称烧碱、火碱、苛性钠，纯品是无色透明的晶</w:t>
                  </w:r>
                  <w:r>
                    <w:rPr>
                      <w:rFonts w:ascii="宋体" w:hAnsi="宋体" w:eastAsia="宋体" w:cs="宋体"/>
                      <w:color w:val="auto"/>
                      <w:spacing w:val="7"/>
                      <w:sz w:val="21"/>
                      <w:szCs w:val="21"/>
                    </w:rPr>
                    <w:t>体，具有高腐蚀性、潮解性；密度</w:t>
                  </w:r>
                  <w:r>
                    <w:rPr>
                      <w:rFonts w:ascii="宋体" w:hAnsi="宋体" w:eastAsia="宋体" w:cs="宋体"/>
                      <w:color w:val="auto"/>
                      <w:spacing w:val="-39"/>
                      <w:sz w:val="21"/>
                      <w:szCs w:val="21"/>
                    </w:rPr>
                    <w:t xml:space="preserve"> </w:t>
                  </w:r>
                  <w:r>
                    <w:rPr>
                      <w:rFonts w:ascii="Times New Roman" w:hAnsi="Times New Roman" w:eastAsia="Times New Roman" w:cs="Times New Roman"/>
                      <w:color w:val="auto"/>
                      <w:spacing w:val="7"/>
                      <w:sz w:val="21"/>
                      <w:szCs w:val="21"/>
                    </w:rPr>
                    <w:t>2.130</w:t>
                  </w:r>
                  <w:r>
                    <w:rPr>
                      <w:rFonts w:ascii="宋体" w:hAnsi="宋体" w:eastAsia="宋体" w:cs="宋体"/>
                      <w:color w:val="auto"/>
                      <w:spacing w:val="7"/>
                      <w:sz w:val="21"/>
                      <w:szCs w:val="21"/>
                    </w:rPr>
                    <w:t>、熔点</w:t>
                  </w:r>
                  <w:r>
                    <w:rPr>
                      <w:rFonts w:ascii="Times New Roman" w:hAnsi="Times New Roman" w:eastAsia="Times New Roman" w:cs="Times New Roman"/>
                      <w:color w:val="auto"/>
                      <w:spacing w:val="2"/>
                      <w:sz w:val="21"/>
                      <w:szCs w:val="21"/>
                    </w:rPr>
                    <w:t>318.4℃</w:t>
                  </w:r>
                  <w:r>
                    <w:rPr>
                      <w:rFonts w:ascii="宋体" w:hAnsi="宋体" w:eastAsia="宋体" w:cs="宋体"/>
                      <w:color w:val="auto"/>
                      <w:spacing w:val="2"/>
                      <w:sz w:val="21"/>
                      <w:szCs w:val="21"/>
                    </w:rPr>
                    <w:t>、沸点</w:t>
                  </w:r>
                  <w:r>
                    <w:rPr>
                      <w:rFonts w:ascii="Times New Roman" w:hAnsi="Times New Roman" w:eastAsia="Times New Roman" w:cs="Times New Roman"/>
                      <w:color w:val="auto"/>
                      <w:spacing w:val="2"/>
                      <w:sz w:val="21"/>
                      <w:szCs w:val="21"/>
                    </w:rPr>
                    <w:t>1390℃</w:t>
                  </w:r>
                  <w:r>
                    <w:rPr>
                      <w:rFonts w:ascii="宋体" w:hAnsi="宋体" w:eastAsia="宋体" w:cs="宋体"/>
                      <w:color w:val="auto"/>
                      <w:spacing w:val="2"/>
                      <w:sz w:val="21"/>
                      <w:szCs w:val="21"/>
                    </w:rPr>
                    <w:t>。</w:t>
                  </w:r>
                </w:p>
              </w:tc>
            </w:tr>
            <w:tr w14:paraId="5EC03F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73F660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13</w:t>
                  </w:r>
                </w:p>
              </w:tc>
              <w:tc>
                <w:tcPr>
                  <w:tcW w:w="701" w:type="pct"/>
                  <w:tcBorders>
                    <w:tl2br w:val="nil"/>
                    <w:tr2bl w:val="nil"/>
                  </w:tcBorders>
                  <w:vAlign w:val="center"/>
                </w:tcPr>
                <w:p w14:paraId="47B6D7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醋酸</w:t>
                  </w:r>
                </w:p>
              </w:tc>
              <w:tc>
                <w:tcPr>
                  <w:tcW w:w="690" w:type="pct"/>
                  <w:tcBorders>
                    <w:tl2br w:val="nil"/>
                    <w:tr2bl w:val="nil"/>
                  </w:tcBorders>
                  <w:vAlign w:val="center"/>
                </w:tcPr>
                <w:p w14:paraId="114B72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64-19-7</w:t>
                  </w:r>
                </w:p>
              </w:tc>
              <w:tc>
                <w:tcPr>
                  <w:tcW w:w="3187" w:type="pct"/>
                  <w:tcBorders>
                    <w:tl2br w:val="nil"/>
                    <w:tr2bl w:val="nil"/>
                  </w:tcBorders>
                  <w:vAlign w:val="center"/>
                </w:tcPr>
                <w:p w14:paraId="71A7B0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无色透明液体，低温下凝固为冰状晶体。有刺激性气味。能与水、乙醇、乙醚和四氯化碳等有机</w:t>
                  </w:r>
                  <w:r>
                    <w:rPr>
                      <w:rFonts w:ascii="宋体" w:hAnsi="宋体" w:eastAsia="宋体" w:cs="宋体"/>
                      <w:color w:val="auto"/>
                      <w:spacing w:val="-1"/>
                      <w:sz w:val="21"/>
                      <w:szCs w:val="21"/>
                    </w:rPr>
                    <w:t>溶剂相混溶，不溶于二硫化碳。易燃，具腐蚀性、</w:t>
                  </w:r>
                  <w:r>
                    <w:rPr>
                      <w:rFonts w:ascii="宋体" w:hAnsi="宋体" w:eastAsia="宋体" w:cs="宋体"/>
                      <w:color w:val="auto"/>
                      <w:spacing w:val="4"/>
                      <w:sz w:val="21"/>
                      <w:szCs w:val="21"/>
                    </w:rPr>
                    <w:t>强刺激性，可致人体灼伤。易燃，其蒸气与空气可形成爆炸性混合物，遇明火、高热能引起燃烧爆炸。与铬酸、过氧化钠、硝酸或其它氧化剂接</w:t>
                  </w:r>
                  <w:r>
                    <w:rPr>
                      <w:rFonts w:ascii="宋体" w:hAnsi="宋体" w:eastAsia="宋体" w:cs="宋体"/>
                      <w:color w:val="auto"/>
                      <w:spacing w:val="7"/>
                      <w:sz w:val="21"/>
                      <w:szCs w:val="21"/>
                    </w:rPr>
                    <w:t>触，有爆炸危险。</w:t>
                  </w:r>
                </w:p>
              </w:tc>
            </w:tr>
            <w:tr w14:paraId="34AB6C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77D9158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14</w:t>
                  </w:r>
                </w:p>
              </w:tc>
              <w:tc>
                <w:tcPr>
                  <w:tcW w:w="701" w:type="pct"/>
                  <w:tcBorders>
                    <w:tl2br w:val="nil"/>
                    <w:tr2bl w:val="nil"/>
                  </w:tcBorders>
                  <w:vAlign w:val="center"/>
                </w:tcPr>
                <w:p w14:paraId="19D90E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7"/>
                      <w:sz w:val="21"/>
                      <w:szCs w:val="21"/>
                    </w:rPr>
                    <w:t>氢氧化钙</w:t>
                  </w:r>
                  <w:r>
                    <w:rPr>
                      <w:rFonts w:ascii="宋体" w:hAnsi="宋体" w:eastAsia="宋体" w:cs="宋体"/>
                      <w:color w:val="auto"/>
                      <w:spacing w:val="5"/>
                      <w:sz w:val="21"/>
                      <w:szCs w:val="21"/>
                    </w:rPr>
                    <w:t>粉末</w:t>
                  </w:r>
                </w:p>
              </w:tc>
              <w:tc>
                <w:tcPr>
                  <w:tcW w:w="690" w:type="pct"/>
                  <w:tcBorders>
                    <w:tl2br w:val="nil"/>
                    <w:tr2bl w:val="nil"/>
                  </w:tcBorders>
                  <w:vAlign w:val="center"/>
                </w:tcPr>
                <w:p w14:paraId="040D59E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1305-62-0</w:t>
                  </w:r>
                </w:p>
              </w:tc>
              <w:tc>
                <w:tcPr>
                  <w:tcW w:w="3187" w:type="pct"/>
                  <w:tcBorders>
                    <w:tl2br w:val="nil"/>
                    <w:tr2bl w:val="nil"/>
                  </w:tcBorders>
                  <w:vAlign w:val="center"/>
                </w:tcPr>
                <w:p w14:paraId="29F1292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7"/>
                      <w:sz w:val="21"/>
                      <w:szCs w:val="21"/>
                    </w:rPr>
                    <w:t>白色结晶性粉末。无味。通常含有微量水分。</w:t>
                  </w:r>
                  <w:r>
                    <w:rPr>
                      <w:rFonts w:ascii="宋体" w:hAnsi="宋体" w:eastAsia="宋体" w:cs="宋体"/>
                      <w:color w:val="auto"/>
                      <w:sz w:val="21"/>
                      <w:szCs w:val="21"/>
                    </w:rPr>
                    <w:t>溶于酸、甘油、蔗糖、</w:t>
                  </w:r>
                  <w:r>
                    <w:rPr>
                      <w:rFonts w:ascii="宋体" w:hAnsi="宋体" w:eastAsia="宋体" w:cs="宋体"/>
                      <w:color w:val="auto"/>
                      <w:spacing w:val="-1"/>
                      <w:sz w:val="21"/>
                      <w:szCs w:val="21"/>
                    </w:rPr>
                    <w:t>氯化铵溶液，</w:t>
                  </w:r>
                  <w:r>
                    <w:rPr>
                      <w:rFonts w:ascii="宋体" w:hAnsi="宋体" w:eastAsia="宋体" w:cs="宋体"/>
                      <w:color w:val="auto"/>
                      <w:spacing w:val="9"/>
                      <w:sz w:val="21"/>
                      <w:szCs w:val="21"/>
                    </w:rPr>
                    <w:t>微溶于水，不溶于乙醇。</w:t>
                  </w:r>
                  <w:r>
                    <w:rPr>
                      <w:rFonts w:ascii="Times New Roman" w:hAnsi="Times New Roman" w:eastAsia="Times New Roman" w:cs="Times New Roman"/>
                      <w:color w:val="auto"/>
                      <w:spacing w:val="9"/>
                      <w:sz w:val="21"/>
                      <w:szCs w:val="21"/>
                    </w:rPr>
                    <w:t>25℃</w:t>
                  </w:r>
                  <w:r>
                    <w:rPr>
                      <w:rFonts w:ascii="宋体" w:hAnsi="宋体" w:eastAsia="宋体" w:cs="宋体"/>
                      <w:color w:val="auto"/>
                      <w:spacing w:val="9"/>
                      <w:sz w:val="21"/>
                      <w:szCs w:val="21"/>
                    </w:rPr>
                    <w:t>时饱和水溶液的</w:t>
                  </w:r>
                  <w:r>
                    <w:rPr>
                      <w:rFonts w:ascii="Times New Roman" w:hAnsi="Times New Roman" w:eastAsia="Times New Roman" w:cs="Times New Roman"/>
                      <w:color w:val="auto"/>
                      <w:sz w:val="21"/>
                      <w:szCs w:val="21"/>
                    </w:rPr>
                    <w:t>pH</w:t>
                  </w:r>
                  <w:r>
                    <w:rPr>
                      <w:rFonts w:ascii="宋体" w:hAnsi="宋体" w:eastAsia="宋体" w:cs="宋体"/>
                      <w:color w:val="auto"/>
                      <w:spacing w:val="6"/>
                      <w:sz w:val="21"/>
                      <w:szCs w:val="21"/>
                    </w:rPr>
                    <w:t>值为</w:t>
                  </w:r>
                  <w:r>
                    <w:rPr>
                      <w:rFonts w:ascii="Times New Roman" w:hAnsi="Times New Roman" w:eastAsia="Times New Roman" w:cs="Times New Roman"/>
                      <w:color w:val="auto"/>
                      <w:spacing w:val="6"/>
                      <w:sz w:val="21"/>
                      <w:szCs w:val="21"/>
                    </w:rPr>
                    <w:t>12.4</w:t>
                  </w:r>
                  <w:r>
                    <w:rPr>
                      <w:rFonts w:ascii="宋体" w:hAnsi="宋体" w:eastAsia="宋体" w:cs="宋体"/>
                      <w:color w:val="auto"/>
                      <w:spacing w:val="6"/>
                      <w:sz w:val="21"/>
                      <w:szCs w:val="21"/>
                    </w:rPr>
                    <w:t>。在空气中易吸收二氧化碳变为碳</w:t>
                  </w:r>
                  <w:r>
                    <w:rPr>
                      <w:rFonts w:ascii="宋体" w:hAnsi="宋体" w:eastAsia="宋体" w:cs="宋体"/>
                      <w:color w:val="auto"/>
                      <w:spacing w:val="2"/>
                      <w:sz w:val="21"/>
                      <w:szCs w:val="21"/>
                    </w:rPr>
                    <w:t>酸钙。</w:t>
                  </w:r>
                </w:p>
              </w:tc>
            </w:tr>
            <w:tr w14:paraId="217DDB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33F73D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15</w:t>
                  </w:r>
                </w:p>
              </w:tc>
              <w:tc>
                <w:tcPr>
                  <w:tcW w:w="701" w:type="pct"/>
                  <w:tcBorders>
                    <w:tl2br w:val="nil"/>
                    <w:tr2bl w:val="nil"/>
                  </w:tcBorders>
                  <w:vAlign w:val="center"/>
                </w:tcPr>
                <w:p w14:paraId="794F8C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酚酞</w:t>
                  </w:r>
                </w:p>
              </w:tc>
              <w:tc>
                <w:tcPr>
                  <w:tcW w:w="690" w:type="pct"/>
                  <w:tcBorders>
                    <w:tl2br w:val="nil"/>
                    <w:tr2bl w:val="nil"/>
                  </w:tcBorders>
                  <w:vAlign w:val="center"/>
                </w:tcPr>
                <w:p w14:paraId="6B551CA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77-09-8</w:t>
                  </w:r>
                </w:p>
              </w:tc>
              <w:tc>
                <w:tcPr>
                  <w:tcW w:w="3187" w:type="pct"/>
                  <w:tcBorders>
                    <w:tl2br w:val="nil"/>
                    <w:tr2bl w:val="nil"/>
                  </w:tcBorders>
                  <w:vAlign w:val="center"/>
                </w:tcPr>
                <w:p w14:paraId="0E77C6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z w:val="21"/>
                      <w:szCs w:val="21"/>
                    </w:rPr>
                    <w:t>白色粉末。熔点</w:t>
                  </w:r>
                  <w:r>
                    <w:rPr>
                      <w:rFonts w:ascii="宋体" w:hAnsi="宋体" w:eastAsia="宋体" w:cs="宋体"/>
                      <w:color w:val="auto"/>
                      <w:spacing w:val="-40"/>
                      <w:sz w:val="21"/>
                      <w:szCs w:val="21"/>
                    </w:rPr>
                    <w:t xml:space="preserve"> </w:t>
                  </w:r>
                  <w:r>
                    <w:rPr>
                      <w:rFonts w:ascii="Times New Roman" w:hAnsi="Times New Roman" w:eastAsia="Times New Roman" w:cs="Times New Roman"/>
                      <w:color w:val="auto"/>
                      <w:sz w:val="21"/>
                      <w:szCs w:val="21"/>
                    </w:rPr>
                    <w:t>258-262℃</w:t>
                  </w:r>
                  <w:r>
                    <w:rPr>
                      <w:rFonts w:ascii="宋体" w:hAnsi="宋体" w:eastAsia="宋体" w:cs="宋体"/>
                      <w:color w:val="auto"/>
                      <w:sz w:val="21"/>
                      <w:szCs w:val="21"/>
                    </w:rPr>
                    <w:t>,相对密度</w:t>
                  </w:r>
                  <w:r>
                    <w:rPr>
                      <w:rFonts w:ascii="Times New Roman" w:hAnsi="Times New Roman" w:eastAsia="Times New Roman" w:cs="Times New Roman"/>
                      <w:color w:val="auto"/>
                      <w:sz w:val="21"/>
                      <w:szCs w:val="21"/>
                    </w:rPr>
                    <w:t>1.27</w:t>
                  </w:r>
                  <w:r>
                    <w:rPr>
                      <w:rFonts w:ascii="宋体" w:hAnsi="宋体" w:eastAsia="宋体" w:cs="宋体"/>
                      <w:color w:val="auto"/>
                      <w:sz w:val="21"/>
                      <w:szCs w:val="21"/>
                    </w:rPr>
                    <w:t>。溶</w:t>
                  </w:r>
                  <w:r>
                    <w:rPr>
                      <w:rFonts w:ascii="宋体" w:hAnsi="宋体" w:eastAsia="宋体" w:cs="宋体"/>
                      <w:color w:val="auto"/>
                      <w:spacing w:val="2"/>
                      <w:sz w:val="21"/>
                      <w:szCs w:val="21"/>
                    </w:rPr>
                    <w:t>于</w:t>
                  </w:r>
                  <w:r>
                    <w:rPr>
                      <w:rFonts w:ascii="Times New Roman" w:hAnsi="Times New Roman" w:eastAsia="Times New Roman" w:cs="Times New Roman"/>
                      <w:color w:val="auto"/>
                      <w:spacing w:val="2"/>
                      <w:sz w:val="21"/>
                      <w:szCs w:val="21"/>
                    </w:rPr>
                    <w:t>10</w:t>
                  </w:r>
                  <w:r>
                    <w:rPr>
                      <w:rFonts w:ascii="宋体" w:hAnsi="宋体" w:eastAsia="宋体" w:cs="宋体"/>
                      <w:color w:val="auto"/>
                      <w:spacing w:val="2"/>
                      <w:sz w:val="21"/>
                      <w:szCs w:val="21"/>
                    </w:rPr>
                    <w:t>份醇，溶于稀碱溶液呈深红色，微溶于醚，</w:t>
                  </w:r>
                  <w:r>
                    <w:rPr>
                      <w:rFonts w:ascii="宋体" w:hAnsi="宋体" w:eastAsia="宋体" w:cs="宋体"/>
                      <w:color w:val="auto"/>
                      <w:spacing w:val="7"/>
                      <w:sz w:val="21"/>
                      <w:szCs w:val="21"/>
                    </w:rPr>
                    <w:t>不溶于水，无臭，无味。</w:t>
                  </w:r>
                </w:p>
              </w:tc>
            </w:tr>
            <w:tr w14:paraId="5D8914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6DFE39B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16</w:t>
                  </w:r>
                </w:p>
              </w:tc>
              <w:tc>
                <w:tcPr>
                  <w:tcW w:w="701" w:type="pct"/>
                  <w:tcBorders>
                    <w:tl2br w:val="nil"/>
                    <w:tr2bl w:val="nil"/>
                  </w:tcBorders>
                  <w:vAlign w:val="center"/>
                </w:tcPr>
                <w:p w14:paraId="71C7E3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5"/>
                      <w:sz w:val="21"/>
                      <w:szCs w:val="21"/>
                    </w:rPr>
                    <w:t>氯化铁</w:t>
                  </w:r>
                </w:p>
              </w:tc>
              <w:tc>
                <w:tcPr>
                  <w:tcW w:w="690" w:type="pct"/>
                  <w:tcBorders>
                    <w:tl2br w:val="nil"/>
                    <w:tr2bl w:val="nil"/>
                  </w:tcBorders>
                  <w:vAlign w:val="center"/>
                </w:tcPr>
                <w:p w14:paraId="374886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7705-08-0</w:t>
                  </w:r>
                </w:p>
              </w:tc>
              <w:tc>
                <w:tcPr>
                  <w:tcW w:w="3187" w:type="pct"/>
                  <w:tcBorders>
                    <w:tl2br w:val="nil"/>
                    <w:tr2bl w:val="nil"/>
                  </w:tcBorders>
                  <w:vAlign w:val="center"/>
                </w:tcPr>
                <w:p w14:paraId="43B78B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8"/>
                      <w:sz w:val="21"/>
                      <w:szCs w:val="21"/>
                    </w:rPr>
                    <w:t>黑棕色结晶，属于六方晶体系。熔点</w:t>
                  </w:r>
                  <w:r>
                    <w:rPr>
                      <w:rFonts w:ascii="Times New Roman" w:hAnsi="Times New Roman" w:eastAsia="Times New Roman" w:cs="Times New Roman"/>
                      <w:color w:val="auto"/>
                      <w:spacing w:val="5"/>
                      <w:sz w:val="21"/>
                      <w:szCs w:val="21"/>
                    </w:rPr>
                    <w:t>300℃</w:t>
                  </w:r>
                  <w:r>
                    <w:rPr>
                      <w:rFonts w:hint="eastAsia" w:ascii="宋体" w:hAnsi="宋体" w:eastAsia="宋体" w:cs="宋体"/>
                      <w:color w:val="auto"/>
                      <w:spacing w:val="5"/>
                      <w:sz w:val="21"/>
                      <w:szCs w:val="21"/>
                      <w:lang w:eastAsia="zh-CN"/>
                    </w:rPr>
                    <w:t>，</w:t>
                  </w:r>
                  <w:r>
                    <w:rPr>
                      <w:rFonts w:ascii="宋体" w:hAnsi="宋体" w:eastAsia="宋体" w:cs="宋体"/>
                      <w:color w:val="auto"/>
                      <w:spacing w:val="5"/>
                      <w:sz w:val="21"/>
                      <w:szCs w:val="21"/>
                    </w:rPr>
                    <w:t>沸点</w:t>
                  </w:r>
                  <w:r>
                    <w:rPr>
                      <w:rFonts w:ascii="Times New Roman" w:hAnsi="Times New Roman" w:eastAsia="Times New Roman" w:cs="Times New Roman"/>
                      <w:color w:val="auto"/>
                      <w:spacing w:val="5"/>
                      <w:sz w:val="21"/>
                      <w:szCs w:val="21"/>
                    </w:rPr>
                    <w:t>316℃</w:t>
                  </w:r>
                  <w:r>
                    <w:rPr>
                      <w:rFonts w:ascii="宋体" w:hAnsi="宋体" w:eastAsia="宋体" w:cs="宋体"/>
                      <w:color w:val="auto"/>
                      <w:spacing w:val="5"/>
                      <w:sz w:val="21"/>
                      <w:szCs w:val="21"/>
                    </w:rPr>
                    <w:t>。其蒸气在</w:t>
                  </w:r>
                  <w:r>
                    <w:rPr>
                      <w:rFonts w:ascii="宋体" w:hAnsi="宋体" w:eastAsia="宋体" w:cs="宋体"/>
                      <w:color w:val="auto"/>
                      <w:spacing w:val="-41"/>
                      <w:sz w:val="21"/>
                      <w:szCs w:val="21"/>
                    </w:rPr>
                    <w:t xml:space="preserve"> </w:t>
                  </w:r>
                  <w:r>
                    <w:rPr>
                      <w:rFonts w:ascii="Times New Roman" w:hAnsi="Times New Roman" w:eastAsia="Times New Roman" w:cs="Times New Roman"/>
                      <w:color w:val="auto"/>
                      <w:spacing w:val="5"/>
                      <w:sz w:val="21"/>
                      <w:szCs w:val="21"/>
                    </w:rPr>
                    <w:t>400℃</w:t>
                  </w:r>
                  <w:r>
                    <w:rPr>
                      <w:rFonts w:ascii="宋体" w:hAnsi="宋体" w:eastAsia="宋体" w:cs="宋体"/>
                      <w:color w:val="auto"/>
                      <w:spacing w:val="5"/>
                      <w:sz w:val="21"/>
                      <w:szCs w:val="21"/>
                    </w:rPr>
                    <w:t>为三氯化</w:t>
                  </w:r>
                  <w:r>
                    <w:rPr>
                      <w:rFonts w:ascii="宋体" w:hAnsi="宋体" w:eastAsia="宋体" w:cs="宋体"/>
                      <w:color w:val="auto"/>
                      <w:spacing w:val="9"/>
                      <w:sz w:val="21"/>
                      <w:szCs w:val="21"/>
                    </w:rPr>
                    <w:t>铁的二聚物．</w:t>
                  </w:r>
                  <w:r>
                    <w:rPr>
                      <w:rFonts w:ascii="Times New Roman" w:hAnsi="Times New Roman" w:eastAsia="Times New Roman" w:cs="Times New Roman"/>
                      <w:color w:val="auto"/>
                      <w:spacing w:val="9"/>
                      <w:sz w:val="21"/>
                      <w:szCs w:val="21"/>
                    </w:rPr>
                    <w:t>750℃</w:t>
                  </w:r>
                  <w:r>
                    <w:rPr>
                      <w:rFonts w:ascii="宋体" w:hAnsi="宋体" w:eastAsia="宋体" w:cs="宋体"/>
                      <w:color w:val="auto"/>
                      <w:spacing w:val="9"/>
                      <w:sz w:val="21"/>
                      <w:szCs w:val="21"/>
                    </w:rPr>
                    <w:t>时为三氯化铁分子。</w:t>
                  </w:r>
                  <w:r>
                    <w:rPr>
                      <w:rFonts w:ascii="宋体" w:hAnsi="宋体" w:eastAsia="宋体" w:cs="宋体"/>
                      <w:color w:val="auto"/>
                      <w:spacing w:val="8"/>
                      <w:sz w:val="21"/>
                      <w:szCs w:val="21"/>
                    </w:rPr>
                    <w:t>在透射</w:t>
                  </w:r>
                  <w:r>
                    <w:rPr>
                      <w:rFonts w:ascii="宋体" w:hAnsi="宋体" w:eastAsia="宋体" w:cs="宋体"/>
                      <w:color w:val="auto"/>
                      <w:spacing w:val="9"/>
                      <w:sz w:val="21"/>
                      <w:szCs w:val="21"/>
                    </w:rPr>
                    <w:t>光线下呈石榴红色，反射光线下呈金属般的绿</w:t>
                  </w:r>
                  <w:r>
                    <w:rPr>
                      <w:rFonts w:ascii="宋体" w:hAnsi="宋体" w:eastAsia="宋体" w:cs="宋体"/>
                      <w:color w:val="auto"/>
                      <w:spacing w:val="3"/>
                      <w:sz w:val="21"/>
                      <w:szCs w:val="21"/>
                    </w:rPr>
                    <w:t>色。吸湿性强，在空气中易潮解，可生成</w:t>
                  </w:r>
                  <w:r>
                    <w:rPr>
                      <w:rFonts w:ascii="宋体" w:hAnsi="宋体" w:eastAsia="宋体" w:cs="宋体"/>
                      <w:color w:val="auto"/>
                      <w:spacing w:val="-34"/>
                      <w:sz w:val="21"/>
                      <w:szCs w:val="21"/>
                    </w:rPr>
                    <w:t xml:space="preserve"> </w:t>
                  </w:r>
                  <w:r>
                    <w:rPr>
                      <w:rFonts w:ascii="Times New Roman" w:hAnsi="Times New Roman" w:eastAsia="Times New Roman" w:cs="Times New Roman"/>
                      <w:color w:val="auto"/>
                      <w:spacing w:val="3"/>
                      <w:sz w:val="21"/>
                      <w:szCs w:val="21"/>
                    </w:rPr>
                    <w:t>6</w:t>
                  </w:r>
                  <w:r>
                    <w:rPr>
                      <w:rFonts w:ascii="宋体" w:hAnsi="宋体" w:eastAsia="宋体" w:cs="宋体"/>
                      <w:color w:val="auto"/>
                      <w:spacing w:val="3"/>
                      <w:sz w:val="21"/>
                      <w:szCs w:val="21"/>
                    </w:rPr>
                    <w:t>水合</w:t>
                  </w:r>
                  <w:r>
                    <w:rPr>
                      <w:rFonts w:ascii="宋体" w:hAnsi="宋体" w:eastAsia="宋体" w:cs="宋体"/>
                      <w:color w:val="auto"/>
                      <w:spacing w:val="4"/>
                      <w:sz w:val="21"/>
                      <w:szCs w:val="21"/>
                    </w:rPr>
                    <w:t>物。溶于水，其水溶液呈酸性，具腐蚀性。溶于</w:t>
                  </w:r>
                  <w:r>
                    <w:rPr>
                      <w:rFonts w:ascii="宋体" w:hAnsi="宋体" w:eastAsia="宋体" w:cs="宋体"/>
                      <w:color w:val="auto"/>
                      <w:spacing w:val="3"/>
                      <w:sz w:val="21"/>
                      <w:szCs w:val="21"/>
                    </w:rPr>
                    <w:t>甲醇、乙醇、丙酮、乙醚、异丙醚、液体二氧化</w:t>
                  </w:r>
                  <w:r>
                    <w:rPr>
                      <w:rFonts w:ascii="宋体" w:hAnsi="宋体" w:eastAsia="宋体" w:cs="宋体"/>
                      <w:color w:val="auto"/>
                      <w:spacing w:val="4"/>
                      <w:sz w:val="21"/>
                      <w:szCs w:val="21"/>
                    </w:rPr>
                    <w:t>硫、三溴化磷、三氯氧磷、乙胺、苯胺。溶于二硫化碳。不溶于甘油、三氯化磷和氯化锡。为强</w:t>
                  </w:r>
                  <w:r>
                    <w:rPr>
                      <w:rFonts w:ascii="宋体" w:hAnsi="宋体" w:eastAsia="宋体" w:cs="宋体"/>
                      <w:color w:val="auto"/>
                      <w:spacing w:val="9"/>
                      <w:sz w:val="21"/>
                      <w:szCs w:val="21"/>
                    </w:rPr>
                    <w:t>氧化剂，与铜、锌等金属能发生氧化还原反</w:t>
                  </w:r>
                  <w:r>
                    <w:rPr>
                      <w:rFonts w:ascii="宋体" w:hAnsi="宋体" w:eastAsia="宋体" w:cs="宋体"/>
                      <w:color w:val="auto"/>
                      <w:spacing w:val="8"/>
                      <w:sz w:val="21"/>
                      <w:szCs w:val="21"/>
                    </w:rPr>
                    <w:t>应。</w:t>
                  </w:r>
                  <w:r>
                    <w:rPr>
                      <w:rFonts w:ascii="宋体" w:hAnsi="宋体" w:eastAsia="宋体" w:cs="宋体"/>
                      <w:color w:val="auto"/>
                      <w:spacing w:val="9"/>
                      <w:sz w:val="21"/>
                      <w:szCs w:val="21"/>
                    </w:rPr>
                    <w:t>与许多溶剂生成络合物。在高温时分解为</w:t>
                  </w:r>
                  <w:r>
                    <w:rPr>
                      <w:rFonts w:ascii="宋体" w:hAnsi="宋体" w:eastAsia="宋体" w:cs="宋体"/>
                      <w:color w:val="auto"/>
                      <w:spacing w:val="-29"/>
                      <w:sz w:val="21"/>
                      <w:szCs w:val="21"/>
                    </w:rPr>
                    <w:t xml:space="preserve"> </w:t>
                  </w:r>
                  <w:r>
                    <w:rPr>
                      <w:rFonts w:ascii="Times New Roman" w:hAnsi="Times New Roman" w:eastAsia="Times New Roman" w:cs="Times New Roman"/>
                      <w:color w:val="auto"/>
                      <w:sz w:val="21"/>
                      <w:szCs w:val="21"/>
                    </w:rPr>
                    <w:t>FeCl</w:t>
                  </w:r>
                  <w:r>
                    <w:rPr>
                      <w:rFonts w:ascii="Times New Roman" w:hAnsi="Times New Roman" w:eastAsia="Times New Roman" w:cs="Times New Roman"/>
                      <w:color w:val="auto"/>
                      <w:spacing w:val="9"/>
                      <w:position w:val="-1"/>
                      <w:sz w:val="21"/>
                      <w:szCs w:val="21"/>
                      <w:vertAlign w:val="subscript"/>
                    </w:rPr>
                    <w:t>2</w:t>
                  </w:r>
                  <w:r>
                    <w:rPr>
                      <w:rFonts w:ascii="宋体" w:hAnsi="宋体" w:eastAsia="宋体" w:cs="宋体"/>
                      <w:color w:val="auto"/>
                      <w:spacing w:val="4"/>
                      <w:sz w:val="21"/>
                      <w:szCs w:val="21"/>
                    </w:rPr>
                    <w:t>和</w:t>
                  </w:r>
                  <w:r>
                    <w:rPr>
                      <w:rFonts w:ascii="宋体" w:hAnsi="宋体" w:eastAsia="宋体" w:cs="宋体"/>
                      <w:color w:val="auto"/>
                      <w:spacing w:val="-25"/>
                      <w:sz w:val="21"/>
                      <w:szCs w:val="21"/>
                    </w:rPr>
                    <w:t xml:space="preserve"> </w:t>
                  </w:r>
                  <w:r>
                    <w:rPr>
                      <w:rFonts w:ascii="Times New Roman" w:hAnsi="Times New Roman" w:eastAsia="Times New Roman" w:cs="Times New Roman"/>
                      <w:color w:val="auto"/>
                      <w:spacing w:val="4"/>
                      <w:sz w:val="21"/>
                      <w:szCs w:val="21"/>
                    </w:rPr>
                    <w:t>C1</w:t>
                  </w:r>
                  <w:r>
                    <w:rPr>
                      <w:rFonts w:ascii="Times New Roman" w:hAnsi="Times New Roman" w:eastAsia="Times New Roman" w:cs="Times New Roman"/>
                      <w:color w:val="auto"/>
                      <w:spacing w:val="4"/>
                      <w:position w:val="-1"/>
                      <w:sz w:val="21"/>
                      <w:szCs w:val="21"/>
                      <w:vertAlign w:val="subscript"/>
                    </w:rPr>
                    <w:t>2</w:t>
                  </w:r>
                  <w:r>
                    <w:rPr>
                      <w:rFonts w:ascii="宋体" w:hAnsi="宋体" w:eastAsia="宋体" w:cs="宋体"/>
                      <w:color w:val="auto"/>
                      <w:spacing w:val="4"/>
                      <w:sz w:val="21"/>
                      <w:szCs w:val="21"/>
                    </w:rPr>
                    <w:t>。溶液为强酸，与碱剧烈反应。与钾、钠</w:t>
                  </w:r>
                  <w:r>
                    <w:rPr>
                      <w:rFonts w:ascii="宋体" w:hAnsi="宋体" w:eastAsia="宋体" w:cs="宋体"/>
                      <w:color w:val="auto"/>
                      <w:spacing w:val="9"/>
                      <w:sz w:val="21"/>
                      <w:szCs w:val="21"/>
                    </w:rPr>
                    <w:t>和其他活泼金属形成对振动和摩擦敏感的爆炸</w:t>
                  </w:r>
                  <w:r>
                    <w:rPr>
                      <w:rFonts w:ascii="宋体" w:hAnsi="宋体" w:eastAsia="宋体" w:cs="宋体"/>
                      <w:color w:val="auto"/>
                      <w:spacing w:val="4"/>
                      <w:sz w:val="21"/>
                      <w:szCs w:val="21"/>
                    </w:rPr>
                    <w:t>性物质。与烯丙基氯、烯丙醇、环氧乙烷接触发</w:t>
                  </w:r>
                  <w:r>
                    <w:rPr>
                      <w:rFonts w:ascii="宋体" w:hAnsi="宋体" w:eastAsia="宋体" w:cs="宋体"/>
                      <w:color w:val="auto"/>
                      <w:spacing w:val="8"/>
                      <w:sz w:val="21"/>
                      <w:szCs w:val="21"/>
                    </w:rPr>
                    <w:t>生反应。在潮湿的条件下可腐蚀金属。</w:t>
                  </w:r>
                </w:p>
              </w:tc>
            </w:tr>
            <w:tr w14:paraId="028894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216B4D5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17</w:t>
                  </w:r>
                </w:p>
              </w:tc>
              <w:tc>
                <w:tcPr>
                  <w:tcW w:w="701" w:type="pct"/>
                  <w:tcBorders>
                    <w:tl2br w:val="nil"/>
                    <w:tr2bl w:val="nil"/>
                  </w:tcBorders>
                  <w:vAlign w:val="center"/>
                </w:tcPr>
                <w:p w14:paraId="0ABC61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粗盐</w:t>
                  </w:r>
                </w:p>
              </w:tc>
              <w:tc>
                <w:tcPr>
                  <w:tcW w:w="690" w:type="pct"/>
                  <w:tcBorders>
                    <w:tl2br w:val="nil"/>
                    <w:tr2bl w:val="nil"/>
                  </w:tcBorders>
                  <w:vAlign w:val="center"/>
                </w:tcPr>
                <w:p w14:paraId="509AA2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3187" w:type="pct"/>
                  <w:tcBorders>
                    <w:tl2br w:val="nil"/>
                    <w:tr2bl w:val="nil"/>
                  </w:tcBorders>
                  <w:vAlign w:val="center"/>
                </w:tcPr>
                <w:p w14:paraId="2ED1994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position w:val="1"/>
                      <w:sz w:val="21"/>
                      <w:szCs w:val="21"/>
                    </w:rPr>
                    <w:t>粗盐是海水或</w:t>
                  </w:r>
                  <w:r>
                    <w:rPr>
                      <w:color w:val="auto"/>
                      <w:sz w:val="21"/>
                      <w:szCs w:val="21"/>
                    </w:rPr>
                    <w:fldChar w:fldCharType="begin"/>
                  </w:r>
                  <w:r>
                    <w:rPr>
                      <w:color w:val="auto"/>
                      <w:sz w:val="21"/>
                      <w:szCs w:val="21"/>
                    </w:rPr>
                    <w:instrText xml:space="preserve"> HYPERLINK "https://baike.baidu.com/item/%E7%9B%90%E4%BA%95/84824?fromModule=lemma_inlink" </w:instrText>
                  </w:r>
                  <w:r>
                    <w:rPr>
                      <w:color w:val="auto"/>
                      <w:sz w:val="21"/>
                      <w:szCs w:val="21"/>
                    </w:rPr>
                    <w:fldChar w:fldCharType="separate"/>
                  </w:r>
                  <w:r>
                    <w:rPr>
                      <w:rFonts w:ascii="宋体" w:hAnsi="宋体" w:eastAsia="宋体" w:cs="宋体"/>
                      <w:color w:val="auto"/>
                      <w:spacing w:val="4"/>
                      <w:position w:val="1"/>
                      <w:sz w:val="21"/>
                      <w:szCs w:val="21"/>
                    </w:rPr>
                    <w:t>盐井</w:t>
                  </w:r>
                  <w:r>
                    <w:rPr>
                      <w:rFonts w:ascii="宋体" w:hAnsi="宋体" w:eastAsia="宋体" w:cs="宋体"/>
                      <w:color w:val="auto"/>
                      <w:spacing w:val="4"/>
                      <w:position w:val="1"/>
                      <w:sz w:val="21"/>
                      <w:szCs w:val="21"/>
                    </w:rPr>
                    <w:fldChar w:fldCharType="end"/>
                  </w:r>
                  <w:r>
                    <w:rPr>
                      <w:rFonts w:ascii="宋体" w:hAnsi="宋体" w:eastAsia="宋体" w:cs="宋体"/>
                      <w:color w:val="auto"/>
                      <w:spacing w:val="4"/>
                      <w:position w:val="1"/>
                      <w:sz w:val="21"/>
                      <w:szCs w:val="21"/>
                    </w:rPr>
                    <w:t>、盐池、盐泉中的盐水经煎晒</w:t>
                  </w:r>
                  <w:r>
                    <w:rPr>
                      <w:rFonts w:ascii="宋体" w:hAnsi="宋体" w:eastAsia="宋体" w:cs="宋体"/>
                      <w:color w:val="auto"/>
                      <w:spacing w:val="9"/>
                      <w:sz w:val="21"/>
                      <w:szCs w:val="21"/>
                    </w:rPr>
                    <w:t>而成的结晶，即天然盐，是未经加工的大粒</w:t>
                  </w:r>
                  <w:r>
                    <w:rPr>
                      <w:rFonts w:ascii="宋体" w:hAnsi="宋体" w:eastAsia="宋体" w:cs="宋体"/>
                      <w:color w:val="auto"/>
                      <w:spacing w:val="8"/>
                      <w:sz w:val="21"/>
                      <w:szCs w:val="21"/>
                    </w:rPr>
                    <w:t>盐，</w:t>
                  </w:r>
                  <w:r>
                    <w:rPr>
                      <w:rFonts w:ascii="宋体" w:hAnsi="宋体" w:eastAsia="宋体" w:cs="宋体"/>
                      <w:color w:val="auto"/>
                      <w:spacing w:val="4"/>
                      <w:position w:val="1"/>
                      <w:sz w:val="21"/>
                      <w:szCs w:val="21"/>
                    </w:rPr>
                    <w:t>主要成分为</w:t>
                  </w:r>
                  <w:r>
                    <w:rPr>
                      <w:color w:val="auto"/>
                      <w:sz w:val="21"/>
                      <w:szCs w:val="21"/>
                    </w:rPr>
                    <w:fldChar w:fldCharType="begin"/>
                  </w:r>
                  <w:r>
                    <w:rPr>
                      <w:color w:val="auto"/>
                      <w:sz w:val="21"/>
                      <w:szCs w:val="21"/>
                    </w:rPr>
                    <w:instrText xml:space="preserve"> HYPERLINK "https://baike.baidu.com/item/%E6%B0%AF%E5%8C%96%E9%92%A0/114496?fromModule=lemma_inlink" </w:instrText>
                  </w:r>
                  <w:r>
                    <w:rPr>
                      <w:color w:val="auto"/>
                      <w:sz w:val="21"/>
                      <w:szCs w:val="21"/>
                    </w:rPr>
                    <w:fldChar w:fldCharType="separate"/>
                  </w:r>
                  <w:r>
                    <w:rPr>
                      <w:rFonts w:ascii="宋体" w:hAnsi="宋体" w:eastAsia="宋体" w:cs="宋体"/>
                      <w:color w:val="auto"/>
                      <w:spacing w:val="4"/>
                      <w:position w:val="1"/>
                      <w:sz w:val="21"/>
                      <w:szCs w:val="21"/>
                    </w:rPr>
                    <w:t>氯化钠</w:t>
                  </w:r>
                  <w:r>
                    <w:rPr>
                      <w:rFonts w:ascii="宋体" w:hAnsi="宋体" w:eastAsia="宋体" w:cs="宋体"/>
                      <w:color w:val="auto"/>
                      <w:spacing w:val="4"/>
                      <w:position w:val="1"/>
                      <w:sz w:val="21"/>
                      <w:szCs w:val="21"/>
                    </w:rPr>
                    <w:fldChar w:fldCharType="end"/>
                  </w:r>
                  <w:r>
                    <w:rPr>
                      <w:rFonts w:ascii="宋体" w:hAnsi="宋体" w:eastAsia="宋体" w:cs="宋体"/>
                      <w:color w:val="auto"/>
                      <w:spacing w:val="4"/>
                      <w:position w:val="1"/>
                      <w:sz w:val="21"/>
                      <w:szCs w:val="21"/>
                    </w:rPr>
                    <w:t>，但因含有</w:t>
                  </w:r>
                  <w:r>
                    <w:rPr>
                      <w:color w:val="auto"/>
                      <w:sz w:val="21"/>
                      <w:szCs w:val="21"/>
                    </w:rPr>
                    <w:fldChar w:fldCharType="begin"/>
                  </w:r>
                  <w:r>
                    <w:rPr>
                      <w:color w:val="auto"/>
                      <w:sz w:val="21"/>
                      <w:szCs w:val="21"/>
                    </w:rPr>
                    <w:instrText xml:space="preserve"> HYPERLINK "https://baike.baidu.com/item/%E6%B0%AF%E5%8C%96%E9%95%81/2697448?fromModule=lemma_inlink" </w:instrText>
                  </w:r>
                  <w:r>
                    <w:rPr>
                      <w:color w:val="auto"/>
                      <w:sz w:val="21"/>
                      <w:szCs w:val="21"/>
                    </w:rPr>
                    <w:fldChar w:fldCharType="separate"/>
                  </w:r>
                  <w:r>
                    <w:rPr>
                      <w:rFonts w:ascii="宋体" w:hAnsi="宋体" w:eastAsia="宋体" w:cs="宋体"/>
                      <w:color w:val="auto"/>
                      <w:spacing w:val="4"/>
                      <w:position w:val="1"/>
                      <w:sz w:val="21"/>
                      <w:szCs w:val="21"/>
                    </w:rPr>
                    <w:t>氯化镁</w:t>
                  </w:r>
                  <w:r>
                    <w:rPr>
                      <w:rFonts w:ascii="宋体" w:hAnsi="宋体" w:eastAsia="宋体" w:cs="宋体"/>
                      <w:color w:val="auto"/>
                      <w:spacing w:val="4"/>
                      <w:position w:val="1"/>
                      <w:sz w:val="21"/>
                      <w:szCs w:val="21"/>
                    </w:rPr>
                    <w:fldChar w:fldCharType="end"/>
                  </w:r>
                  <w:r>
                    <w:rPr>
                      <w:rFonts w:ascii="宋体" w:hAnsi="宋体" w:eastAsia="宋体" w:cs="宋体"/>
                      <w:color w:val="auto"/>
                      <w:spacing w:val="4"/>
                      <w:position w:val="1"/>
                      <w:sz w:val="21"/>
                      <w:szCs w:val="21"/>
                    </w:rPr>
                    <w:t>等杂质，在</w:t>
                  </w:r>
                  <w:r>
                    <w:rPr>
                      <w:rFonts w:ascii="宋体" w:hAnsi="宋体" w:eastAsia="宋体" w:cs="宋体"/>
                      <w:color w:val="auto"/>
                      <w:spacing w:val="8"/>
                      <w:sz w:val="21"/>
                      <w:szCs w:val="21"/>
                    </w:rPr>
                    <w:t>空气中较易</w:t>
                  </w:r>
                  <w:r>
                    <w:rPr>
                      <w:color w:val="auto"/>
                      <w:sz w:val="21"/>
                      <w:szCs w:val="21"/>
                    </w:rPr>
                    <w:fldChar w:fldCharType="begin"/>
                  </w:r>
                  <w:r>
                    <w:rPr>
                      <w:color w:val="auto"/>
                      <w:sz w:val="21"/>
                      <w:szCs w:val="21"/>
                    </w:rPr>
                    <w:instrText xml:space="preserve"> HYPERLINK "https://baike.baidu.com/item/%E6%BD%AE%E8%A7%A3/1134316?fromModule=lemma_inlink" </w:instrText>
                  </w:r>
                  <w:r>
                    <w:rPr>
                      <w:color w:val="auto"/>
                      <w:sz w:val="21"/>
                      <w:szCs w:val="21"/>
                    </w:rPr>
                    <w:fldChar w:fldCharType="separate"/>
                  </w:r>
                  <w:r>
                    <w:rPr>
                      <w:rFonts w:ascii="宋体" w:hAnsi="宋体" w:eastAsia="宋体" w:cs="宋体"/>
                      <w:color w:val="auto"/>
                      <w:spacing w:val="8"/>
                      <w:sz w:val="21"/>
                      <w:szCs w:val="21"/>
                    </w:rPr>
                    <w:t>潮解</w:t>
                  </w:r>
                  <w:r>
                    <w:rPr>
                      <w:rFonts w:ascii="宋体" w:hAnsi="宋体" w:eastAsia="宋体" w:cs="宋体"/>
                      <w:color w:val="auto"/>
                      <w:spacing w:val="8"/>
                      <w:sz w:val="21"/>
                      <w:szCs w:val="21"/>
                    </w:rPr>
                    <w:fldChar w:fldCharType="end"/>
                  </w:r>
                  <w:r>
                    <w:rPr>
                      <w:rFonts w:ascii="宋体" w:hAnsi="宋体" w:eastAsia="宋体" w:cs="宋体"/>
                      <w:color w:val="auto"/>
                      <w:spacing w:val="8"/>
                      <w:sz w:val="21"/>
                      <w:szCs w:val="21"/>
                    </w:rPr>
                    <w:t>，因此存放时应注意湿度。</w:t>
                  </w:r>
                </w:p>
              </w:tc>
            </w:tr>
            <w:tr w14:paraId="0D00B7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552BF8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18</w:t>
                  </w:r>
                </w:p>
              </w:tc>
              <w:tc>
                <w:tcPr>
                  <w:tcW w:w="701" w:type="pct"/>
                  <w:tcBorders>
                    <w:tl2br w:val="nil"/>
                    <w:tr2bl w:val="nil"/>
                  </w:tcBorders>
                  <w:vAlign w:val="center"/>
                </w:tcPr>
                <w:p w14:paraId="38EBC0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5"/>
                      <w:sz w:val="21"/>
                      <w:szCs w:val="21"/>
                    </w:rPr>
                    <w:t>碘液</w:t>
                  </w:r>
                </w:p>
              </w:tc>
              <w:tc>
                <w:tcPr>
                  <w:tcW w:w="690" w:type="pct"/>
                  <w:tcBorders>
                    <w:tl2br w:val="nil"/>
                    <w:tr2bl w:val="nil"/>
                  </w:tcBorders>
                  <w:vAlign w:val="center"/>
                </w:tcPr>
                <w:p w14:paraId="13E5E66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3187" w:type="pct"/>
                  <w:tcBorders>
                    <w:tl2br w:val="nil"/>
                    <w:tr2bl w:val="nil"/>
                  </w:tcBorders>
                  <w:vAlign w:val="center"/>
                </w:tcPr>
                <w:p w14:paraId="505C52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碘液指含有</w:t>
                  </w:r>
                  <w:r>
                    <w:rPr>
                      <w:color w:val="auto"/>
                      <w:sz w:val="21"/>
                      <w:szCs w:val="21"/>
                    </w:rPr>
                    <w:fldChar w:fldCharType="begin"/>
                  </w:r>
                  <w:r>
                    <w:rPr>
                      <w:color w:val="auto"/>
                      <w:sz w:val="21"/>
                      <w:szCs w:val="21"/>
                    </w:rPr>
                    <w:instrText xml:space="preserve"> HYPERLINK "https://baike.baidu.com/item/%E7%A2%98%E5%8C%96%E9%92%BE/2690654?fromModule=lemma_inlink" </w:instrText>
                  </w:r>
                  <w:r>
                    <w:rPr>
                      <w:color w:val="auto"/>
                      <w:sz w:val="21"/>
                      <w:szCs w:val="21"/>
                    </w:rPr>
                    <w:fldChar w:fldCharType="separate"/>
                  </w:r>
                  <w:r>
                    <w:rPr>
                      <w:rFonts w:ascii="宋体" w:hAnsi="宋体" w:eastAsia="宋体" w:cs="宋体"/>
                      <w:color w:val="auto"/>
                      <w:spacing w:val="4"/>
                      <w:sz w:val="21"/>
                      <w:szCs w:val="21"/>
                    </w:rPr>
                    <w:t>碘化钾</w:t>
                  </w:r>
                  <w:r>
                    <w:rPr>
                      <w:rFonts w:ascii="宋体" w:hAnsi="宋体" w:eastAsia="宋体" w:cs="宋体"/>
                      <w:color w:val="auto"/>
                      <w:spacing w:val="4"/>
                      <w:sz w:val="21"/>
                      <w:szCs w:val="21"/>
                    </w:rPr>
                    <w:fldChar w:fldCharType="end"/>
                  </w:r>
                  <w:r>
                    <w:rPr>
                      <w:rFonts w:ascii="宋体" w:hAnsi="宋体" w:eastAsia="宋体" w:cs="宋体"/>
                      <w:color w:val="auto"/>
                      <w:spacing w:val="4"/>
                      <w:sz w:val="21"/>
                      <w:szCs w:val="21"/>
                    </w:rPr>
                    <w:t>的溶液，是一种黄色轻微刺激性气味的液体，因为遇强光会分解，所以会经常</w:t>
                  </w:r>
                  <w:r>
                    <w:rPr>
                      <w:rFonts w:ascii="宋体" w:hAnsi="宋体" w:eastAsia="宋体" w:cs="宋体"/>
                      <w:color w:val="auto"/>
                      <w:spacing w:val="8"/>
                      <w:sz w:val="21"/>
                      <w:szCs w:val="21"/>
                    </w:rPr>
                    <w:t>装在深棕色瓶里保存，可溶于水。</w:t>
                  </w:r>
                </w:p>
              </w:tc>
            </w:tr>
            <w:tr w14:paraId="0392A9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6D6AD0E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19</w:t>
                  </w:r>
                </w:p>
              </w:tc>
              <w:tc>
                <w:tcPr>
                  <w:tcW w:w="701" w:type="pct"/>
                  <w:tcBorders>
                    <w:tl2br w:val="nil"/>
                    <w:tr2bl w:val="nil"/>
                  </w:tcBorders>
                  <w:vAlign w:val="center"/>
                </w:tcPr>
                <w:p w14:paraId="0F7E9A7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6"/>
                      <w:sz w:val="21"/>
                      <w:szCs w:val="21"/>
                    </w:rPr>
                    <w:t>生理盐水</w:t>
                  </w:r>
                </w:p>
              </w:tc>
              <w:tc>
                <w:tcPr>
                  <w:tcW w:w="690" w:type="pct"/>
                  <w:tcBorders>
                    <w:tl2br w:val="nil"/>
                    <w:tr2bl w:val="nil"/>
                  </w:tcBorders>
                  <w:vAlign w:val="center"/>
                </w:tcPr>
                <w:p w14:paraId="6D83D8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3187" w:type="pct"/>
                  <w:tcBorders>
                    <w:tl2br w:val="nil"/>
                    <w:tr2bl w:val="nil"/>
                  </w:tcBorders>
                  <w:vAlign w:val="center"/>
                </w:tcPr>
                <w:p w14:paraId="53357D3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8"/>
                      <w:sz w:val="21"/>
                      <w:szCs w:val="21"/>
                    </w:rPr>
                    <w:t>生理盐水就是</w:t>
                  </w:r>
                  <w:r>
                    <w:rPr>
                      <w:rFonts w:ascii="宋体" w:hAnsi="宋体" w:eastAsia="宋体" w:cs="宋体"/>
                      <w:color w:val="auto"/>
                      <w:spacing w:val="-37"/>
                      <w:sz w:val="21"/>
                      <w:szCs w:val="21"/>
                    </w:rPr>
                    <w:t xml:space="preserve"> </w:t>
                  </w:r>
                  <w:r>
                    <w:rPr>
                      <w:rFonts w:ascii="Times New Roman" w:hAnsi="Times New Roman" w:eastAsia="Times New Roman" w:cs="Times New Roman"/>
                      <w:color w:val="auto"/>
                      <w:spacing w:val="8"/>
                      <w:sz w:val="21"/>
                      <w:szCs w:val="21"/>
                    </w:rPr>
                    <w:t>0.9%</w:t>
                  </w:r>
                  <w:r>
                    <w:rPr>
                      <w:rFonts w:ascii="宋体" w:hAnsi="宋体" w:eastAsia="宋体" w:cs="宋体"/>
                      <w:color w:val="auto"/>
                      <w:spacing w:val="8"/>
                      <w:sz w:val="21"/>
                      <w:szCs w:val="21"/>
                    </w:rPr>
                    <w:t>的氯化钠水溶液，因为它的</w:t>
                  </w:r>
                  <w:r>
                    <w:rPr>
                      <w:rFonts w:ascii="宋体" w:hAnsi="宋体" w:eastAsia="宋体" w:cs="宋体"/>
                      <w:color w:val="auto"/>
                      <w:spacing w:val="4"/>
                      <w:sz w:val="21"/>
                      <w:szCs w:val="21"/>
                    </w:rPr>
                    <w:t>渗透压值和正常人的血浆、组织液都是大致一样</w:t>
                  </w:r>
                  <w:r>
                    <w:rPr>
                      <w:rFonts w:ascii="宋体" w:hAnsi="宋体" w:eastAsia="宋体" w:cs="宋体"/>
                      <w:color w:val="auto"/>
                      <w:spacing w:val="3"/>
                      <w:sz w:val="21"/>
                      <w:szCs w:val="21"/>
                    </w:rPr>
                    <w:t>的，所以可以用作补液（不会降低和增加正常人</w:t>
                  </w:r>
                  <w:r>
                    <w:rPr>
                      <w:rFonts w:ascii="宋体" w:hAnsi="宋体" w:eastAsia="宋体" w:cs="宋体"/>
                      <w:color w:val="auto"/>
                      <w:spacing w:val="4"/>
                      <w:sz w:val="21"/>
                      <w:szCs w:val="21"/>
                    </w:rPr>
                    <w:t>体内钠离子浓度）以及其他医疗用途，也常用作</w:t>
                  </w:r>
                  <w:r>
                    <w:rPr>
                      <w:rFonts w:ascii="宋体" w:hAnsi="宋体" w:eastAsia="宋体" w:cs="宋体"/>
                      <w:color w:val="auto"/>
                      <w:spacing w:val="8"/>
                      <w:sz w:val="21"/>
                      <w:szCs w:val="21"/>
                    </w:rPr>
                    <w:t>体外培养活组织、细胞。</w:t>
                  </w:r>
                </w:p>
              </w:tc>
            </w:tr>
            <w:tr w14:paraId="346B6D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5F34E11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20</w:t>
                  </w:r>
                </w:p>
              </w:tc>
              <w:tc>
                <w:tcPr>
                  <w:tcW w:w="701" w:type="pct"/>
                  <w:tcBorders>
                    <w:tl2br w:val="nil"/>
                    <w:tr2bl w:val="nil"/>
                  </w:tcBorders>
                  <w:vAlign w:val="center"/>
                </w:tcPr>
                <w:p w14:paraId="2A1D6B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蔗糖</w:t>
                  </w:r>
                </w:p>
              </w:tc>
              <w:tc>
                <w:tcPr>
                  <w:tcW w:w="690" w:type="pct"/>
                  <w:tcBorders>
                    <w:tl2br w:val="nil"/>
                    <w:tr2bl w:val="nil"/>
                  </w:tcBorders>
                  <w:vAlign w:val="center"/>
                </w:tcPr>
                <w:p w14:paraId="0D9F0E4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3187" w:type="pct"/>
                  <w:tcBorders>
                    <w:tl2br w:val="nil"/>
                    <w:tr2bl w:val="nil"/>
                  </w:tcBorders>
                  <w:vAlign w:val="center"/>
                </w:tcPr>
                <w:p w14:paraId="5E96F5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7"/>
                      <w:sz w:val="21"/>
                      <w:szCs w:val="21"/>
                    </w:rPr>
                    <w:t>天然的蔗糖分子都是右旋的，它是一个由</w:t>
                  </w:r>
                  <w:r>
                    <w:rPr>
                      <w:rFonts w:ascii="Times New Roman" w:hAnsi="Times New Roman" w:eastAsia="Times New Roman" w:cs="Times New Roman"/>
                      <w:color w:val="auto"/>
                      <w:spacing w:val="7"/>
                      <w:sz w:val="21"/>
                      <w:szCs w:val="21"/>
                    </w:rPr>
                    <w:t>D-</w:t>
                  </w:r>
                  <w:r>
                    <w:rPr>
                      <w:rFonts w:hint="eastAsia" w:ascii="Times New Roman" w:hAnsi="Times New Roman" w:eastAsia="宋体" w:cs="Times New Roman"/>
                      <w:color w:val="auto"/>
                      <w:spacing w:val="7"/>
                      <w:sz w:val="21"/>
                      <w:szCs w:val="21"/>
                      <w:lang w:eastAsia="zh-CN"/>
                    </w:rPr>
                    <w:t>（</w:t>
                  </w:r>
                  <w:r>
                    <w:rPr>
                      <w:rFonts w:ascii="Times New Roman" w:hAnsi="Times New Roman" w:eastAsia="Times New Roman" w:cs="Times New Roman"/>
                      <w:color w:val="auto"/>
                      <w:spacing w:val="7"/>
                      <w:sz w:val="21"/>
                      <w:szCs w:val="21"/>
                    </w:rPr>
                    <w:t>+</w:t>
                  </w:r>
                  <w:r>
                    <w:rPr>
                      <w:rFonts w:hint="eastAsia" w:ascii="Times New Roman" w:hAnsi="Times New Roman" w:eastAsia="宋体" w:cs="Times New Roman"/>
                      <w:color w:val="auto"/>
                      <w:spacing w:val="7"/>
                      <w:sz w:val="21"/>
                      <w:szCs w:val="21"/>
                      <w:lang w:eastAsia="zh-CN"/>
                    </w:rPr>
                    <w:t>）</w:t>
                  </w:r>
                  <w:r>
                    <w:rPr>
                      <w:rFonts w:ascii="宋体" w:hAnsi="宋体" w:eastAsia="宋体" w:cs="宋体"/>
                      <w:color w:val="auto"/>
                      <w:spacing w:val="7"/>
                      <w:sz w:val="21"/>
                      <w:szCs w:val="21"/>
                    </w:rPr>
                    <w:t>一葡萄糖和一个</w:t>
                  </w:r>
                  <w:r>
                    <w:rPr>
                      <w:rFonts w:ascii="宋体" w:hAnsi="宋体" w:eastAsia="宋体" w:cs="宋体"/>
                      <w:color w:val="auto"/>
                      <w:spacing w:val="-36"/>
                      <w:sz w:val="21"/>
                      <w:szCs w:val="21"/>
                    </w:rPr>
                    <w:t xml:space="preserve"> </w:t>
                  </w:r>
                  <w:r>
                    <w:rPr>
                      <w:rFonts w:ascii="Times New Roman" w:hAnsi="Times New Roman" w:eastAsia="Times New Roman" w:cs="Times New Roman"/>
                      <w:color w:val="auto"/>
                      <w:spacing w:val="7"/>
                      <w:sz w:val="21"/>
                      <w:szCs w:val="21"/>
                    </w:rPr>
                    <w:t>D-</w:t>
                  </w:r>
                  <w:r>
                    <w:rPr>
                      <w:rFonts w:ascii="宋体" w:hAnsi="宋体" w:eastAsia="宋体" w:cs="宋体"/>
                      <w:color w:val="auto"/>
                      <w:spacing w:val="7"/>
                      <w:sz w:val="21"/>
                      <w:szCs w:val="21"/>
                    </w:rPr>
                    <w:t>（</w:t>
                  </w:r>
                  <w:r>
                    <w:rPr>
                      <w:rFonts w:ascii="Times New Roman" w:hAnsi="Times New Roman" w:eastAsia="Times New Roman" w:cs="Times New Roman"/>
                      <w:color w:val="auto"/>
                      <w:spacing w:val="7"/>
                      <w:sz w:val="21"/>
                      <w:szCs w:val="21"/>
                    </w:rPr>
                    <w:t>-</w:t>
                  </w:r>
                  <w:r>
                    <w:rPr>
                      <w:rFonts w:ascii="宋体" w:hAnsi="宋体" w:eastAsia="宋体" w:cs="宋体"/>
                      <w:color w:val="auto"/>
                      <w:spacing w:val="7"/>
                      <w:sz w:val="21"/>
                      <w:szCs w:val="21"/>
                    </w:rPr>
                    <w:t>）一果糖所构成。水解后</w:t>
                  </w:r>
                  <w:r>
                    <w:rPr>
                      <w:rFonts w:ascii="宋体" w:hAnsi="宋体" w:eastAsia="宋体" w:cs="宋体"/>
                      <w:color w:val="auto"/>
                      <w:spacing w:val="5"/>
                      <w:sz w:val="21"/>
                      <w:szCs w:val="21"/>
                    </w:rPr>
                    <w:t>生成的等量葡萄糖和果糖混合物，是左旋的。由</w:t>
                  </w:r>
                  <w:r>
                    <w:rPr>
                      <w:rFonts w:ascii="宋体" w:hAnsi="宋体" w:eastAsia="宋体" w:cs="宋体"/>
                      <w:color w:val="auto"/>
                      <w:spacing w:val="4"/>
                      <w:sz w:val="21"/>
                      <w:szCs w:val="21"/>
                    </w:rPr>
                    <w:t>于水解使旋光方向发生了转变，一般把蔗糖的水解产物叫做转化糖。纯净的蔗糖为无色单斜楔形</w:t>
                  </w:r>
                  <w:r>
                    <w:rPr>
                      <w:rFonts w:ascii="宋体" w:hAnsi="宋体" w:eastAsia="宋体" w:cs="宋体"/>
                      <w:color w:val="auto"/>
                      <w:spacing w:val="5"/>
                      <w:sz w:val="21"/>
                      <w:szCs w:val="21"/>
                    </w:rPr>
                    <w:t>结晶或结晶性粉末。相对密度为</w:t>
                  </w:r>
                  <w:r>
                    <w:rPr>
                      <w:rFonts w:ascii="Times New Roman" w:hAnsi="Times New Roman" w:eastAsia="Times New Roman" w:cs="Times New Roman"/>
                      <w:color w:val="auto"/>
                      <w:spacing w:val="5"/>
                      <w:sz w:val="21"/>
                      <w:szCs w:val="21"/>
                    </w:rPr>
                    <w:t>1.587</w:t>
                  </w:r>
                  <w:r>
                    <w:rPr>
                      <w:rFonts w:ascii="宋体" w:hAnsi="宋体" w:eastAsia="宋体" w:cs="宋体"/>
                      <w:color w:val="auto"/>
                      <w:spacing w:val="5"/>
                      <w:sz w:val="21"/>
                      <w:szCs w:val="21"/>
                    </w:rPr>
                    <w:t>，熔点</w:t>
                  </w:r>
                  <w:r>
                    <w:rPr>
                      <w:rFonts w:ascii="Times New Roman" w:hAnsi="Times New Roman" w:eastAsia="Times New Roman" w:cs="Times New Roman"/>
                      <w:color w:val="auto"/>
                      <w:spacing w:val="4"/>
                      <w:sz w:val="21"/>
                      <w:szCs w:val="21"/>
                    </w:rPr>
                    <w:t>170</w:t>
                  </w:r>
                  <w:r>
                    <w:rPr>
                      <w:rFonts w:ascii="宋体" w:hAnsi="宋体" w:eastAsia="宋体" w:cs="宋体"/>
                      <w:color w:val="auto"/>
                      <w:spacing w:val="4"/>
                      <w:sz w:val="21"/>
                      <w:szCs w:val="21"/>
                    </w:rPr>
                    <w:t>～</w:t>
                  </w:r>
                  <w:r>
                    <w:rPr>
                      <w:rFonts w:ascii="Times New Roman" w:hAnsi="Times New Roman" w:eastAsia="Times New Roman" w:cs="Times New Roman"/>
                      <w:color w:val="auto"/>
                      <w:spacing w:val="4"/>
                      <w:sz w:val="21"/>
                      <w:szCs w:val="21"/>
                    </w:rPr>
                    <w:t>186℃</w:t>
                  </w:r>
                  <w:r>
                    <w:rPr>
                      <w:rFonts w:ascii="宋体" w:hAnsi="宋体" w:eastAsia="宋体" w:cs="宋体"/>
                      <w:color w:val="auto"/>
                      <w:spacing w:val="4"/>
                      <w:sz w:val="21"/>
                      <w:szCs w:val="21"/>
                    </w:rPr>
                    <w:t>（分解</w:t>
                  </w:r>
                  <w:r>
                    <w:rPr>
                      <w:rFonts w:ascii="宋体" w:hAnsi="宋体" w:eastAsia="宋体" w:cs="宋体"/>
                      <w:color w:val="auto"/>
                      <w:spacing w:val="30"/>
                      <w:sz w:val="21"/>
                      <w:szCs w:val="21"/>
                    </w:rPr>
                    <w:t>），</w:t>
                  </w:r>
                  <w:r>
                    <w:rPr>
                      <w:rFonts w:ascii="宋体" w:hAnsi="宋体" w:eastAsia="宋体" w:cs="宋体"/>
                      <w:color w:val="auto"/>
                      <w:spacing w:val="4"/>
                      <w:sz w:val="21"/>
                      <w:szCs w:val="21"/>
                    </w:rPr>
                    <w:t>比旋光度为</w:t>
                  </w:r>
                  <w:r>
                    <w:rPr>
                      <w:rFonts w:ascii="Times New Roman" w:hAnsi="Times New Roman" w:eastAsia="Times New Roman" w:cs="Times New Roman"/>
                      <w:color w:val="auto"/>
                      <w:spacing w:val="4"/>
                      <w:sz w:val="21"/>
                      <w:szCs w:val="21"/>
                    </w:rPr>
                    <w:t>+66.5℃</w:t>
                  </w:r>
                  <w:r>
                    <w:rPr>
                      <w:rFonts w:ascii="宋体" w:hAnsi="宋体" w:eastAsia="宋体" w:cs="宋体"/>
                      <w:color w:val="auto"/>
                      <w:spacing w:val="4"/>
                      <w:sz w:val="21"/>
                      <w:szCs w:val="21"/>
                    </w:rPr>
                    <w:t>。易溶于水，微溶于乙醇，不溶于乙醚和乙酯乙酯等</w:t>
                  </w:r>
                  <w:r>
                    <w:rPr>
                      <w:rFonts w:ascii="宋体" w:hAnsi="宋体" w:eastAsia="宋体" w:cs="宋体"/>
                      <w:color w:val="auto"/>
                      <w:spacing w:val="5"/>
                      <w:sz w:val="21"/>
                      <w:szCs w:val="21"/>
                    </w:rPr>
                    <w:t>有机溶剂。</w:t>
                  </w:r>
                </w:p>
              </w:tc>
            </w:tr>
            <w:tr w14:paraId="0AA726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50666C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21</w:t>
                  </w:r>
                </w:p>
              </w:tc>
              <w:tc>
                <w:tcPr>
                  <w:tcW w:w="701" w:type="pct"/>
                  <w:tcBorders>
                    <w:tl2br w:val="nil"/>
                    <w:tr2bl w:val="nil"/>
                  </w:tcBorders>
                  <w:vAlign w:val="center"/>
                </w:tcPr>
                <w:p w14:paraId="7E8E67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氨水</w:t>
                  </w:r>
                </w:p>
              </w:tc>
              <w:tc>
                <w:tcPr>
                  <w:tcW w:w="690" w:type="pct"/>
                  <w:tcBorders>
                    <w:tl2br w:val="nil"/>
                    <w:tr2bl w:val="nil"/>
                  </w:tcBorders>
                  <w:vAlign w:val="center"/>
                </w:tcPr>
                <w:p w14:paraId="285244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1336-21-6</w:t>
                  </w:r>
                </w:p>
              </w:tc>
              <w:tc>
                <w:tcPr>
                  <w:tcW w:w="3187" w:type="pct"/>
                  <w:tcBorders>
                    <w:tl2br w:val="nil"/>
                    <w:tr2bl w:val="nil"/>
                  </w:tcBorders>
                  <w:vAlign w:val="center"/>
                </w:tcPr>
                <w:p w14:paraId="487DEC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7"/>
                      <w:sz w:val="21"/>
                      <w:szCs w:val="21"/>
                    </w:rPr>
                    <w:t>无色透明液体，具有氨的特殊气味，呈强碱性。</w:t>
                  </w:r>
                  <w:r>
                    <w:rPr>
                      <w:rFonts w:ascii="宋体" w:hAnsi="宋体" w:eastAsia="宋体" w:cs="宋体"/>
                      <w:color w:val="auto"/>
                      <w:spacing w:val="10"/>
                      <w:sz w:val="21"/>
                      <w:szCs w:val="21"/>
                    </w:rPr>
                    <w:t>比水轻，常温下饱和氨水含氨量为</w:t>
                  </w:r>
                  <w:r>
                    <w:rPr>
                      <w:rFonts w:ascii="Times New Roman" w:hAnsi="Times New Roman" w:eastAsia="Times New Roman" w:cs="Times New Roman"/>
                      <w:color w:val="auto"/>
                      <w:spacing w:val="10"/>
                      <w:sz w:val="21"/>
                      <w:szCs w:val="21"/>
                    </w:rPr>
                    <w:t>25%</w:t>
                  </w:r>
                  <w:r>
                    <w:rPr>
                      <w:rFonts w:ascii="宋体" w:hAnsi="宋体" w:eastAsia="宋体" w:cs="宋体"/>
                      <w:color w:val="auto"/>
                      <w:spacing w:val="10"/>
                      <w:sz w:val="21"/>
                      <w:szCs w:val="21"/>
                    </w:rPr>
                    <w:t>～</w:t>
                  </w:r>
                  <w:r>
                    <w:rPr>
                      <w:rFonts w:ascii="Times New Roman" w:hAnsi="Times New Roman" w:eastAsia="Times New Roman" w:cs="Times New Roman"/>
                      <w:color w:val="auto"/>
                      <w:spacing w:val="10"/>
                      <w:sz w:val="21"/>
                      <w:szCs w:val="21"/>
                    </w:rPr>
                    <w:t>27%</w:t>
                  </w:r>
                  <w:r>
                    <w:rPr>
                      <w:rFonts w:ascii="宋体" w:hAnsi="宋体" w:eastAsia="宋体" w:cs="宋体"/>
                      <w:color w:val="auto"/>
                      <w:spacing w:val="10"/>
                      <w:sz w:val="21"/>
                      <w:szCs w:val="21"/>
                    </w:rPr>
                    <w:t>，</w:t>
                  </w:r>
                  <w:r>
                    <w:rPr>
                      <w:rFonts w:ascii="Times New Roman" w:hAnsi="Times New Roman" w:eastAsia="Times New Roman" w:cs="Times New Roman"/>
                      <w:color w:val="auto"/>
                      <w:spacing w:val="8"/>
                      <w:sz w:val="21"/>
                      <w:szCs w:val="21"/>
                    </w:rPr>
                    <w:t>25℃</w:t>
                  </w:r>
                  <w:r>
                    <w:rPr>
                      <w:rFonts w:ascii="宋体" w:hAnsi="宋体" w:eastAsia="宋体" w:cs="宋体"/>
                      <w:color w:val="auto"/>
                      <w:spacing w:val="8"/>
                      <w:sz w:val="21"/>
                      <w:szCs w:val="21"/>
                    </w:rPr>
                    <w:t>时密度为</w:t>
                  </w:r>
                  <w:r>
                    <w:rPr>
                      <w:rFonts w:ascii="Times New Roman" w:hAnsi="Times New Roman" w:eastAsia="Times New Roman" w:cs="Times New Roman"/>
                      <w:color w:val="auto"/>
                      <w:spacing w:val="8"/>
                      <w:sz w:val="21"/>
                      <w:szCs w:val="21"/>
                    </w:rPr>
                    <w:t>0.90g/</w:t>
                  </w:r>
                  <w:r>
                    <w:rPr>
                      <w:rFonts w:ascii="Times New Roman" w:hAnsi="Times New Roman" w:eastAsia="Times New Roman" w:cs="Times New Roman"/>
                      <w:color w:val="auto"/>
                      <w:sz w:val="21"/>
                      <w:szCs w:val="21"/>
                    </w:rPr>
                    <w:t>mL</w:t>
                  </w:r>
                  <w:r>
                    <w:rPr>
                      <w:rFonts w:ascii="宋体" w:hAnsi="宋体" w:eastAsia="宋体" w:cs="宋体"/>
                      <w:color w:val="auto"/>
                      <w:spacing w:val="8"/>
                      <w:sz w:val="21"/>
                      <w:szCs w:val="21"/>
                    </w:rPr>
                    <w:t>。能与醇、醚相混溶，</w:t>
                  </w:r>
                  <w:r>
                    <w:rPr>
                      <w:rFonts w:ascii="宋体" w:hAnsi="宋体" w:eastAsia="宋体" w:cs="宋体"/>
                      <w:color w:val="auto"/>
                      <w:spacing w:val="4"/>
                      <w:sz w:val="21"/>
                      <w:szCs w:val="21"/>
                    </w:rPr>
                    <w:t>遇酸剧烈反应放热生成盐。当热至沸腾时，氨气可全部从溶液中逸出。氨与空气的混合物有爆炸</w:t>
                  </w:r>
                  <w:r>
                    <w:rPr>
                      <w:rFonts w:ascii="宋体" w:hAnsi="宋体" w:eastAsia="宋体" w:cs="宋体"/>
                      <w:color w:val="auto"/>
                      <w:spacing w:val="2"/>
                      <w:sz w:val="21"/>
                      <w:szCs w:val="21"/>
                    </w:rPr>
                    <w:t>的危险性。</w:t>
                  </w:r>
                </w:p>
              </w:tc>
            </w:tr>
            <w:tr w14:paraId="164834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653BC5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22</w:t>
                  </w:r>
                </w:p>
              </w:tc>
              <w:tc>
                <w:tcPr>
                  <w:tcW w:w="701" w:type="pct"/>
                  <w:tcBorders>
                    <w:tl2br w:val="nil"/>
                    <w:tr2bl w:val="nil"/>
                  </w:tcBorders>
                  <w:vAlign w:val="center"/>
                </w:tcPr>
                <w:p w14:paraId="6F6E5B4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7"/>
                      <w:sz w:val="21"/>
                      <w:szCs w:val="21"/>
                    </w:rPr>
                    <w:t>过氧化氢</w:t>
                  </w:r>
                </w:p>
              </w:tc>
              <w:tc>
                <w:tcPr>
                  <w:tcW w:w="690" w:type="pct"/>
                  <w:tcBorders>
                    <w:tl2br w:val="nil"/>
                    <w:tr2bl w:val="nil"/>
                  </w:tcBorders>
                  <w:vAlign w:val="center"/>
                </w:tcPr>
                <w:p w14:paraId="4CBE590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7722-84-1</w:t>
                  </w:r>
                </w:p>
              </w:tc>
              <w:tc>
                <w:tcPr>
                  <w:tcW w:w="3187" w:type="pct"/>
                  <w:tcBorders>
                    <w:tl2br w:val="nil"/>
                    <w:tr2bl w:val="nil"/>
                  </w:tcBorders>
                  <w:vAlign w:val="center"/>
                </w:tcPr>
                <w:p w14:paraId="412A4D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8"/>
                      <w:sz w:val="21"/>
                      <w:szCs w:val="21"/>
                    </w:rPr>
                    <w:t>无色透明液体．</w:t>
                  </w:r>
                  <w:r>
                    <w:rPr>
                      <w:rFonts w:ascii="Times New Roman" w:hAnsi="Times New Roman" w:eastAsia="Times New Roman" w:cs="Times New Roman"/>
                      <w:color w:val="auto"/>
                      <w:spacing w:val="8"/>
                      <w:sz w:val="21"/>
                      <w:szCs w:val="21"/>
                    </w:rPr>
                    <w:t>30%</w:t>
                  </w:r>
                  <w:r>
                    <w:rPr>
                      <w:rFonts w:ascii="宋体" w:hAnsi="宋体" w:eastAsia="宋体" w:cs="宋体"/>
                      <w:color w:val="auto"/>
                      <w:spacing w:val="8"/>
                      <w:sz w:val="21"/>
                      <w:szCs w:val="21"/>
                    </w:rPr>
                    <w:t>过氧化氢在</w:t>
                  </w:r>
                  <w:r>
                    <w:rPr>
                      <w:rFonts w:ascii="宋体" w:hAnsi="宋体" w:eastAsia="宋体" w:cs="宋体"/>
                      <w:color w:val="auto"/>
                      <w:spacing w:val="-37"/>
                      <w:sz w:val="21"/>
                      <w:szCs w:val="21"/>
                    </w:rPr>
                    <w:t xml:space="preserve"> </w:t>
                  </w:r>
                  <w:r>
                    <w:rPr>
                      <w:rFonts w:ascii="Times New Roman" w:hAnsi="Times New Roman" w:eastAsia="Times New Roman" w:cs="Times New Roman"/>
                      <w:color w:val="auto"/>
                      <w:spacing w:val="8"/>
                      <w:sz w:val="21"/>
                      <w:szCs w:val="21"/>
                    </w:rPr>
                    <w:t>25℃</w:t>
                  </w:r>
                  <w:r>
                    <w:rPr>
                      <w:rFonts w:ascii="宋体" w:hAnsi="宋体" w:eastAsia="宋体" w:cs="宋体"/>
                      <w:color w:val="auto"/>
                      <w:spacing w:val="8"/>
                      <w:sz w:val="21"/>
                      <w:szCs w:val="21"/>
                    </w:rPr>
                    <w:t>时密度为</w:t>
                  </w:r>
                  <w:r>
                    <w:rPr>
                      <w:rFonts w:ascii="Times New Roman" w:hAnsi="Times New Roman" w:eastAsia="Times New Roman" w:cs="Times New Roman"/>
                      <w:color w:val="auto"/>
                      <w:spacing w:val="6"/>
                      <w:sz w:val="21"/>
                      <w:szCs w:val="21"/>
                    </w:rPr>
                    <w:t>1.</w:t>
                  </w:r>
                  <w:r>
                    <w:rPr>
                      <w:rFonts w:hint="eastAsia" w:ascii="Times New Roman" w:hAnsi="Times New Roman" w:eastAsia="宋体" w:cs="Times New Roman"/>
                      <w:color w:val="auto"/>
                      <w:sz w:val="21"/>
                      <w:szCs w:val="21"/>
                      <w:lang w:val="en-US" w:eastAsia="zh-CN"/>
                    </w:rPr>
                    <w:t>11</w:t>
                  </w:r>
                  <w:r>
                    <w:rPr>
                      <w:rFonts w:ascii="Times New Roman" w:hAnsi="Times New Roman" w:eastAsia="Times New Roman" w:cs="Times New Roman"/>
                      <w:color w:val="auto"/>
                      <w:sz w:val="21"/>
                      <w:szCs w:val="21"/>
                    </w:rPr>
                    <w:t>g</w:t>
                  </w:r>
                  <w:r>
                    <w:rPr>
                      <w:rFonts w:ascii="Times New Roman" w:hAnsi="Times New Roman" w:eastAsia="Times New Roman" w:cs="Times New Roman"/>
                      <w:color w:val="auto"/>
                      <w:spacing w:val="6"/>
                      <w:sz w:val="21"/>
                      <w:szCs w:val="21"/>
                    </w:rPr>
                    <w:t>/</w:t>
                  </w:r>
                  <w:r>
                    <w:rPr>
                      <w:rFonts w:ascii="Times New Roman" w:hAnsi="Times New Roman" w:eastAsia="Times New Roman" w:cs="Times New Roman"/>
                      <w:color w:val="auto"/>
                      <w:sz w:val="21"/>
                      <w:szCs w:val="21"/>
                    </w:rPr>
                    <w:t>mL</w:t>
                  </w:r>
                  <w:r>
                    <w:rPr>
                      <w:rFonts w:ascii="宋体" w:hAnsi="宋体" w:eastAsia="宋体" w:cs="宋体"/>
                      <w:color w:val="auto"/>
                      <w:spacing w:val="6"/>
                      <w:sz w:val="21"/>
                      <w:szCs w:val="21"/>
                    </w:rPr>
                    <w:t>。过氧化氢是极弱的酸，是强氧化剂，</w:t>
                  </w:r>
                  <w:r>
                    <w:rPr>
                      <w:rFonts w:ascii="宋体" w:hAnsi="宋体" w:eastAsia="宋体" w:cs="宋体"/>
                      <w:color w:val="auto"/>
                      <w:spacing w:val="4"/>
                      <w:sz w:val="21"/>
                      <w:szCs w:val="21"/>
                    </w:rPr>
                    <w:t>高浓度过氧化氢接触有机物时可使其燃烧，与二</w:t>
                  </w:r>
                  <w:r>
                    <w:rPr>
                      <w:rFonts w:ascii="宋体" w:hAnsi="宋体" w:eastAsia="宋体" w:cs="宋体"/>
                      <w:color w:val="auto"/>
                      <w:spacing w:val="8"/>
                      <w:sz w:val="21"/>
                      <w:szCs w:val="21"/>
                    </w:rPr>
                    <w:t>氧化锰作用会发生爆炸。</w:t>
                  </w:r>
                </w:p>
              </w:tc>
            </w:tr>
            <w:tr w14:paraId="400A20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73BB47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23</w:t>
                  </w:r>
                </w:p>
              </w:tc>
              <w:tc>
                <w:tcPr>
                  <w:tcW w:w="701" w:type="pct"/>
                  <w:tcBorders>
                    <w:tl2br w:val="nil"/>
                    <w:tr2bl w:val="nil"/>
                  </w:tcBorders>
                  <w:vAlign w:val="center"/>
                </w:tcPr>
                <w:p w14:paraId="1118AD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6"/>
                      <w:sz w:val="21"/>
                      <w:szCs w:val="21"/>
                    </w:rPr>
                    <w:t>二氧化锰</w:t>
                  </w:r>
                </w:p>
              </w:tc>
              <w:tc>
                <w:tcPr>
                  <w:tcW w:w="690" w:type="pct"/>
                  <w:tcBorders>
                    <w:tl2br w:val="nil"/>
                    <w:tr2bl w:val="nil"/>
                  </w:tcBorders>
                  <w:vAlign w:val="center"/>
                </w:tcPr>
                <w:p w14:paraId="3F53AEF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1313-13-9</w:t>
                  </w:r>
                </w:p>
              </w:tc>
              <w:tc>
                <w:tcPr>
                  <w:tcW w:w="3187" w:type="pct"/>
                  <w:tcBorders>
                    <w:tl2br w:val="nil"/>
                    <w:tr2bl w:val="nil"/>
                  </w:tcBorders>
                  <w:vAlign w:val="center"/>
                </w:tcPr>
                <w:p w14:paraId="6DFF50A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7"/>
                      <w:sz w:val="21"/>
                      <w:szCs w:val="21"/>
                    </w:rPr>
                    <w:t>黑色或棕色四方形结晶、无定形粉末或块状物。</w:t>
                  </w:r>
                  <w:r>
                    <w:rPr>
                      <w:rFonts w:ascii="宋体" w:hAnsi="宋体" w:eastAsia="宋体" w:cs="宋体"/>
                      <w:color w:val="auto"/>
                      <w:spacing w:val="4"/>
                      <w:sz w:val="21"/>
                      <w:szCs w:val="21"/>
                    </w:rPr>
                    <w:t>熔点</w:t>
                  </w:r>
                  <w:r>
                    <w:rPr>
                      <w:rFonts w:ascii="宋体" w:hAnsi="宋体" w:eastAsia="宋体" w:cs="宋体"/>
                      <w:color w:val="auto"/>
                      <w:spacing w:val="-34"/>
                      <w:sz w:val="21"/>
                      <w:szCs w:val="21"/>
                    </w:rPr>
                    <w:t xml:space="preserve"> </w:t>
                  </w:r>
                  <w:r>
                    <w:rPr>
                      <w:rFonts w:ascii="Times New Roman" w:hAnsi="Times New Roman" w:eastAsia="Times New Roman" w:cs="Times New Roman"/>
                      <w:color w:val="auto"/>
                      <w:spacing w:val="4"/>
                      <w:sz w:val="21"/>
                      <w:szCs w:val="21"/>
                    </w:rPr>
                    <w:t>535℃</w:t>
                  </w:r>
                  <w:r>
                    <w:rPr>
                      <w:rFonts w:ascii="宋体" w:hAnsi="宋体" w:eastAsia="宋体" w:cs="宋体"/>
                      <w:color w:val="auto"/>
                      <w:spacing w:val="4"/>
                      <w:sz w:val="21"/>
                      <w:szCs w:val="21"/>
                    </w:rPr>
                    <w:t>（分解</w:t>
                  </w:r>
                  <w:r>
                    <w:rPr>
                      <w:rFonts w:ascii="宋体" w:hAnsi="宋体" w:eastAsia="宋体" w:cs="宋体"/>
                      <w:color w:val="auto"/>
                      <w:spacing w:val="2"/>
                      <w:sz w:val="21"/>
                      <w:szCs w:val="21"/>
                    </w:rPr>
                    <w:t>）</w:t>
                  </w:r>
                  <w:r>
                    <w:rPr>
                      <w:rFonts w:ascii="宋体" w:hAnsi="宋体" w:eastAsia="宋体" w:cs="宋体"/>
                      <w:color w:val="auto"/>
                      <w:spacing w:val="4"/>
                      <w:sz w:val="21"/>
                      <w:szCs w:val="21"/>
                    </w:rPr>
                    <w:t>。溶于盐酸并放出氯气，不溶于水、丙酮、硝酸或浓硫酸，但有过氧化氢或草酸存在时，能溶于稀硫酸或硝酸。具</w:t>
                  </w:r>
                  <w:r>
                    <w:rPr>
                      <w:rFonts w:ascii="宋体" w:hAnsi="宋体" w:eastAsia="宋体" w:cs="宋体"/>
                      <w:color w:val="auto"/>
                      <w:spacing w:val="6"/>
                      <w:sz w:val="21"/>
                      <w:szCs w:val="21"/>
                    </w:rPr>
                    <w:t>有强氧化性。在氢气中加热约至</w:t>
                  </w:r>
                  <w:r>
                    <w:rPr>
                      <w:rFonts w:ascii="宋体" w:hAnsi="宋体" w:eastAsia="宋体" w:cs="宋体"/>
                      <w:color w:val="auto"/>
                      <w:spacing w:val="-41"/>
                      <w:sz w:val="21"/>
                      <w:szCs w:val="21"/>
                    </w:rPr>
                    <w:t xml:space="preserve"> </w:t>
                  </w:r>
                  <w:r>
                    <w:rPr>
                      <w:rFonts w:ascii="Times New Roman" w:hAnsi="Times New Roman" w:eastAsia="Times New Roman" w:cs="Times New Roman"/>
                      <w:color w:val="auto"/>
                      <w:spacing w:val="6"/>
                      <w:sz w:val="21"/>
                      <w:szCs w:val="21"/>
                    </w:rPr>
                    <w:t>200℃</w:t>
                  </w:r>
                  <w:r>
                    <w:rPr>
                      <w:rFonts w:ascii="宋体" w:hAnsi="宋体" w:eastAsia="宋体" w:cs="宋体"/>
                      <w:color w:val="auto"/>
                      <w:spacing w:val="6"/>
                      <w:sz w:val="21"/>
                      <w:szCs w:val="21"/>
                    </w:rPr>
                    <w:t>时，生成</w:t>
                  </w:r>
                  <w:r>
                    <w:rPr>
                      <w:rFonts w:ascii="宋体" w:hAnsi="宋体" w:eastAsia="宋体" w:cs="宋体"/>
                      <w:color w:val="auto"/>
                      <w:spacing w:val="4"/>
                      <w:sz w:val="21"/>
                      <w:szCs w:val="21"/>
                    </w:rPr>
                    <w:t>三氧化二锰及四氧化三锰。与易燃物、有机物接触易着火燃烧。与过氧化氢发生爆炸性反应。接</w:t>
                  </w:r>
                  <w:r>
                    <w:rPr>
                      <w:rFonts w:ascii="宋体" w:hAnsi="宋体" w:eastAsia="宋体" w:cs="宋体"/>
                      <w:color w:val="auto"/>
                      <w:spacing w:val="11"/>
                      <w:sz w:val="21"/>
                      <w:szCs w:val="21"/>
                    </w:rPr>
                    <w:t>触硫化氢能着火。与还原剂能发生强烈反应。</w:t>
                  </w:r>
                </w:p>
              </w:tc>
            </w:tr>
            <w:tr w14:paraId="092B5A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67D482A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24</w:t>
                  </w:r>
                </w:p>
              </w:tc>
              <w:tc>
                <w:tcPr>
                  <w:tcW w:w="701" w:type="pct"/>
                  <w:tcBorders>
                    <w:tl2br w:val="nil"/>
                    <w:tr2bl w:val="nil"/>
                  </w:tcBorders>
                  <w:vAlign w:val="center"/>
                </w:tcPr>
                <w:p w14:paraId="32BFD4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铝片</w:t>
                  </w:r>
                </w:p>
              </w:tc>
              <w:tc>
                <w:tcPr>
                  <w:tcW w:w="690" w:type="pct"/>
                  <w:tcBorders>
                    <w:tl2br w:val="nil"/>
                    <w:tr2bl w:val="nil"/>
                  </w:tcBorders>
                  <w:vAlign w:val="center"/>
                </w:tcPr>
                <w:p w14:paraId="6136D8D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7429-90-5</w:t>
                  </w:r>
                </w:p>
              </w:tc>
              <w:tc>
                <w:tcPr>
                  <w:tcW w:w="3187" w:type="pct"/>
                  <w:tcBorders>
                    <w:tl2br w:val="nil"/>
                    <w:tr2bl w:val="nil"/>
                  </w:tcBorders>
                  <w:vAlign w:val="center"/>
                </w:tcPr>
                <w:p w14:paraId="75FCE1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为白色延性金属。熔点</w:t>
                  </w:r>
                  <w:r>
                    <w:rPr>
                      <w:rFonts w:ascii="宋体" w:hAnsi="宋体" w:eastAsia="宋体" w:cs="宋体"/>
                      <w:color w:val="auto"/>
                      <w:spacing w:val="-33"/>
                      <w:sz w:val="21"/>
                      <w:szCs w:val="21"/>
                    </w:rPr>
                    <w:t xml:space="preserve"> </w:t>
                  </w:r>
                  <w:r>
                    <w:rPr>
                      <w:rFonts w:ascii="Times New Roman" w:hAnsi="Times New Roman" w:eastAsia="Times New Roman" w:cs="Times New Roman"/>
                      <w:color w:val="auto"/>
                      <w:spacing w:val="4"/>
                      <w:sz w:val="21"/>
                      <w:szCs w:val="21"/>
                    </w:rPr>
                    <w:t>660.37℃</w:t>
                  </w:r>
                  <w:r>
                    <w:rPr>
                      <w:rFonts w:ascii="宋体" w:hAnsi="宋体" w:eastAsia="宋体" w:cs="宋体"/>
                      <w:color w:val="auto"/>
                      <w:spacing w:val="4"/>
                      <w:sz w:val="21"/>
                      <w:szCs w:val="21"/>
                    </w:rPr>
                    <w:t>；沸点</w:t>
                  </w:r>
                  <w:r>
                    <w:rPr>
                      <w:rFonts w:ascii="宋体" w:hAnsi="宋体" w:eastAsia="宋体" w:cs="宋体"/>
                      <w:color w:val="auto"/>
                      <w:spacing w:val="-43"/>
                      <w:sz w:val="21"/>
                      <w:szCs w:val="21"/>
                    </w:rPr>
                    <w:t xml:space="preserve"> </w:t>
                  </w:r>
                  <w:r>
                    <w:rPr>
                      <w:rFonts w:ascii="Times New Roman" w:hAnsi="Times New Roman" w:eastAsia="Times New Roman" w:cs="Times New Roman"/>
                      <w:color w:val="auto"/>
                      <w:spacing w:val="4"/>
                      <w:sz w:val="21"/>
                      <w:szCs w:val="21"/>
                    </w:rPr>
                    <w:t>2467℃</w:t>
                  </w:r>
                  <w:r>
                    <w:rPr>
                      <w:rFonts w:ascii="宋体" w:hAnsi="宋体" w:eastAsia="宋体" w:cs="宋体"/>
                      <w:color w:val="auto"/>
                      <w:spacing w:val="4"/>
                      <w:sz w:val="21"/>
                      <w:szCs w:val="21"/>
                    </w:rPr>
                    <w:t>;</w:t>
                  </w:r>
                  <w:r>
                    <w:rPr>
                      <w:rFonts w:ascii="宋体" w:hAnsi="宋体" w:eastAsia="宋体" w:cs="宋体"/>
                      <w:color w:val="auto"/>
                      <w:spacing w:val="7"/>
                      <w:sz w:val="21"/>
                      <w:szCs w:val="21"/>
                    </w:rPr>
                    <w:t>相对密度</w:t>
                  </w:r>
                  <w:r>
                    <w:rPr>
                      <w:rFonts w:ascii="宋体" w:hAnsi="宋体" w:eastAsia="宋体" w:cs="宋体"/>
                      <w:color w:val="auto"/>
                      <w:spacing w:val="-41"/>
                      <w:sz w:val="21"/>
                      <w:szCs w:val="21"/>
                    </w:rPr>
                    <w:t xml:space="preserve"> </w:t>
                  </w:r>
                  <w:r>
                    <w:rPr>
                      <w:rFonts w:ascii="Times New Roman" w:hAnsi="Times New Roman" w:eastAsia="Times New Roman" w:cs="Times New Roman"/>
                      <w:color w:val="auto"/>
                      <w:spacing w:val="7"/>
                      <w:sz w:val="21"/>
                      <w:szCs w:val="21"/>
                    </w:rPr>
                    <w:t>2.102</w:t>
                  </w:r>
                  <w:r>
                    <w:rPr>
                      <w:rFonts w:ascii="Times New Roman" w:hAnsi="Times New Roman" w:eastAsia="Times New Roman" w:cs="Times New Roman"/>
                      <w:color w:val="auto"/>
                      <w:spacing w:val="-22"/>
                      <w:sz w:val="21"/>
                      <w:szCs w:val="21"/>
                    </w:rPr>
                    <w:t xml:space="preserve"> </w:t>
                  </w:r>
                  <w:r>
                    <w:rPr>
                      <w:rFonts w:ascii="宋体" w:hAnsi="宋体" w:eastAsia="宋体" w:cs="宋体"/>
                      <w:color w:val="auto"/>
                      <w:spacing w:val="7"/>
                      <w:sz w:val="21"/>
                      <w:szCs w:val="21"/>
                    </w:rPr>
                    <w:t>。溶于碱、盐酸、硫酸</w:t>
                  </w:r>
                  <w:r>
                    <w:rPr>
                      <w:rFonts w:ascii="宋体" w:hAnsi="宋体" w:eastAsia="宋体" w:cs="宋体"/>
                      <w:color w:val="auto"/>
                      <w:spacing w:val="6"/>
                      <w:sz w:val="21"/>
                      <w:szCs w:val="21"/>
                    </w:rPr>
                    <w:t>，不溶于</w:t>
                  </w:r>
                  <w:r>
                    <w:rPr>
                      <w:rFonts w:ascii="宋体" w:hAnsi="宋体" w:eastAsia="宋体" w:cs="宋体"/>
                      <w:color w:val="auto"/>
                      <w:spacing w:val="4"/>
                      <w:sz w:val="21"/>
                      <w:szCs w:val="21"/>
                    </w:rPr>
                    <w:t>水、浓硝酸、热醋酸。为热、电的良导体。具有</w:t>
                  </w:r>
                  <w:r>
                    <w:rPr>
                      <w:rFonts w:ascii="宋体" w:hAnsi="宋体" w:eastAsia="宋体" w:cs="宋体"/>
                      <w:color w:val="auto"/>
                      <w:spacing w:val="3"/>
                      <w:sz w:val="21"/>
                      <w:szCs w:val="21"/>
                    </w:rPr>
                    <w:t>比原铝更好的导电住、延展性、反射性和抗腐蚀</w:t>
                  </w:r>
                  <w:r>
                    <w:rPr>
                      <w:rFonts w:ascii="宋体" w:hAnsi="宋体" w:eastAsia="宋体" w:cs="宋体"/>
                      <w:color w:val="auto"/>
                      <w:spacing w:val="4"/>
                      <w:sz w:val="21"/>
                      <w:szCs w:val="21"/>
                    </w:rPr>
                    <w:t>性，粉体与空气可形成爆炸性混合物，当达到一定的浓度时，遇火星会发生爆炸。与氧化剂混合能形成有爆炸性的混合物。与氟、氯等能发生剧</w:t>
                  </w:r>
                  <w:r>
                    <w:rPr>
                      <w:rFonts w:ascii="宋体" w:hAnsi="宋体" w:eastAsia="宋体" w:cs="宋体"/>
                      <w:color w:val="auto"/>
                      <w:spacing w:val="6"/>
                      <w:sz w:val="21"/>
                      <w:szCs w:val="21"/>
                    </w:rPr>
                    <w:t>烈的化学反应。</w:t>
                  </w:r>
                </w:p>
              </w:tc>
            </w:tr>
            <w:tr w14:paraId="23C954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5ABF2B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25</w:t>
                  </w:r>
                </w:p>
              </w:tc>
              <w:tc>
                <w:tcPr>
                  <w:tcW w:w="701" w:type="pct"/>
                  <w:tcBorders>
                    <w:tl2br w:val="nil"/>
                    <w:tr2bl w:val="nil"/>
                  </w:tcBorders>
                  <w:vAlign w:val="center"/>
                </w:tcPr>
                <w:p w14:paraId="678586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5"/>
                      <w:sz w:val="21"/>
                      <w:szCs w:val="21"/>
                    </w:rPr>
                    <w:t>铁片</w:t>
                  </w:r>
                </w:p>
              </w:tc>
              <w:tc>
                <w:tcPr>
                  <w:tcW w:w="690" w:type="pct"/>
                  <w:tcBorders>
                    <w:tl2br w:val="nil"/>
                    <w:tr2bl w:val="nil"/>
                  </w:tcBorders>
                  <w:vAlign w:val="center"/>
                </w:tcPr>
                <w:p w14:paraId="4898242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7439-89-6</w:t>
                  </w:r>
                </w:p>
              </w:tc>
              <w:tc>
                <w:tcPr>
                  <w:tcW w:w="3187" w:type="pct"/>
                  <w:tcBorders>
                    <w:tl2br w:val="nil"/>
                    <w:tr2bl w:val="nil"/>
                  </w:tcBorders>
                  <w:vAlign w:val="center"/>
                </w:tcPr>
                <w:p w14:paraId="5A82884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灰黑色无定形粉末。商品通常含有其他原子，如</w:t>
                  </w:r>
                  <w:r>
                    <w:rPr>
                      <w:rFonts w:ascii="Times New Roman" w:hAnsi="Times New Roman" w:eastAsia="Times New Roman" w:cs="Times New Roman"/>
                      <w:color w:val="auto"/>
                      <w:spacing w:val="-2"/>
                      <w:sz w:val="21"/>
                      <w:szCs w:val="21"/>
                    </w:rPr>
                    <w:t>C</w:t>
                  </w:r>
                  <w:r>
                    <w:rPr>
                      <w:rFonts w:ascii="宋体" w:hAnsi="宋体" w:eastAsia="宋体" w:cs="宋体"/>
                      <w:color w:val="auto"/>
                      <w:spacing w:val="-2"/>
                      <w:sz w:val="21"/>
                      <w:szCs w:val="21"/>
                    </w:rPr>
                    <w:t>、</w:t>
                  </w:r>
                  <w:r>
                    <w:rPr>
                      <w:rFonts w:ascii="Times New Roman" w:hAnsi="Times New Roman" w:eastAsia="Times New Roman" w:cs="Times New Roman"/>
                      <w:color w:val="auto"/>
                      <w:spacing w:val="-2"/>
                      <w:sz w:val="21"/>
                      <w:szCs w:val="21"/>
                    </w:rPr>
                    <w:t>P</w:t>
                  </w:r>
                  <w:r>
                    <w:rPr>
                      <w:rFonts w:ascii="宋体" w:hAnsi="宋体" w:eastAsia="宋体" w:cs="宋体"/>
                      <w:color w:val="auto"/>
                      <w:spacing w:val="-2"/>
                      <w:sz w:val="21"/>
                      <w:szCs w:val="21"/>
                    </w:rPr>
                    <w:t>、</w:t>
                  </w:r>
                  <w:r>
                    <w:rPr>
                      <w:rFonts w:ascii="Times New Roman" w:hAnsi="Times New Roman" w:eastAsia="Times New Roman" w:cs="Times New Roman"/>
                      <w:color w:val="auto"/>
                      <w:spacing w:val="-2"/>
                      <w:sz w:val="21"/>
                      <w:szCs w:val="21"/>
                    </w:rPr>
                    <w:t>Si</w:t>
                  </w:r>
                  <w:r>
                    <w:rPr>
                      <w:rFonts w:ascii="宋体" w:hAnsi="宋体" w:eastAsia="宋体" w:cs="宋体"/>
                      <w:color w:val="auto"/>
                      <w:spacing w:val="-2"/>
                      <w:sz w:val="21"/>
                      <w:szCs w:val="21"/>
                    </w:rPr>
                    <w:t>、</w:t>
                  </w:r>
                  <w:r>
                    <w:rPr>
                      <w:rFonts w:ascii="Times New Roman" w:hAnsi="Times New Roman" w:eastAsia="Times New Roman" w:cs="Times New Roman"/>
                      <w:color w:val="auto"/>
                      <w:spacing w:val="-2"/>
                      <w:sz w:val="21"/>
                      <w:szCs w:val="21"/>
                    </w:rPr>
                    <w:t>S</w:t>
                  </w:r>
                  <w:r>
                    <w:rPr>
                      <w:rFonts w:ascii="宋体" w:hAnsi="宋体" w:eastAsia="宋体" w:cs="宋体"/>
                      <w:color w:val="auto"/>
                      <w:spacing w:val="-2"/>
                      <w:sz w:val="21"/>
                      <w:szCs w:val="21"/>
                    </w:rPr>
                    <w:t>及</w:t>
                  </w:r>
                  <w:r>
                    <w:rPr>
                      <w:rFonts w:ascii="宋体" w:hAnsi="宋体" w:eastAsia="宋体" w:cs="宋体"/>
                      <w:color w:val="auto"/>
                      <w:spacing w:val="-44"/>
                      <w:sz w:val="21"/>
                      <w:szCs w:val="21"/>
                    </w:rPr>
                    <w:t xml:space="preserve"> </w:t>
                  </w:r>
                  <w:r>
                    <w:rPr>
                      <w:rFonts w:ascii="Times New Roman" w:hAnsi="Times New Roman" w:eastAsia="Times New Roman" w:cs="Times New Roman"/>
                      <w:color w:val="auto"/>
                      <w:spacing w:val="-2"/>
                      <w:sz w:val="21"/>
                      <w:szCs w:val="21"/>
                    </w:rPr>
                    <w:t>Mn</w:t>
                  </w:r>
                  <w:r>
                    <w:rPr>
                      <w:rFonts w:ascii="宋体" w:hAnsi="宋体" w:eastAsia="宋体" w:cs="宋体"/>
                      <w:color w:val="auto"/>
                      <w:spacing w:val="-2"/>
                      <w:sz w:val="21"/>
                      <w:szCs w:val="21"/>
                    </w:rPr>
                    <w:t>。熔点</w:t>
                  </w:r>
                  <w:r>
                    <w:rPr>
                      <w:rFonts w:ascii="Times New Roman" w:hAnsi="Times New Roman" w:eastAsia="Times New Roman" w:cs="Times New Roman"/>
                      <w:color w:val="auto"/>
                      <w:spacing w:val="-2"/>
                      <w:sz w:val="21"/>
                      <w:szCs w:val="21"/>
                    </w:rPr>
                    <w:t>1535℃</w:t>
                  </w:r>
                  <w:r>
                    <w:rPr>
                      <w:rFonts w:hint="eastAsia" w:ascii="Times New Roman" w:hAnsi="Times New Roman" w:eastAsia="宋体" w:cs="Times New Roman"/>
                      <w:color w:val="auto"/>
                      <w:spacing w:val="11"/>
                      <w:sz w:val="21"/>
                      <w:szCs w:val="21"/>
                      <w:lang w:eastAsia="zh-CN"/>
                    </w:rPr>
                    <w:t>，</w:t>
                  </w:r>
                  <w:r>
                    <w:rPr>
                      <w:rFonts w:ascii="宋体" w:hAnsi="宋体" w:eastAsia="宋体" w:cs="宋体"/>
                      <w:color w:val="auto"/>
                      <w:spacing w:val="-2"/>
                      <w:sz w:val="21"/>
                      <w:szCs w:val="21"/>
                    </w:rPr>
                    <w:t>沸点</w:t>
                  </w:r>
                  <w:r>
                    <w:rPr>
                      <w:rFonts w:ascii="Times New Roman" w:hAnsi="Times New Roman" w:eastAsia="Times New Roman" w:cs="Times New Roman"/>
                      <w:color w:val="auto"/>
                      <w:spacing w:val="7"/>
                      <w:sz w:val="21"/>
                      <w:szCs w:val="21"/>
                    </w:rPr>
                    <w:t>3000℃</w:t>
                  </w:r>
                  <w:r>
                    <w:rPr>
                      <w:rFonts w:ascii="宋体" w:hAnsi="宋体" w:eastAsia="宋体" w:cs="宋体"/>
                      <w:color w:val="auto"/>
                      <w:spacing w:val="7"/>
                      <w:sz w:val="21"/>
                      <w:szCs w:val="21"/>
                    </w:rPr>
                    <w:t>。不溶于冷水、热水、碱、乙醇</w:t>
                  </w:r>
                  <w:r>
                    <w:rPr>
                      <w:rFonts w:ascii="宋体" w:hAnsi="宋体" w:eastAsia="宋体" w:cs="宋体"/>
                      <w:color w:val="auto"/>
                      <w:spacing w:val="6"/>
                      <w:sz w:val="21"/>
                      <w:szCs w:val="21"/>
                    </w:rPr>
                    <w:t>和乙醚。</w:t>
                  </w:r>
                  <w:r>
                    <w:rPr>
                      <w:rFonts w:ascii="宋体" w:hAnsi="宋体" w:eastAsia="宋体" w:cs="宋体"/>
                      <w:color w:val="auto"/>
                      <w:spacing w:val="4"/>
                      <w:sz w:val="21"/>
                      <w:szCs w:val="21"/>
                    </w:rPr>
                    <w:t>溶于盐酸、硫酸和稀硝酸，不溶于浓酸、稀碱溶液、乙醚。露置潮湿空气中或遇水则易氧化。发</w:t>
                  </w:r>
                  <w:r>
                    <w:rPr>
                      <w:rFonts w:ascii="宋体" w:hAnsi="宋体" w:eastAsia="宋体" w:cs="宋体"/>
                      <w:color w:val="auto"/>
                      <w:spacing w:val="8"/>
                      <w:sz w:val="21"/>
                      <w:szCs w:val="21"/>
                    </w:rPr>
                    <w:t>烟硝酸可使铁钝化，在表面产生一层氧</w:t>
                  </w:r>
                  <w:r>
                    <w:rPr>
                      <w:rFonts w:ascii="宋体" w:hAnsi="宋体" w:eastAsia="宋体" w:cs="宋体"/>
                      <w:color w:val="auto"/>
                      <w:spacing w:val="7"/>
                      <w:sz w:val="21"/>
                      <w:szCs w:val="21"/>
                    </w:rPr>
                    <w:t>化膜</w:t>
                  </w:r>
                  <w:r>
                    <w:rPr>
                      <w:rFonts w:ascii="宋体" w:hAnsi="宋体" w:eastAsia="宋体" w:cs="宋体"/>
                      <w:color w:val="auto"/>
                      <w:spacing w:val="6"/>
                      <w:sz w:val="21"/>
                      <w:szCs w:val="21"/>
                    </w:rPr>
                    <w:t>阻止它继续溶于酸。</w:t>
                  </w:r>
                </w:p>
              </w:tc>
            </w:tr>
            <w:tr w14:paraId="418696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7C929B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26</w:t>
                  </w:r>
                </w:p>
              </w:tc>
              <w:tc>
                <w:tcPr>
                  <w:tcW w:w="701" w:type="pct"/>
                  <w:tcBorders>
                    <w:tl2br w:val="nil"/>
                    <w:tr2bl w:val="nil"/>
                  </w:tcBorders>
                  <w:vAlign w:val="center"/>
                </w:tcPr>
                <w:p w14:paraId="03CA1B0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5"/>
                      <w:sz w:val="21"/>
                      <w:szCs w:val="21"/>
                    </w:rPr>
                    <w:t>硫酸</w:t>
                  </w:r>
                </w:p>
              </w:tc>
              <w:tc>
                <w:tcPr>
                  <w:tcW w:w="690" w:type="pct"/>
                  <w:tcBorders>
                    <w:tl2br w:val="nil"/>
                    <w:tr2bl w:val="nil"/>
                  </w:tcBorders>
                  <w:vAlign w:val="center"/>
                </w:tcPr>
                <w:p w14:paraId="13F758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7664-93-9</w:t>
                  </w:r>
                </w:p>
              </w:tc>
              <w:tc>
                <w:tcPr>
                  <w:tcW w:w="3187" w:type="pct"/>
                  <w:tcBorders>
                    <w:tl2br w:val="nil"/>
                    <w:tr2bl w:val="nil"/>
                  </w:tcBorders>
                  <w:vAlign w:val="center"/>
                </w:tcPr>
                <w:p w14:paraId="159689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5"/>
                      <w:sz w:val="21"/>
                      <w:szCs w:val="21"/>
                    </w:rPr>
                    <w:t>纯硫酸一般为无色油状液体，密度</w:t>
                  </w:r>
                  <w:r>
                    <w:rPr>
                      <w:rFonts w:ascii="Times New Roman" w:hAnsi="Times New Roman" w:eastAsia="Times New Roman" w:cs="Times New Roman"/>
                      <w:color w:val="auto"/>
                      <w:spacing w:val="5"/>
                      <w:sz w:val="21"/>
                      <w:szCs w:val="21"/>
                    </w:rPr>
                    <w:t>1.84</w:t>
                  </w:r>
                  <w:r>
                    <w:rPr>
                      <w:rFonts w:ascii="Times New Roman" w:hAnsi="Times New Roman" w:eastAsia="Times New Roman" w:cs="Times New Roman"/>
                      <w:color w:val="auto"/>
                      <w:spacing w:val="4"/>
                      <w:sz w:val="21"/>
                      <w:szCs w:val="21"/>
                    </w:rPr>
                    <w:t>g/</w:t>
                  </w:r>
                  <w:r>
                    <w:rPr>
                      <w:rFonts w:ascii="Times New Roman" w:hAnsi="Times New Roman" w:eastAsia="Times New Roman" w:cs="Times New Roman"/>
                      <w:color w:val="auto"/>
                      <w:sz w:val="21"/>
                      <w:szCs w:val="21"/>
                    </w:rPr>
                    <w:t>cm</w:t>
                  </w:r>
                  <w:r>
                    <w:rPr>
                      <w:rFonts w:ascii="Times New Roman" w:hAnsi="Times New Roman" w:eastAsia="Times New Roman" w:cs="Times New Roman"/>
                      <w:color w:val="auto"/>
                      <w:spacing w:val="4"/>
                      <w:sz w:val="21"/>
                      <w:szCs w:val="21"/>
                      <w:vertAlign w:val="superscript"/>
                    </w:rPr>
                    <w:t>3</w:t>
                  </w:r>
                  <w:r>
                    <w:rPr>
                      <w:rFonts w:ascii="宋体" w:hAnsi="宋体" w:eastAsia="宋体" w:cs="宋体"/>
                      <w:color w:val="auto"/>
                      <w:spacing w:val="4"/>
                      <w:sz w:val="21"/>
                      <w:szCs w:val="21"/>
                    </w:rPr>
                    <w:t>，</w:t>
                  </w:r>
                  <w:r>
                    <w:rPr>
                      <w:rFonts w:ascii="宋体" w:hAnsi="宋体" w:eastAsia="宋体" w:cs="宋体"/>
                      <w:color w:val="auto"/>
                      <w:spacing w:val="2"/>
                      <w:sz w:val="21"/>
                      <w:szCs w:val="21"/>
                    </w:rPr>
                    <w:t>沸点</w:t>
                  </w:r>
                  <w:r>
                    <w:rPr>
                      <w:rFonts w:ascii="Times New Roman" w:hAnsi="Times New Roman" w:eastAsia="Times New Roman" w:cs="Times New Roman"/>
                      <w:color w:val="auto"/>
                      <w:spacing w:val="2"/>
                      <w:sz w:val="21"/>
                      <w:szCs w:val="21"/>
                    </w:rPr>
                    <w:t>337℃</w:t>
                  </w:r>
                  <w:r>
                    <w:rPr>
                      <w:rFonts w:ascii="宋体" w:hAnsi="宋体" w:eastAsia="宋体" w:cs="宋体"/>
                      <w:color w:val="auto"/>
                      <w:spacing w:val="2"/>
                      <w:sz w:val="21"/>
                      <w:szCs w:val="21"/>
                    </w:rPr>
                    <w:t>,能与水以任意比例互溶，同时放出</w:t>
                  </w:r>
                  <w:r>
                    <w:rPr>
                      <w:rFonts w:ascii="宋体" w:hAnsi="宋体" w:eastAsia="宋体" w:cs="宋体"/>
                      <w:color w:val="auto"/>
                      <w:spacing w:val="6"/>
                      <w:sz w:val="21"/>
                      <w:szCs w:val="21"/>
                    </w:rPr>
                    <w:t>大量的热，使水沸腾。加热到</w:t>
                  </w:r>
                  <w:r>
                    <w:rPr>
                      <w:rFonts w:ascii="Times New Roman" w:hAnsi="Times New Roman" w:eastAsia="Times New Roman" w:cs="Times New Roman"/>
                      <w:color w:val="auto"/>
                      <w:spacing w:val="6"/>
                      <w:sz w:val="21"/>
                      <w:szCs w:val="21"/>
                    </w:rPr>
                    <w:t>290℃</w:t>
                  </w:r>
                  <w:r>
                    <w:rPr>
                      <w:rFonts w:ascii="宋体" w:hAnsi="宋体" w:eastAsia="宋体" w:cs="宋体"/>
                      <w:color w:val="auto"/>
                      <w:spacing w:val="6"/>
                      <w:sz w:val="21"/>
                      <w:szCs w:val="21"/>
                    </w:rPr>
                    <w:t>时开始释放</w:t>
                  </w:r>
                  <w:r>
                    <w:rPr>
                      <w:rFonts w:ascii="宋体" w:hAnsi="宋体" w:eastAsia="宋体" w:cs="宋体"/>
                      <w:color w:val="auto"/>
                      <w:spacing w:val="7"/>
                      <w:sz w:val="21"/>
                      <w:szCs w:val="21"/>
                    </w:rPr>
                    <w:t>出三氧化硫，最终变成为</w:t>
                  </w:r>
                  <w:r>
                    <w:rPr>
                      <w:rFonts w:ascii="宋体" w:hAnsi="宋体" w:eastAsia="宋体" w:cs="宋体"/>
                      <w:color w:val="auto"/>
                      <w:spacing w:val="-38"/>
                      <w:sz w:val="21"/>
                      <w:szCs w:val="21"/>
                    </w:rPr>
                    <w:t xml:space="preserve"> </w:t>
                  </w:r>
                  <w:r>
                    <w:rPr>
                      <w:rFonts w:ascii="Times New Roman" w:hAnsi="Times New Roman" w:eastAsia="Times New Roman" w:cs="Times New Roman"/>
                      <w:color w:val="auto"/>
                      <w:spacing w:val="7"/>
                      <w:sz w:val="21"/>
                      <w:szCs w:val="21"/>
                    </w:rPr>
                    <w:t>98.54%</w:t>
                  </w:r>
                  <w:r>
                    <w:rPr>
                      <w:rFonts w:ascii="宋体" w:hAnsi="宋体" w:eastAsia="宋体" w:cs="宋体"/>
                      <w:color w:val="auto"/>
                      <w:spacing w:val="7"/>
                      <w:sz w:val="21"/>
                      <w:szCs w:val="21"/>
                    </w:rPr>
                    <w:t>的水溶液，在</w:t>
                  </w:r>
                  <w:r>
                    <w:rPr>
                      <w:rFonts w:ascii="Times New Roman" w:hAnsi="Times New Roman" w:eastAsia="Times New Roman" w:cs="Times New Roman"/>
                      <w:color w:val="auto"/>
                      <w:spacing w:val="8"/>
                      <w:sz w:val="21"/>
                      <w:szCs w:val="21"/>
                    </w:rPr>
                    <w:t>317℃</w:t>
                  </w:r>
                  <w:r>
                    <w:rPr>
                      <w:rFonts w:ascii="宋体" w:hAnsi="宋体" w:eastAsia="宋体" w:cs="宋体"/>
                      <w:color w:val="auto"/>
                      <w:spacing w:val="8"/>
                      <w:sz w:val="21"/>
                      <w:szCs w:val="21"/>
                    </w:rPr>
                    <w:t>时沸腾而成为共沸混合物。硫酸的沸点及</w:t>
                  </w:r>
                  <w:r>
                    <w:rPr>
                      <w:rFonts w:ascii="宋体" w:hAnsi="宋体" w:eastAsia="宋体" w:cs="宋体"/>
                      <w:color w:val="auto"/>
                      <w:spacing w:val="9"/>
                      <w:sz w:val="21"/>
                      <w:szCs w:val="21"/>
                    </w:rPr>
                    <w:t>粘度较高，是因为其分子内部的氢键较强的缘</w:t>
                  </w:r>
                  <w:r>
                    <w:rPr>
                      <w:rFonts w:ascii="宋体" w:hAnsi="宋体" w:eastAsia="宋体" w:cs="宋体"/>
                      <w:color w:val="auto"/>
                      <w:spacing w:val="4"/>
                      <w:sz w:val="21"/>
                      <w:szCs w:val="21"/>
                    </w:rPr>
                    <w:t>故。由于硫酸的介电常数较高，因此它是电解质</w:t>
                  </w:r>
                  <w:r>
                    <w:rPr>
                      <w:rFonts w:ascii="宋体" w:hAnsi="宋体" w:eastAsia="宋体" w:cs="宋体"/>
                      <w:color w:val="auto"/>
                      <w:spacing w:val="8"/>
                      <w:sz w:val="21"/>
                      <w:szCs w:val="21"/>
                    </w:rPr>
                    <w:t>的良好溶剂，而作为非电解质的溶剂则不太理</w:t>
                  </w:r>
                  <w:r>
                    <w:rPr>
                      <w:rFonts w:ascii="宋体" w:hAnsi="宋体" w:eastAsia="宋体" w:cs="宋体"/>
                      <w:color w:val="auto"/>
                      <w:spacing w:val="3"/>
                      <w:sz w:val="21"/>
                      <w:szCs w:val="21"/>
                    </w:rPr>
                    <w:t>想。硫酸的熔点是</w:t>
                  </w:r>
                  <w:r>
                    <w:rPr>
                      <w:rFonts w:ascii="Times New Roman" w:hAnsi="Times New Roman" w:eastAsia="Times New Roman" w:cs="Times New Roman"/>
                      <w:color w:val="auto"/>
                      <w:spacing w:val="3"/>
                      <w:sz w:val="21"/>
                      <w:szCs w:val="21"/>
                    </w:rPr>
                    <w:t>10.371℃</w:t>
                  </w:r>
                  <w:r>
                    <w:rPr>
                      <w:rFonts w:hint="eastAsia" w:ascii="Times New Roman" w:hAnsi="Times New Roman" w:eastAsia="宋体" w:cs="Times New Roman"/>
                      <w:color w:val="auto"/>
                      <w:spacing w:val="-25"/>
                      <w:sz w:val="21"/>
                      <w:szCs w:val="21"/>
                      <w:lang w:eastAsia="zh-CN"/>
                    </w:rPr>
                    <w:t>，</w:t>
                  </w:r>
                  <w:r>
                    <w:rPr>
                      <w:rFonts w:ascii="宋体" w:hAnsi="宋体" w:eastAsia="宋体" w:cs="宋体"/>
                      <w:color w:val="auto"/>
                      <w:spacing w:val="3"/>
                      <w:sz w:val="21"/>
                      <w:szCs w:val="21"/>
                    </w:rPr>
                    <w:t>加水或加三氧化</w:t>
                  </w:r>
                  <w:r>
                    <w:rPr>
                      <w:rFonts w:ascii="宋体" w:hAnsi="宋体" w:eastAsia="宋体" w:cs="宋体"/>
                      <w:color w:val="auto"/>
                      <w:spacing w:val="8"/>
                      <w:sz w:val="21"/>
                      <w:szCs w:val="21"/>
                    </w:rPr>
                    <w:t>硫均会使凝固点下降。</w:t>
                  </w:r>
                </w:p>
              </w:tc>
            </w:tr>
            <w:tr w14:paraId="11BB3A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258C252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27</w:t>
                  </w:r>
                </w:p>
              </w:tc>
              <w:tc>
                <w:tcPr>
                  <w:tcW w:w="701" w:type="pct"/>
                  <w:tcBorders>
                    <w:tl2br w:val="nil"/>
                    <w:tr2bl w:val="nil"/>
                  </w:tcBorders>
                  <w:vAlign w:val="center"/>
                </w:tcPr>
                <w:p w14:paraId="695E3F1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2"/>
                      <w:sz w:val="21"/>
                      <w:szCs w:val="21"/>
                    </w:rPr>
                    <w:t>红磷</w:t>
                  </w:r>
                </w:p>
              </w:tc>
              <w:tc>
                <w:tcPr>
                  <w:tcW w:w="690" w:type="pct"/>
                  <w:tcBorders>
                    <w:tl2br w:val="nil"/>
                    <w:tr2bl w:val="nil"/>
                  </w:tcBorders>
                  <w:vAlign w:val="center"/>
                </w:tcPr>
                <w:p w14:paraId="0EE7A5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7723-14-0</w:t>
                  </w:r>
                </w:p>
              </w:tc>
              <w:tc>
                <w:tcPr>
                  <w:tcW w:w="3187" w:type="pct"/>
                  <w:tcBorders>
                    <w:tl2br w:val="nil"/>
                    <w:tr2bl w:val="nil"/>
                  </w:tcBorders>
                  <w:vAlign w:val="center"/>
                </w:tcPr>
                <w:p w14:paraId="0B1804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紫红或略带棕色的无定形粉末，无毒无味，有光</w:t>
                  </w:r>
                  <w:r>
                    <w:rPr>
                      <w:rFonts w:ascii="宋体" w:hAnsi="宋体" w:eastAsia="宋体" w:cs="宋体"/>
                      <w:color w:val="auto"/>
                      <w:spacing w:val="-4"/>
                      <w:sz w:val="21"/>
                      <w:szCs w:val="21"/>
                    </w:rPr>
                    <w:t>泽。易吸潮。加热至</w:t>
                  </w:r>
                  <w:r>
                    <w:rPr>
                      <w:rFonts w:ascii="宋体" w:hAnsi="宋体" w:eastAsia="宋体" w:cs="宋体"/>
                      <w:color w:val="auto"/>
                      <w:spacing w:val="-44"/>
                      <w:sz w:val="21"/>
                      <w:szCs w:val="21"/>
                    </w:rPr>
                    <w:t xml:space="preserve"> </w:t>
                  </w:r>
                  <w:r>
                    <w:rPr>
                      <w:rFonts w:ascii="Times New Roman" w:hAnsi="Times New Roman" w:eastAsia="Times New Roman" w:cs="Times New Roman"/>
                      <w:color w:val="auto"/>
                      <w:spacing w:val="-4"/>
                      <w:sz w:val="21"/>
                      <w:szCs w:val="21"/>
                    </w:rPr>
                    <w:t>416℃</w:t>
                  </w:r>
                  <w:r>
                    <w:rPr>
                      <w:rFonts w:ascii="宋体" w:hAnsi="宋体" w:eastAsia="宋体" w:cs="宋体"/>
                      <w:color w:val="auto"/>
                      <w:spacing w:val="-4"/>
                      <w:sz w:val="21"/>
                      <w:szCs w:val="21"/>
                    </w:rPr>
                    <w:t>升华，在</w:t>
                  </w:r>
                  <w:r>
                    <w:rPr>
                      <w:rFonts w:ascii="宋体" w:hAnsi="宋体" w:eastAsia="宋体" w:cs="宋体"/>
                      <w:color w:val="auto"/>
                      <w:spacing w:val="-44"/>
                      <w:sz w:val="21"/>
                      <w:szCs w:val="21"/>
                    </w:rPr>
                    <w:t xml:space="preserve"> </w:t>
                  </w:r>
                  <w:r>
                    <w:rPr>
                      <w:rFonts w:ascii="Times New Roman" w:hAnsi="Times New Roman" w:eastAsia="Times New Roman" w:cs="Times New Roman"/>
                      <w:color w:val="auto"/>
                      <w:spacing w:val="-5"/>
                      <w:sz w:val="21"/>
                      <w:szCs w:val="21"/>
                    </w:rPr>
                    <w:t>43kPa</w:t>
                  </w:r>
                  <w:r>
                    <w:rPr>
                      <w:rFonts w:ascii="宋体" w:hAnsi="宋体" w:eastAsia="宋体" w:cs="宋体"/>
                      <w:color w:val="auto"/>
                      <w:spacing w:val="8"/>
                      <w:sz w:val="21"/>
                      <w:szCs w:val="21"/>
                    </w:rPr>
                    <w:t>加热至</w:t>
                  </w:r>
                  <w:r>
                    <w:rPr>
                      <w:rFonts w:ascii="宋体" w:hAnsi="宋体" w:eastAsia="宋体" w:cs="宋体"/>
                      <w:color w:val="auto"/>
                      <w:spacing w:val="-38"/>
                      <w:sz w:val="21"/>
                      <w:szCs w:val="21"/>
                    </w:rPr>
                    <w:t xml:space="preserve"> </w:t>
                  </w:r>
                  <w:r>
                    <w:rPr>
                      <w:rFonts w:ascii="Times New Roman" w:hAnsi="Times New Roman" w:eastAsia="Times New Roman" w:cs="Times New Roman"/>
                      <w:color w:val="auto"/>
                      <w:spacing w:val="8"/>
                      <w:sz w:val="21"/>
                      <w:szCs w:val="21"/>
                    </w:rPr>
                    <w:t>590℃</w:t>
                  </w:r>
                  <w:r>
                    <w:rPr>
                      <w:rFonts w:ascii="宋体" w:hAnsi="宋体" w:eastAsia="宋体" w:cs="宋体"/>
                      <w:color w:val="auto"/>
                      <w:spacing w:val="8"/>
                      <w:sz w:val="21"/>
                      <w:szCs w:val="21"/>
                    </w:rPr>
                    <w:t>可熔融。气化后再冷凝则得</w:t>
                  </w:r>
                  <w:r>
                    <w:rPr>
                      <w:rFonts w:ascii="宋体" w:hAnsi="宋体" w:eastAsia="宋体" w:cs="宋体"/>
                      <w:color w:val="auto"/>
                      <w:spacing w:val="7"/>
                      <w:sz w:val="21"/>
                      <w:szCs w:val="21"/>
                    </w:rPr>
                    <w:t>白磷。</w:t>
                  </w:r>
                  <w:r>
                    <w:rPr>
                      <w:rFonts w:ascii="宋体" w:hAnsi="宋体" w:eastAsia="宋体" w:cs="宋体"/>
                      <w:color w:val="auto"/>
                      <w:spacing w:val="4"/>
                      <w:sz w:val="21"/>
                      <w:szCs w:val="21"/>
                    </w:rPr>
                    <w:t>不溶于水和二硫化碳，乙醚、氨等，略溶于无水</w:t>
                  </w:r>
                  <w:r>
                    <w:rPr>
                      <w:rFonts w:ascii="宋体" w:hAnsi="宋体" w:eastAsia="宋体" w:cs="宋体"/>
                      <w:color w:val="auto"/>
                      <w:spacing w:val="3"/>
                      <w:sz w:val="21"/>
                      <w:szCs w:val="21"/>
                    </w:rPr>
                    <w:t>乙醇。稳定性比白磷好，在常温下稳定，不发磷</w:t>
                  </w:r>
                  <w:r>
                    <w:rPr>
                      <w:rFonts w:ascii="宋体" w:hAnsi="宋体" w:eastAsia="宋体" w:cs="宋体"/>
                      <w:color w:val="auto"/>
                      <w:spacing w:val="8"/>
                      <w:sz w:val="21"/>
                      <w:szCs w:val="21"/>
                    </w:rPr>
                    <w:t>光，难与氧反应</w:t>
                  </w:r>
                  <w:r>
                    <w:rPr>
                      <w:rFonts w:hint="eastAsia" w:ascii="宋体" w:hAnsi="宋体" w:eastAsia="宋体" w:cs="宋体"/>
                      <w:color w:val="auto"/>
                      <w:spacing w:val="8"/>
                      <w:sz w:val="21"/>
                      <w:szCs w:val="21"/>
                      <w:lang w:eastAsia="zh-CN"/>
                    </w:rPr>
                    <w:t>，</w:t>
                  </w:r>
                  <w:r>
                    <w:rPr>
                      <w:rFonts w:ascii="Times New Roman" w:hAnsi="Times New Roman" w:eastAsia="Times New Roman" w:cs="Times New Roman"/>
                      <w:color w:val="auto"/>
                      <w:spacing w:val="8"/>
                      <w:sz w:val="21"/>
                      <w:szCs w:val="21"/>
                    </w:rPr>
                    <w:t>200℃</w:t>
                  </w:r>
                  <w:r>
                    <w:rPr>
                      <w:rFonts w:ascii="宋体" w:hAnsi="宋体" w:eastAsia="宋体" w:cs="宋体"/>
                      <w:color w:val="auto"/>
                      <w:spacing w:val="8"/>
                      <w:sz w:val="21"/>
                      <w:szCs w:val="21"/>
                    </w:rPr>
                    <w:t>以上着火。以还原性为主，与卤素、硫反应时皆为还原剂。</w:t>
                  </w:r>
                </w:p>
              </w:tc>
            </w:tr>
            <w:tr w14:paraId="1438F4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665BF7A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28</w:t>
                  </w:r>
                </w:p>
              </w:tc>
              <w:tc>
                <w:tcPr>
                  <w:tcW w:w="701" w:type="pct"/>
                  <w:tcBorders>
                    <w:tl2br w:val="nil"/>
                    <w:tr2bl w:val="nil"/>
                  </w:tcBorders>
                  <w:vAlign w:val="center"/>
                </w:tcPr>
                <w:p w14:paraId="1805612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5"/>
                      <w:sz w:val="21"/>
                      <w:szCs w:val="21"/>
                    </w:rPr>
                    <w:t>明矾</w:t>
                  </w:r>
                </w:p>
              </w:tc>
              <w:tc>
                <w:tcPr>
                  <w:tcW w:w="690" w:type="pct"/>
                  <w:tcBorders>
                    <w:tl2br w:val="nil"/>
                    <w:tr2bl w:val="nil"/>
                  </w:tcBorders>
                  <w:vAlign w:val="center"/>
                </w:tcPr>
                <w:p w14:paraId="453995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7784-24-9</w:t>
                  </w:r>
                </w:p>
              </w:tc>
              <w:tc>
                <w:tcPr>
                  <w:tcW w:w="3187" w:type="pct"/>
                  <w:tcBorders>
                    <w:tl2br w:val="nil"/>
                    <w:tr2bl w:val="nil"/>
                  </w:tcBorders>
                  <w:vAlign w:val="center"/>
                </w:tcPr>
                <w:p w14:paraId="3801F3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9"/>
                      <w:sz w:val="21"/>
                      <w:szCs w:val="21"/>
                    </w:rPr>
                    <w:t>无色透明呈立方八面结晶或单斜立方结晶。溶</w:t>
                  </w:r>
                  <w:r>
                    <w:rPr>
                      <w:rFonts w:ascii="宋体" w:hAnsi="宋体" w:eastAsia="宋体" w:cs="宋体"/>
                      <w:color w:val="auto"/>
                      <w:spacing w:val="-2"/>
                      <w:sz w:val="21"/>
                      <w:szCs w:val="21"/>
                    </w:rPr>
                    <w:t>于水。易溶于热水。溶于稀酸。不溶于醇、丙酮。</w:t>
                  </w:r>
                  <w:r>
                    <w:rPr>
                      <w:rFonts w:ascii="宋体" w:hAnsi="宋体" w:eastAsia="宋体" w:cs="宋体"/>
                      <w:color w:val="auto"/>
                      <w:spacing w:val="6"/>
                      <w:sz w:val="21"/>
                      <w:szCs w:val="21"/>
                    </w:rPr>
                    <w:t>水溶液呈酸性。</w:t>
                  </w:r>
                </w:p>
              </w:tc>
            </w:tr>
            <w:tr w14:paraId="6CB4C6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2CE2CB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29</w:t>
                  </w:r>
                </w:p>
              </w:tc>
              <w:tc>
                <w:tcPr>
                  <w:tcW w:w="701" w:type="pct"/>
                  <w:tcBorders>
                    <w:tl2br w:val="nil"/>
                    <w:tr2bl w:val="nil"/>
                  </w:tcBorders>
                  <w:vAlign w:val="center"/>
                </w:tcPr>
                <w:p w14:paraId="53CD45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6"/>
                      <w:sz w:val="21"/>
                      <w:szCs w:val="21"/>
                    </w:rPr>
                    <w:t>硝酸铵</w:t>
                  </w:r>
                </w:p>
              </w:tc>
              <w:tc>
                <w:tcPr>
                  <w:tcW w:w="690" w:type="pct"/>
                  <w:tcBorders>
                    <w:tl2br w:val="nil"/>
                    <w:tr2bl w:val="nil"/>
                  </w:tcBorders>
                  <w:vAlign w:val="center"/>
                </w:tcPr>
                <w:p w14:paraId="5C82B1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6484-52-2</w:t>
                  </w:r>
                </w:p>
              </w:tc>
              <w:tc>
                <w:tcPr>
                  <w:tcW w:w="3187" w:type="pct"/>
                  <w:tcBorders>
                    <w:tl2br w:val="nil"/>
                    <w:tr2bl w:val="nil"/>
                  </w:tcBorders>
                  <w:vAlign w:val="center"/>
                </w:tcPr>
                <w:p w14:paraId="4869FE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6"/>
                      <w:sz w:val="21"/>
                      <w:szCs w:val="21"/>
                    </w:rPr>
                    <w:t>无色透明正交结晶或白色颗粒。熔点</w:t>
                  </w:r>
                  <w:r>
                    <w:rPr>
                      <w:rFonts w:ascii="Times New Roman" w:hAnsi="Times New Roman" w:eastAsia="Times New Roman" w:cs="Times New Roman"/>
                      <w:color w:val="auto"/>
                      <w:spacing w:val="6"/>
                      <w:sz w:val="21"/>
                      <w:szCs w:val="21"/>
                    </w:rPr>
                    <w:t>169.5℃</w:t>
                  </w:r>
                  <w:r>
                    <w:rPr>
                      <w:rFonts w:hint="eastAsia" w:ascii="Times New Roman" w:hAnsi="Times New Roman" w:eastAsia="宋体" w:cs="Times New Roman"/>
                      <w:color w:val="auto"/>
                      <w:spacing w:val="-25"/>
                      <w:sz w:val="21"/>
                      <w:szCs w:val="21"/>
                      <w:lang w:eastAsia="zh-CN"/>
                    </w:rPr>
                    <w:t>，</w:t>
                  </w:r>
                  <w:r>
                    <w:rPr>
                      <w:rFonts w:ascii="Times New Roman" w:hAnsi="Times New Roman" w:eastAsia="Times New Roman" w:cs="Times New Roman"/>
                      <w:color w:val="auto"/>
                      <w:spacing w:val="1"/>
                      <w:sz w:val="21"/>
                      <w:szCs w:val="21"/>
                    </w:rPr>
                    <w:t>d1.72</w:t>
                  </w:r>
                  <w:r>
                    <w:rPr>
                      <w:rFonts w:ascii="宋体" w:hAnsi="宋体" w:eastAsia="宋体" w:cs="宋体"/>
                      <w:color w:val="auto"/>
                      <w:spacing w:val="1"/>
                      <w:sz w:val="21"/>
                      <w:szCs w:val="21"/>
                    </w:rPr>
                    <w:t>无味。吸湿、结块性很强。易</w:t>
                  </w:r>
                  <w:r>
                    <w:rPr>
                      <w:rFonts w:ascii="宋体" w:hAnsi="宋体" w:eastAsia="宋体" w:cs="宋体"/>
                      <w:color w:val="auto"/>
                      <w:sz w:val="21"/>
                      <w:szCs w:val="21"/>
                    </w:rPr>
                    <w:t>溶于水、醇、</w:t>
                  </w:r>
                  <w:r>
                    <w:rPr>
                      <w:rFonts w:ascii="宋体" w:hAnsi="宋体" w:eastAsia="宋体" w:cs="宋体"/>
                      <w:color w:val="auto"/>
                      <w:spacing w:val="4"/>
                      <w:sz w:val="21"/>
                      <w:szCs w:val="21"/>
                    </w:rPr>
                    <w:t>丙酮和氨溶液中，不溶于乙醚。该品溶于</w:t>
                  </w:r>
                  <w:r>
                    <w:rPr>
                      <w:rFonts w:ascii="Times New Roman" w:hAnsi="Times New Roman" w:eastAsia="Times New Roman" w:cs="Times New Roman"/>
                      <w:color w:val="auto"/>
                      <w:spacing w:val="4"/>
                      <w:sz w:val="21"/>
                      <w:szCs w:val="21"/>
                    </w:rPr>
                    <w:t>0.5</w:t>
                  </w:r>
                  <w:r>
                    <w:rPr>
                      <w:rFonts w:ascii="Times New Roman" w:hAnsi="Times New Roman" w:eastAsia="Times New Roman" w:cs="Times New Roman"/>
                      <w:color w:val="auto"/>
                      <w:sz w:val="21"/>
                      <w:szCs w:val="21"/>
                    </w:rPr>
                    <w:t>mL</w:t>
                  </w:r>
                  <w:r>
                    <w:rPr>
                      <w:rFonts w:ascii="宋体" w:hAnsi="宋体" w:eastAsia="宋体" w:cs="宋体"/>
                      <w:color w:val="auto"/>
                      <w:spacing w:val="1"/>
                      <w:sz w:val="21"/>
                      <w:szCs w:val="21"/>
                    </w:rPr>
                    <w:t>水、</w:t>
                  </w:r>
                  <w:r>
                    <w:rPr>
                      <w:rFonts w:ascii="Times New Roman" w:hAnsi="Times New Roman" w:eastAsia="Times New Roman" w:cs="Times New Roman"/>
                      <w:color w:val="auto"/>
                      <w:spacing w:val="1"/>
                      <w:sz w:val="21"/>
                      <w:szCs w:val="21"/>
                    </w:rPr>
                    <w:t>0.1</w:t>
                  </w:r>
                  <w:r>
                    <w:rPr>
                      <w:rFonts w:ascii="Times New Roman" w:hAnsi="Times New Roman" w:eastAsia="Times New Roman" w:cs="Times New Roman"/>
                      <w:color w:val="auto"/>
                      <w:sz w:val="21"/>
                      <w:szCs w:val="21"/>
                    </w:rPr>
                    <w:t>mL</w:t>
                  </w:r>
                  <w:r>
                    <w:rPr>
                      <w:rFonts w:ascii="宋体" w:hAnsi="宋体" w:eastAsia="宋体" w:cs="宋体"/>
                      <w:color w:val="auto"/>
                      <w:spacing w:val="1"/>
                      <w:sz w:val="21"/>
                      <w:szCs w:val="21"/>
                    </w:rPr>
                    <w:t>沸水、约</w:t>
                  </w:r>
                  <w:r>
                    <w:rPr>
                      <w:rFonts w:ascii="宋体" w:hAnsi="宋体" w:eastAsia="宋体" w:cs="宋体"/>
                      <w:color w:val="auto"/>
                      <w:spacing w:val="-43"/>
                      <w:sz w:val="21"/>
                      <w:szCs w:val="21"/>
                    </w:rPr>
                    <w:t xml:space="preserve"> </w:t>
                  </w:r>
                  <w:r>
                    <w:rPr>
                      <w:rFonts w:ascii="Times New Roman" w:hAnsi="Times New Roman" w:eastAsia="Times New Roman" w:cs="Times New Roman"/>
                      <w:color w:val="auto"/>
                      <w:spacing w:val="1"/>
                      <w:sz w:val="21"/>
                      <w:szCs w:val="21"/>
                    </w:rPr>
                    <w:t>20</w:t>
                  </w:r>
                  <w:r>
                    <w:rPr>
                      <w:rFonts w:ascii="Times New Roman" w:hAnsi="Times New Roman" w:eastAsia="Times New Roman" w:cs="Times New Roman"/>
                      <w:color w:val="auto"/>
                      <w:sz w:val="21"/>
                      <w:szCs w:val="21"/>
                    </w:rPr>
                    <w:t>mL</w:t>
                  </w:r>
                  <w:r>
                    <w:rPr>
                      <w:rFonts w:ascii="宋体" w:hAnsi="宋体" w:eastAsia="宋体" w:cs="宋体"/>
                      <w:color w:val="auto"/>
                      <w:spacing w:val="1"/>
                      <w:sz w:val="21"/>
                      <w:szCs w:val="21"/>
                    </w:rPr>
                    <w:t>乙醇、约</w:t>
                  </w:r>
                  <w:r>
                    <w:rPr>
                      <w:rFonts w:ascii="宋体" w:hAnsi="宋体" w:eastAsia="宋体" w:cs="宋体"/>
                      <w:color w:val="auto"/>
                      <w:spacing w:val="-35"/>
                      <w:sz w:val="21"/>
                      <w:szCs w:val="21"/>
                    </w:rPr>
                    <w:t xml:space="preserve"> </w:t>
                  </w:r>
                  <w:r>
                    <w:rPr>
                      <w:rFonts w:ascii="Times New Roman" w:hAnsi="Times New Roman" w:eastAsia="Times New Roman" w:cs="Times New Roman"/>
                      <w:color w:val="auto"/>
                      <w:spacing w:val="1"/>
                      <w:sz w:val="21"/>
                      <w:szCs w:val="21"/>
                    </w:rPr>
                    <w:t>8</w:t>
                  </w:r>
                  <w:r>
                    <w:rPr>
                      <w:rFonts w:ascii="Times New Roman" w:hAnsi="Times New Roman" w:eastAsia="Times New Roman" w:cs="Times New Roman"/>
                      <w:color w:val="auto"/>
                      <w:sz w:val="21"/>
                      <w:szCs w:val="21"/>
                    </w:rPr>
                    <w:t>mL</w:t>
                  </w:r>
                  <w:r>
                    <w:rPr>
                      <w:rFonts w:ascii="宋体" w:hAnsi="宋体" w:eastAsia="宋体" w:cs="宋体"/>
                      <w:color w:val="auto"/>
                      <w:spacing w:val="1"/>
                      <w:sz w:val="21"/>
                      <w:szCs w:val="21"/>
                    </w:rPr>
                    <w:t>甲醇。</w:t>
                  </w:r>
                  <w:r>
                    <w:rPr>
                      <w:rFonts w:ascii="宋体" w:hAnsi="宋体" w:eastAsia="宋体" w:cs="宋体"/>
                      <w:color w:val="auto"/>
                      <w:spacing w:val="5"/>
                      <w:sz w:val="21"/>
                      <w:szCs w:val="21"/>
                    </w:rPr>
                    <w:t>其</w:t>
                  </w:r>
                  <w:r>
                    <w:rPr>
                      <w:rFonts w:ascii="宋体" w:hAnsi="宋体" w:eastAsia="宋体" w:cs="宋体"/>
                      <w:color w:val="auto"/>
                      <w:spacing w:val="-37"/>
                      <w:sz w:val="21"/>
                      <w:szCs w:val="21"/>
                    </w:rPr>
                    <w:t xml:space="preserve"> </w:t>
                  </w:r>
                  <w:r>
                    <w:rPr>
                      <w:rFonts w:ascii="Times New Roman" w:hAnsi="Times New Roman" w:eastAsia="Times New Roman" w:cs="Times New Roman"/>
                      <w:color w:val="auto"/>
                      <w:spacing w:val="5"/>
                      <w:sz w:val="21"/>
                      <w:szCs w:val="21"/>
                    </w:rPr>
                    <w:t>0.</w:t>
                  </w:r>
                  <w:r>
                    <w:rPr>
                      <w:rFonts w:hint="eastAsia" w:ascii="Times New Roman" w:hAnsi="Times New Roman" w:eastAsia="宋体" w:cs="Times New Roman"/>
                      <w:color w:val="auto"/>
                      <w:sz w:val="21"/>
                      <w:szCs w:val="21"/>
                      <w:lang w:val="en-US" w:eastAsia="zh-CN"/>
                    </w:rPr>
                    <w:t>1</w:t>
                  </w:r>
                  <w:r>
                    <w:rPr>
                      <w:rFonts w:ascii="Times New Roman" w:hAnsi="Times New Roman" w:eastAsia="Times New Roman" w:cs="Times New Roman"/>
                      <w:color w:val="auto"/>
                      <w:sz w:val="21"/>
                      <w:szCs w:val="21"/>
                    </w:rPr>
                    <w:t>mol</w:t>
                  </w:r>
                  <w:r>
                    <w:rPr>
                      <w:rFonts w:ascii="Times New Roman" w:hAnsi="Times New Roman" w:eastAsia="Times New Roman" w:cs="Times New Roman"/>
                      <w:color w:val="auto"/>
                      <w:spacing w:val="5"/>
                      <w:sz w:val="21"/>
                      <w:szCs w:val="21"/>
                    </w:rPr>
                    <w:t>/L</w:t>
                  </w:r>
                  <w:r>
                    <w:rPr>
                      <w:rFonts w:ascii="宋体" w:hAnsi="宋体" w:eastAsia="宋体" w:cs="宋体"/>
                      <w:color w:val="auto"/>
                      <w:spacing w:val="5"/>
                      <w:sz w:val="21"/>
                      <w:szCs w:val="21"/>
                    </w:rPr>
                    <w:t>水溶液</w:t>
                  </w:r>
                  <w:r>
                    <w:rPr>
                      <w:rFonts w:ascii="宋体" w:hAnsi="宋体" w:eastAsia="宋体" w:cs="宋体"/>
                      <w:color w:val="auto"/>
                      <w:spacing w:val="-48"/>
                      <w:sz w:val="21"/>
                      <w:szCs w:val="21"/>
                    </w:rPr>
                    <w:t xml:space="preserve"> </w:t>
                  </w:r>
                  <w:r>
                    <w:rPr>
                      <w:rFonts w:ascii="Times New Roman" w:hAnsi="Times New Roman" w:eastAsia="Times New Roman" w:cs="Times New Roman"/>
                      <w:color w:val="auto"/>
                      <w:sz w:val="21"/>
                      <w:szCs w:val="21"/>
                    </w:rPr>
                    <w:t>pH</w:t>
                  </w:r>
                  <w:r>
                    <w:rPr>
                      <w:rFonts w:ascii="宋体" w:hAnsi="宋体" w:eastAsia="宋体" w:cs="宋体"/>
                      <w:color w:val="auto"/>
                      <w:spacing w:val="5"/>
                      <w:sz w:val="21"/>
                      <w:szCs w:val="21"/>
                    </w:rPr>
                    <w:t>值</w:t>
                  </w:r>
                  <w:r>
                    <w:rPr>
                      <w:rFonts w:ascii="宋体" w:hAnsi="宋体" w:eastAsia="宋体" w:cs="宋体"/>
                      <w:color w:val="auto"/>
                      <w:spacing w:val="-37"/>
                      <w:sz w:val="21"/>
                      <w:szCs w:val="21"/>
                    </w:rPr>
                    <w:t xml:space="preserve"> </w:t>
                  </w:r>
                  <w:r>
                    <w:rPr>
                      <w:rFonts w:ascii="Times New Roman" w:hAnsi="Times New Roman" w:eastAsia="Times New Roman" w:cs="Times New Roman"/>
                      <w:color w:val="auto"/>
                      <w:spacing w:val="5"/>
                      <w:sz w:val="21"/>
                      <w:szCs w:val="21"/>
                    </w:rPr>
                    <w:t>5.43</w:t>
                  </w:r>
                  <w:r>
                    <w:rPr>
                      <w:rFonts w:ascii="宋体" w:hAnsi="宋体" w:eastAsia="宋体" w:cs="宋体"/>
                      <w:color w:val="auto"/>
                      <w:spacing w:val="5"/>
                      <w:sz w:val="21"/>
                      <w:szCs w:val="21"/>
                    </w:rPr>
                    <w:t>。约</w:t>
                  </w:r>
                  <w:r>
                    <w:rPr>
                      <w:rFonts w:ascii="宋体" w:hAnsi="宋体" w:eastAsia="宋体" w:cs="宋体"/>
                      <w:color w:val="auto"/>
                      <w:spacing w:val="-43"/>
                      <w:sz w:val="21"/>
                      <w:szCs w:val="21"/>
                    </w:rPr>
                    <w:t xml:space="preserve"> </w:t>
                  </w:r>
                  <w:r>
                    <w:rPr>
                      <w:rFonts w:ascii="Times New Roman" w:hAnsi="Times New Roman" w:eastAsia="Times New Roman" w:cs="Times New Roman"/>
                      <w:color w:val="auto"/>
                      <w:spacing w:val="5"/>
                      <w:sz w:val="21"/>
                      <w:szCs w:val="21"/>
                    </w:rPr>
                    <w:t>210℃</w:t>
                  </w:r>
                  <w:r>
                    <w:rPr>
                      <w:rFonts w:ascii="宋体" w:hAnsi="宋体" w:eastAsia="宋体" w:cs="宋体"/>
                      <w:color w:val="auto"/>
                      <w:spacing w:val="5"/>
                      <w:sz w:val="21"/>
                      <w:szCs w:val="21"/>
                    </w:rPr>
                    <w:t>时迅速</w:t>
                  </w:r>
                  <w:r>
                    <w:rPr>
                      <w:rFonts w:ascii="宋体" w:hAnsi="宋体" w:eastAsia="宋体" w:cs="宋体"/>
                      <w:color w:val="auto"/>
                      <w:spacing w:val="4"/>
                      <w:sz w:val="21"/>
                      <w:szCs w:val="21"/>
                    </w:rPr>
                    <w:t>分解并生成水和一氧化二氮，再高热即爆炸。各种有机杂质均能显著地增加硝酸铵的爆炸性。与还原剂、有机物，易燃物如硫、磷或金属粉末等</w:t>
                  </w:r>
                  <w:r>
                    <w:rPr>
                      <w:rFonts w:ascii="宋体" w:hAnsi="宋体" w:eastAsia="宋体" w:cs="宋体"/>
                      <w:color w:val="auto"/>
                      <w:spacing w:val="8"/>
                      <w:sz w:val="21"/>
                      <w:szCs w:val="21"/>
                    </w:rPr>
                    <w:t>混合可形成爆炸性混合物。</w:t>
                  </w:r>
                </w:p>
              </w:tc>
            </w:tr>
            <w:tr w14:paraId="508B59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13A4E99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30</w:t>
                  </w:r>
                </w:p>
              </w:tc>
              <w:tc>
                <w:tcPr>
                  <w:tcW w:w="701" w:type="pct"/>
                  <w:tcBorders>
                    <w:tl2br w:val="nil"/>
                    <w:tr2bl w:val="nil"/>
                  </w:tcBorders>
                  <w:vAlign w:val="center"/>
                </w:tcPr>
                <w:p w14:paraId="53267C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6"/>
                      <w:sz w:val="21"/>
                      <w:szCs w:val="21"/>
                    </w:rPr>
                    <w:t>硝酸钾</w:t>
                  </w:r>
                </w:p>
              </w:tc>
              <w:tc>
                <w:tcPr>
                  <w:tcW w:w="690" w:type="pct"/>
                  <w:tcBorders>
                    <w:tl2br w:val="nil"/>
                    <w:tr2bl w:val="nil"/>
                  </w:tcBorders>
                  <w:vAlign w:val="center"/>
                </w:tcPr>
                <w:p w14:paraId="328F52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7757-79-1</w:t>
                  </w:r>
                </w:p>
              </w:tc>
              <w:tc>
                <w:tcPr>
                  <w:tcW w:w="3187" w:type="pct"/>
                  <w:tcBorders>
                    <w:tl2br w:val="nil"/>
                    <w:tr2bl w:val="nil"/>
                  </w:tcBorders>
                  <w:vAlign w:val="center"/>
                </w:tcPr>
                <w:p w14:paraId="3D0F53A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9"/>
                      <w:sz w:val="21"/>
                      <w:szCs w:val="21"/>
                    </w:rPr>
                    <w:t>无色透明斜方或三方棱柱体结晶或白色结晶性</w:t>
                  </w:r>
                  <w:r>
                    <w:rPr>
                      <w:rFonts w:ascii="宋体" w:hAnsi="宋体" w:eastAsia="宋体" w:cs="宋体"/>
                      <w:color w:val="auto"/>
                      <w:spacing w:val="5"/>
                      <w:sz w:val="21"/>
                      <w:szCs w:val="21"/>
                    </w:rPr>
                    <w:t>粉末。熔点</w:t>
                  </w:r>
                  <w:r>
                    <w:rPr>
                      <w:rFonts w:ascii="Times New Roman" w:hAnsi="Times New Roman" w:eastAsia="Times New Roman" w:cs="Times New Roman"/>
                      <w:color w:val="auto"/>
                      <w:spacing w:val="5"/>
                      <w:sz w:val="21"/>
                      <w:szCs w:val="21"/>
                    </w:rPr>
                    <w:t>333℃</w:t>
                  </w:r>
                  <w:r>
                    <w:rPr>
                      <w:rFonts w:ascii="宋体" w:hAnsi="宋体" w:eastAsia="宋体" w:cs="宋体"/>
                      <w:color w:val="auto"/>
                      <w:spacing w:val="5"/>
                      <w:sz w:val="21"/>
                      <w:szCs w:val="21"/>
                    </w:rPr>
                    <w:t>。有潮解性。受</w:t>
                  </w:r>
                  <w:r>
                    <w:rPr>
                      <w:rFonts w:ascii="宋体" w:hAnsi="宋体" w:eastAsia="宋体" w:cs="宋体"/>
                      <w:color w:val="auto"/>
                      <w:spacing w:val="4"/>
                      <w:sz w:val="21"/>
                      <w:szCs w:val="21"/>
                    </w:rPr>
                    <w:t>热分</w:t>
                  </w:r>
                  <w:r>
                    <w:rPr>
                      <w:rFonts w:ascii="宋体" w:hAnsi="宋体" w:eastAsia="宋体" w:cs="宋体"/>
                      <w:color w:val="auto"/>
                      <w:spacing w:val="7"/>
                      <w:sz w:val="21"/>
                      <w:szCs w:val="21"/>
                    </w:rPr>
                    <w:t>解。该品溶于</w:t>
                  </w:r>
                  <w:r>
                    <w:rPr>
                      <w:rFonts w:ascii="Times New Roman" w:hAnsi="Times New Roman" w:eastAsia="Times New Roman" w:cs="Times New Roman"/>
                      <w:color w:val="auto"/>
                      <w:spacing w:val="7"/>
                      <w:sz w:val="21"/>
                      <w:szCs w:val="21"/>
                    </w:rPr>
                    <w:t>2.8</w:t>
                  </w:r>
                  <w:r>
                    <w:rPr>
                      <w:rFonts w:ascii="Times New Roman" w:hAnsi="Times New Roman" w:eastAsia="Times New Roman" w:cs="Times New Roman"/>
                      <w:color w:val="auto"/>
                      <w:sz w:val="21"/>
                      <w:szCs w:val="21"/>
                    </w:rPr>
                    <w:t>mL</w:t>
                  </w:r>
                  <w:r>
                    <w:rPr>
                      <w:rFonts w:ascii="宋体" w:hAnsi="宋体" w:eastAsia="宋体" w:cs="宋体"/>
                      <w:color w:val="auto"/>
                      <w:spacing w:val="7"/>
                      <w:sz w:val="21"/>
                      <w:szCs w:val="21"/>
                    </w:rPr>
                    <w:t>水、</w:t>
                  </w:r>
                  <w:r>
                    <w:rPr>
                      <w:rFonts w:ascii="Times New Roman" w:hAnsi="Times New Roman" w:eastAsia="Times New Roman" w:cs="Times New Roman"/>
                      <w:color w:val="auto"/>
                      <w:spacing w:val="7"/>
                      <w:sz w:val="21"/>
                      <w:szCs w:val="21"/>
                    </w:rPr>
                    <w:t>0.5</w:t>
                  </w:r>
                  <w:r>
                    <w:rPr>
                      <w:rFonts w:ascii="Times New Roman" w:hAnsi="Times New Roman" w:eastAsia="Times New Roman" w:cs="Times New Roman"/>
                      <w:color w:val="auto"/>
                      <w:sz w:val="21"/>
                      <w:szCs w:val="21"/>
                    </w:rPr>
                    <w:t>mL</w:t>
                  </w:r>
                  <w:r>
                    <w:rPr>
                      <w:rFonts w:ascii="宋体" w:hAnsi="宋体" w:eastAsia="宋体" w:cs="宋体"/>
                      <w:color w:val="auto"/>
                      <w:spacing w:val="7"/>
                      <w:sz w:val="21"/>
                      <w:szCs w:val="21"/>
                    </w:rPr>
                    <w:t>沸水、</w:t>
                  </w:r>
                  <w:r>
                    <w:rPr>
                      <w:rFonts w:ascii="Times New Roman" w:hAnsi="Times New Roman" w:eastAsia="Times New Roman" w:cs="Times New Roman"/>
                      <w:color w:val="auto"/>
                      <w:spacing w:val="7"/>
                      <w:sz w:val="21"/>
                      <w:szCs w:val="21"/>
                    </w:rPr>
                    <w:t>620</w:t>
                  </w:r>
                  <w:r>
                    <w:rPr>
                      <w:rFonts w:ascii="Times New Roman" w:hAnsi="Times New Roman" w:eastAsia="Times New Roman" w:cs="Times New Roman"/>
                      <w:color w:val="auto"/>
                      <w:sz w:val="21"/>
                      <w:szCs w:val="21"/>
                    </w:rPr>
                    <w:t>mL</w:t>
                  </w:r>
                  <w:r>
                    <w:rPr>
                      <w:rFonts w:ascii="宋体" w:hAnsi="宋体" w:eastAsia="宋体" w:cs="宋体"/>
                      <w:color w:val="auto"/>
                      <w:spacing w:val="3"/>
                      <w:sz w:val="21"/>
                      <w:szCs w:val="21"/>
                    </w:rPr>
                    <w:t>乙醇，溶于甘油，不溶于无水乙醇。溶于水时能</w:t>
                  </w:r>
                  <w:r>
                    <w:rPr>
                      <w:rFonts w:ascii="宋体" w:hAnsi="宋体" w:eastAsia="宋体" w:cs="宋体"/>
                      <w:color w:val="auto"/>
                      <w:spacing w:val="2"/>
                      <w:sz w:val="21"/>
                      <w:szCs w:val="21"/>
                    </w:rPr>
                    <w:t>降低温度，水溶液</w:t>
                  </w:r>
                  <w:r>
                    <w:rPr>
                      <w:rFonts w:ascii="宋体" w:hAnsi="宋体" w:eastAsia="宋体" w:cs="宋体"/>
                      <w:color w:val="auto"/>
                      <w:spacing w:val="-35"/>
                      <w:sz w:val="21"/>
                      <w:szCs w:val="21"/>
                    </w:rPr>
                    <w:t xml:space="preserve"> </w:t>
                  </w:r>
                  <w:r>
                    <w:rPr>
                      <w:rFonts w:ascii="Times New Roman" w:hAnsi="Times New Roman" w:eastAsia="Times New Roman" w:cs="Times New Roman"/>
                      <w:color w:val="auto"/>
                      <w:sz w:val="21"/>
                      <w:szCs w:val="21"/>
                    </w:rPr>
                    <w:t>pH</w:t>
                  </w:r>
                  <w:r>
                    <w:rPr>
                      <w:rFonts w:ascii="宋体" w:hAnsi="宋体" w:eastAsia="宋体" w:cs="宋体"/>
                      <w:color w:val="auto"/>
                      <w:spacing w:val="2"/>
                      <w:sz w:val="21"/>
                      <w:szCs w:val="21"/>
                    </w:rPr>
                    <w:t>值约为</w:t>
                  </w:r>
                  <w:r>
                    <w:rPr>
                      <w:rFonts w:hint="default" w:ascii="Times New Roman" w:hAnsi="Times New Roman" w:eastAsia="宋体" w:cs="Times New Roman"/>
                      <w:color w:val="auto"/>
                      <w:spacing w:val="-40"/>
                      <w:sz w:val="21"/>
                      <w:szCs w:val="21"/>
                      <w:lang w:val="en-US" w:eastAsia="zh-CN"/>
                    </w:rPr>
                    <w:t>7</w:t>
                  </w:r>
                  <w:r>
                    <w:rPr>
                      <w:rFonts w:ascii="宋体" w:hAnsi="宋体" w:eastAsia="宋体" w:cs="宋体"/>
                      <w:color w:val="auto"/>
                      <w:spacing w:val="2"/>
                      <w:sz w:val="21"/>
                      <w:szCs w:val="21"/>
                    </w:rPr>
                    <w:t>。</w:t>
                  </w:r>
                  <w:r>
                    <w:rPr>
                      <w:rFonts w:ascii="Times New Roman" w:hAnsi="Times New Roman" w:eastAsia="Times New Roman" w:cs="Times New Roman"/>
                      <w:color w:val="auto"/>
                      <w:spacing w:val="2"/>
                      <w:sz w:val="21"/>
                      <w:szCs w:val="21"/>
                    </w:rPr>
                    <w:t>400℃</w:t>
                  </w:r>
                  <w:r>
                    <w:rPr>
                      <w:rFonts w:ascii="宋体" w:hAnsi="宋体" w:eastAsia="宋体" w:cs="宋体"/>
                      <w:color w:val="auto"/>
                      <w:spacing w:val="2"/>
                      <w:sz w:val="21"/>
                      <w:szCs w:val="21"/>
                    </w:rPr>
                    <w:t>分解放出</w:t>
                  </w:r>
                  <w:r>
                    <w:rPr>
                      <w:rFonts w:ascii="宋体" w:hAnsi="宋体" w:eastAsia="宋体" w:cs="宋体"/>
                      <w:color w:val="auto"/>
                      <w:spacing w:val="4"/>
                      <w:sz w:val="21"/>
                      <w:szCs w:val="21"/>
                    </w:rPr>
                    <w:t>氧气</w:t>
                  </w:r>
                  <w:r>
                    <w:rPr>
                      <w:rFonts w:hint="eastAsia" w:ascii="宋体" w:hAnsi="宋体" w:eastAsia="宋体" w:cs="宋体"/>
                      <w:color w:val="auto"/>
                      <w:spacing w:val="4"/>
                      <w:sz w:val="21"/>
                      <w:szCs w:val="21"/>
                      <w:lang w:eastAsia="zh-CN"/>
                    </w:rPr>
                    <w:t>，</w:t>
                  </w:r>
                  <w:r>
                    <w:rPr>
                      <w:rFonts w:ascii="宋体" w:hAnsi="宋体" w:eastAsia="宋体" w:cs="宋体"/>
                      <w:color w:val="auto"/>
                      <w:spacing w:val="4"/>
                      <w:sz w:val="21"/>
                      <w:szCs w:val="21"/>
                    </w:rPr>
                    <w:t>具有强氧化性。与有机物、还原剂、易燃</w:t>
                  </w:r>
                  <w:r>
                    <w:rPr>
                      <w:rFonts w:ascii="宋体" w:hAnsi="宋体" w:eastAsia="宋体" w:cs="宋体"/>
                      <w:color w:val="auto"/>
                      <w:spacing w:val="8"/>
                      <w:sz w:val="21"/>
                      <w:szCs w:val="21"/>
                    </w:rPr>
                    <w:t>物等接触或混合时有引起燃烧爆炸的危险。</w:t>
                  </w:r>
                </w:p>
              </w:tc>
            </w:tr>
            <w:tr w14:paraId="4AA917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0B5301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31</w:t>
                  </w:r>
                </w:p>
              </w:tc>
              <w:tc>
                <w:tcPr>
                  <w:tcW w:w="701" w:type="pct"/>
                  <w:tcBorders>
                    <w:tl2br w:val="nil"/>
                    <w:tr2bl w:val="nil"/>
                  </w:tcBorders>
                  <w:vAlign w:val="center"/>
                </w:tcPr>
                <w:p w14:paraId="03299D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6"/>
                      <w:sz w:val="21"/>
                      <w:szCs w:val="21"/>
                    </w:rPr>
                    <w:t>硝酸银</w:t>
                  </w:r>
                </w:p>
              </w:tc>
              <w:tc>
                <w:tcPr>
                  <w:tcW w:w="690" w:type="pct"/>
                  <w:tcBorders>
                    <w:tl2br w:val="nil"/>
                    <w:tr2bl w:val="nil"/>
                  </w:tcBorders>
                  <w:vAlign w:val="center"/>
                </w:tcPr>
                <w:p w14:paraId="33A13C7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7761-88-8</w:t>
                  </w:r>
                </w:p>
              </w:tc>
              <w:tc>
                <w:tcPr>
                  <w:tcW w:w="3187" w:type="pct"/>
                  <w:tcBorders>
                    <w:tl2br w:val="nil"/>
                    <w:tr2bl w:val="nil"/>
                  </w:tcBorders>
                  <w:vAlign w:val="center"/>
                </w:tcPr>
                <w:p w14:paraId="0DB4E5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hint="default" w:ascii="Times New Roman" w:hAnsi="Times New Roman" w:eastAsia="宋体" w:cs="Times New Roman"/>
                      <w:color w:val="auto"/>
                      <w:spacing w:val="9"/>
                      <w:sz w:val="21"/>
                      <w:szCs w:val="21"/>
                    </w:rPr>
                    <w:t>无色透明块状结晶或白色结晶。相对密度为</w:t>
                  </w:r>
                  <w:r>
                    <w:rPr>
                      <w:rFonts w:hint="default" w:ascii="Times New Roman" w:hAnsi="Times New Roman" w:eastAsia="Times New Roman" w:cs="Times New Roman"/>
                      <w:color w:val="auto"/>
                      <w:spacing w:val="5"/>
                      <w:sz w:val="21"/>
                      <w:szCs w:val="21"/>
                    </w:rPr>
                    <w:t>4.352(19℃)</w:t>
                  </w:r>
                  <w:r>
                    <w:rPr>
                      <w:rFonts w:hint="default" w:ascii="Times New Roman" w:hAnsi="Times New Roman" w:eastAsia="宋体" w:cs="Times New Roman"/>
                      <w:color w:val="auto"/>
                      <w:spacing w:val="5"/>
                      <w:sz w:val="21"/>
                      <w:szCs w:val="21"/>
                    </w:rPr>
                    <w:t>；熔点</w:t>
                  </w:r>
                  <w:r>
                    <w:rPr>
                      <w:rFonts w:hint="default" w:ascii="Times New Roman" w:hAnsi="Times New Roman" w:eastAsia="宋体" w:cs="Times New Roman"/>
                      <w:color w:val="auto"/>
                      <w:spacing w:val="-43"/>
                      <w:sz w:val="21"/>
                      <w:szCs w:val="21"/>
                      <w:lang w:val="en-US" w:eastAsia="zh-CN"/>
                    </w:rPr>
                    <w:t>212</w:t>
                  </w:r>
                  <w:r>
                    <w:rPr>
                      <w:rFonts w:hint="eastAsia" w:ascii="Times New Roman" w:hAnsi="Times New Roman" w:eastAsia="宋体" w:cs="Times New Roman"/>
                      <w:color w:val="auto"/>
                      <w:spacing w:val="-43"/>
                      <w:sz w:val="21"/>
                      <w:szCs w:val="21"/>
                      <w:lang w:val="en-US" w:eastAsia="zh-CN"/>
                    </w:rPr>
                    <w:t xml:space="preserve"> </w:t>
                  </w:r>
                  <w:r>
                    <w:rPr>
                      <w:rFonts w:hint="default" w:ascii="Times New Roman" w:hAnsi="Times New Roman" w:eastAsia="宋体" w:cs="Times New Roman"/>
                      <w:color w:val="auto"/>
                      <w:spacing w:val="5"/>
                      <w:sz w:val="21"/>
                      <w:szCs w:val="21"/>
                      <w:lang w:val="en-US" w:eastAsia="zh-CN"/>
                    </w:rPr>
                    <w:t>℃</w:t>
                  </w:r>
                  <w:r>
                    <w:rPr>
                      <w:rFonts w:hint="default" w:ascii="Times New Roman" w:hAnsi="Times New Roman" w:eastAsia="宋体" w:cs="Times New Roman"/>
                      <w:color w:val="auto"/>
                      <w:spacing w:val="5"/>
                      <w:sz w:val="21"/>
                      <w:szCs w:val="21"/>
                    </w:rPr>
                    <w:t>。有</w:t>
                  </w:r>
                  <w:r>
                    <w:rPr>
                      <w:rFonts w:hint="default" w:ascii="Times New Roman" w:hAnsi="Times New Roman" w:eastAsia="宋体" w:cs="Times New Roman"/>
                      <w:color w:val="auto"/>
                      <w:spacing w:val="4"/>
                      <w:sz w:val="21"/>
                      <w:szCs w:val="21"/>
                    </w:rPr>
                    <w:t>毒且具腐蚀性。溶于水、乙醇、氨水，微溶于醚、甘油。在纯净干</w:t>
                  </w:r>
                  <w:r>
                    <w:rPr>
                      <w:rFonts w:hint="default" w:ascii="Times New Roman" w:hAnsi="Times New Roman" w:eastAsia="宋体" w:cs="Times New Roman"/>
                      <w:color w:val="auto"/>
                      <w:spacing w:val="8"/>
                      <w:sz w:val="21"/>
                      <w:szCs w:val="21"/>
                    </w:rPr>
                    <w:t>燥空气中稳定，加热至</w:t>
                  </w:r>
                  <w:r>
                    <w:rPr>
                      <w:rFonts w:hint="default" w:ascii="Times New Roman" w:hAnsi="Times New Roman" w:eastAsia="宋体" w:cs="Times New Roman"/>
                      <w:color w:val="auto"/>
                      <w:spacing w:val="-39"/>
                      <w:sz w:val="21"/>
                      <w:szCs w:val="21"/>
                    </w:rPr>
                    <w:t xml:space="preserve"> </w:t>
                  </w:r>
                  <w:r>
                    <w:rPr>
                      <w:rFonts w:hint="default" w:ascii="Times New Roman" w:hAnsi="Times New Roman" w:eastAsia="Times New Roman" w:cs="Times New Roman"/>
                      <w:color w:val="auto"/>
                      <w:spacing w:val="8"/>
                      <w:sz w:val="21"/>
                      <w:szCs w:val="21"/>
                    </w:rPr>
                    <w:t>450℃</w:t>
                  </w:r>
                  <w:r>
                    <w:rPr>
                      <w:rFonts w:hint="default" w:ascii="Times New Roman" w:hAnsi="Times New Roman" w:eastAsia="宋体" w:cs="Times New Roman"/>
                      <w:color w:val="auto"/>
                      <w:spacing w:val="8"/>
                      <w:sz w:val="21"/>
                      <w:szCs w:val="21"/>
                    </w:rPr>
                    <w:t>时，便分解成银、二氧化氮和氧。与水或乙醇的溶液呈中性反应。</w:t>
                  </w:r>
                  <w:r>
                    <w:rPr>
                      <w:rFonts w:hint="default" w:ascii="Times New Roman" w:hAnsi="Times New Roman" w:eastAsia="宋体" w:cs="Times New Roman"/>
                      <w:color w:val="auto"/>
                      <w:spacing w:val="4"/>
                      <w:sz w:val="21"/>
                      <w:szCs w:val="21"/>
                    </w:rPr>
                    <w:t>具有感光性。无机氧化剂。遇可燃物着火时，能</w:t>
                  </w:r>
                  <w:r>
                    <w:rPr>
                      <w:rFonts w:hint="default" w:ascii="Times New Roman" w:hAnsi="Times New Roman" w:eastAsia="宋体" w:cs="Times New Roman"/>
                      <w:color w:val="auto"/>
                      <w:spacing w:val="5"/>
                      <w:sz w:val="21"/>
                      <w:szCs w:val="21"/>
                    </w:rPr>
                    <w:t>助长火势。</w:t>
                  </w:r>
                </w:p>
              </w:tc>
            </w:tr>
            <w:tr w14:paraId="3D5C83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7DFAC1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32</w:t>
                  </w:r>
                </w:p>
              </w:tc>
              <w:tc>
                <w:tcPr>
                  <w:tcW w:w="701" w:type="pct"/>
                  <w:tcBorders>
                    <w:tl2br w:val="nil"/>
                    <w:tr2bl w:val="nil"/>
                  </w:tcBorders>
                  <w:vAlign w:val="center"/>
                </w:tcPr>
                <w:p w14:paraId="5675059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7"/>
                      <w:sz w:val="21"/>
                      <w:szCs w:val="21"/>
                    </w:rPr>
                    <w:t>氢氧化钡</w:t>
                  </w:r>
                </w:p>
              </w:tc>
              <w:tc>
                <w:tcPr>
                  <w:tcW w:w="690" w:type="pct"/>
                  <w:tcBorders>
                    <w:tl2br w:val="nil"/>
                    <w:tr2bl w:val="nil"/>
                  </w:tcBorders>
                  <w:vAlign w:val="center"/>
                </w:tcPr>
                <w:p w14:paraId="58022C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17194-00-2</w:t>
                  </w:r>
                </w:p>
              </w:tc>
              <w:tc>
                <w:tcPr>
                  <w:tcW w:w="3187" w:type="pct"/>
                  <w:tcBorders>
                    <w:tl2br w:val="nil"/>
                    <w:tr2bl w:val="nil"/>
                  </w:tcBorders>
                  <w:vAlign w:val="center"/>
                </w:tcPr>
                <w:p w14:paraId="2971C9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3"/>
                      <w:sz w:val="21"/>
                      <w:szCs w:val="21"/>
                    </w:rPr>
                    <w:t>为白色结晶性粉末，熔点</w:t>
                  </w:r>
                  <w:r>
                    <w:rPr>
                      <w:rFonts w:ascii="Times New Roman" w:hAnsi="Times New Roman" w:eastAsia="Times New Roman" w:cs="Times New Roman"/>
                      <w:color w:val="auto"/>
                      <w:spacing w:val="3"/>
                      <w:sz w:val="21"/>
                      <w:szCs w:val="21"/>
                    </w:rPr>
                    <w:t>78℃</w:t>
                  </w:r>
                  <w:r>
                    <w:rPr>
                      <w:rFonts w:ascii="宋体" w:hAnsi="宋体" w:eastAsia="宋体" w:cs="宋体"/>
                      <w:color w:val="auto"/>
                      <w:spacing w:val="3"/>
                      <w:sz w:val="21"/>
                      <w:szCs w:val="21"/>
                    </w:rPr>
                    <w:t>,相对密度</w:t>
                  </w:r>
                  <w:r>
                    <w:rPr>
                      <w:rFonts w:ascii="Times New Roman" w:hAnsi="Times New Roman" w:eastAsia="Times New Roman" w:cs="Times New Roman"/>
                      <w:color w:val="auto"/>
                      <w:spacing w:val="5"/>
                      <w:sz w:val="21"/>
                      <w:szCs w:val="21"/>
                    </w:rPr>
                    <w:t>2.18(16℃)</w:t>
                  </w:r>
                  <w:r>
                    <w:rPr>
                      <w:rFonts w:ascii="宋体" w:hAnsi="宋体" w:eastAsia="宋体" w:cs="宋体"/>
                      <w:color w:val="auto"/>
                      <w:spacing w:val="5"/>
                      <w:sz w:val="21"/>
                      <w:szCs w:val="21"/>
                    </w:rPr>
                    <w:t>，可溶于水、乙醇，易溶于稀酸</w:t>
                  </w:r>
                </w:p>
              </w:tc>
            </w:tr>
            <w:tr w14:paraId="6CF54F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44CF6F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33</w:t>
                  </w:r>
                </w:p>
              </w:tc>
              <w:tc>
                <w:tcPr>
                  <w:tcW w:w="701" w:type="pct"/>
                  <w:tcBorders>
                    <w:tl2br w:val="nil"/>
                    <w:tr2bl w:val="nil"/>
                  </w:tcBorders>
                  <w:vAlign w:val="center"/>
                </w:tcPr>
                <w:p w14:paraId="63099B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6"/>
                      <w:sz w:val="21"/>
                      <w:szCs w:val="21"/>
                    </w:rPr>
                    <w:t>碳酸钠</w:t>
                  </w:r>
                </w:p>
              </w:tc>
              <w:tc>
                <w:tcPr>
                  <w:tcW w:w="690" w:type="pct"/>
                  <w:tcBorders>
                    <w:tl2br w:val="nil"/>
                    <w:tr2bl w:val="nil"/>
                  </w:tcBorders>
                  <w:vAlign w:val="center"/>
                </w:tcPr>
                <w:p w14:paraId="703CB7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7542-12-3</w:t>
                  </w:r>
                </w:p>
              </w:tc>
              <w:tc>
                <w:tcPr>
                  <w:tcW w:w="3187" w:type="pct"/>
                  <w:tcBorders>
                    <w:tl2br w:val="nil"/>
                    <w:tr2bl w:val="nil"/>
                  </w:tcBorders>
                  <w:vAlign w:val="center"/>
                </w:tcPr>
                <w:p w14:paraId="3F8240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4"/>
                      <w:sz w:val="21"/>
                      <w:szCs w:val="21"/>
                    </w:rPr>
                    <w:t>白色粉末。熔点</w:t>
                  </w:r>
                  <w:r>
                    <w:rPr>
                      <w:rFonts w:ascii="Times New Roman" w:hAnsi="Times New Roman" w:eastAsia="Times New Roman" w:cs="Times New Roman"/>
                      <w:color w:val="auto"/>
                      <w:spacing w:val="4"/>
                      <w:sz w:val="21"/>
                      <w:szCs w:val="21"/>
                    </w:rPr>
                    <w:t>851℃</w:t>
                  </w:r>
                  <w:r>
                    <w:rPr>
                      <w:rFonts w:ascii="宋体" w:hAnsi="宋体" w:eastAsia="宋体" w:cs="宋体"/>
                      <w:color w:val="auto"/>
                      <w:spacing w:val="4"/>
                      <w:sz w:val="21"/>
                      <w:szCs w:val="21"/>
                    </w:rPr>
                    <w:t>。碳酸钠在空气</w:t>
                  </w:r>
                  <w:r>
                    <w:rPr>
                      <w:rFonts w:ascii="宋体" w:hAnsi="宋体" w:eastAsia="宋体" w:cs="宋体"/>
                      <w:color w:val="auto"/>
                      <w:spacing w:val="8"/>
                      <w:sz w:val="21"/>
                      <w:szCs w:val="21"/>
                    </w:rPr>
                    <w:t>中极容易吸水潮解。</w:t>
                  </w:r>
                  <w:r>
                    <w:rPr>
                      <w:rFonts w:ascii="Times New Roman" w:hAnsi="Times New Roman" w:eastAsia="Times New Roman" w:cs="Times New Roman"/>
                      <w:color w:val="auto"/>
                      <w:spacing w:val="8"/>
                      <w:sz w:val="21"/>
                      <w:szCs w:val="21"/>
                    </w:rPr>
                    <w:t>400℃</w:t>
                  </w:r>
                  <w:r>
                    <w:rPr>
                      <w:rFonts w:ascii="宋体" w:hAnsi="宋体" w:eastAsia="宋体" w:cs="宋体"/>
                      <w:color w:val="auto"/>
                      <w:spacing w:val="8"/>
                      <w:sz w:val="21"/>
                      <w:szCs w:val="21"/>
                    </w:rPr>
                    <w:t>时开始分解出二</w:t>
                  </w:r>
                  <w:r>
                    <w:rPr>
                      <w:rFonts w:ascii="宋体" w:hAnsi="宋体" w:eastAsia="宋体" w:cs="宋体"/>
                      <w:color w:val="auto"/>
                      <w:spacing w:val="7"/>
                      <w:sz w:val="21"/>
                      <w:szCs w:val="21"/>
                    </w:rPr>
                    <w:t>氧化</w:t>
                  </w:r>
                  <w:r>
                    <w:rPr>
                      <w:rFonts w:ascii="宋体" w:hAnsi="宋体" w:eastAsia="宋体" w:cs="宋体"/>
                      <w:color w:val="auto"/>
                      <w:spacing w:val="6"/>
                      <w:sz w:val="21"/>
                      <w:szCs w:val="21"/>
                    </w:rPr>
                    <w:t>碳。溶</w:t>
                  </w:r>
                  <w:r>
                    <w:rPr>
                      <w:rFonts w:ascii="宋体" w:hAnsi="宋体" w:eastAsia="宋体" w:cs="宋体"/>
                      <w:color w:val="auto"/>
                      <w:spacing w:val="9"/>
                      <w:sz w:val="21"/>
                      <w:szCs w:val="21"/>
                    </w:rPr>
                    <w:t>于甘油，不溶于乙醇。其水溶液呈强碱性，</w:t>
                  </w:r>
                  <w:r>
                    <w:rPr>
                      <w:rFonts w:ascii="Times New Roman" w:hAnsi="Times New Roman" w:eastAsia="Times New Roman" w:cs="Times New Roman"/>
                      <w:color w:val="auto"/>
                      <w:sz w:val="21"/>
                      <w:szCs w:val="21"/>
                    </w:rPr>
                    <w:t>pH</w:t>
                  </w:r>
                  <w:r>
                    <w:rPr>
                      <w:rFonts w:ascii="宋体" w:hAnsi="宋体" w:eastAsia="宋体" w:cs="宋体"/>
                      <w:color w:val="auto"/>
                      <w:spacing w:val="-3"/>
                      <w:sz w:val="21"/>
                      <w:szCs w:val="21"/>
                    </w:rPr>
                    <w:t>值</w:t>
                  </w:r>
                  <w:r>
                    <w:rPr>
                      <w:rFonts w:ascii="Times New Roman" w:hAnsi="Times New Roman" w:eastAsia="Times New Roman" w:cs="Times New Roman"/>
                      <w:color w:val="auto"/>
                      <w:spacing w:val="-3"/>
                      <w:sz w:val="21"/>
                      <w:szCs w:val="21"/>
                    </w:rPr>
                    <w:t>11.6</w:t>
                  </w:r>
                  <w:r>
                    <w:rPr>
                      <w:rFonts w:ascii="宋体" w:hAnsi="宋体" w:eastAsia="宋体" w:cs="宋体"/>
                      <w:color w:val="auto"/>
                      <w:spacing w:val="-3"/>
                      <w:sz w:val="21"/>
                      <w:szCs w:val="21"/>
                    </w:rPr>
                    <w:t>。</w:t>
                  </w:r>
                </w:p>
              </w:tc>
            </w:tr>
            <w:tr w14:paraId="0C01B8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089DE0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34</w:t>
                  </w:r>
                </w:p>
              </w:tc>
              <w:tc>
                <w:tcPr>
                  <w:tcW w:w="701" w:type="pct"/>
                  <w:tcBorders>
                    <w:tl2br w:val="nil"/>
                    <w:tr2bl w:val="nil"/>
                  </w:tcBorders>
                  <w:vAlign w:val="center"/>
                </w:tcPr>
                <w:p w14:paraId="0769B9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7"/>
                      <w:sz w:val="21"/>
                      <w:szCs w:val="21"/>
                    </w:rPr>
                    <w:t>碳酸氢钠</w:t>
                  </w:r>
                </w:p>
              </w:tc>
              <w:tc>
                <w:tcPr>
                  <w:tcW w:w="690" w:type="pct"/>
                  <w:tcBorders>
                    <w:tl2br w:val="nil"/>
                    <w:tr2bl w:val="nil"/>
                  </w:tcBorders>
                  <w:vAlign w:val="center"/>
                </w:tcPr>
                <w:p w14:paraId="08BA28E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144-55-8</w:t>
                  </w:r>
                </w:p>
              </w:tc>
              <w:tc>
                <w:tcPr>
                  <w:tcW w:w="3187" w:type="pct"/>
                  <w:tcBorders>
                    <w:tl2br w:val="nil"/>
                    <w:tr2bl w:val="nil"/>
                  </w:tcBorders>
                  <w:vAlign w:val="center"/>
                </w:tcPr>
                <w:p w14:paraId="04BC5C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5"/>
                      <w:sz w:val="21"/>
                      <w:szCs w:val="21"/>
                    </w:rPr>
                    <w:t>白色单斜结晶或结晶性粉末。</w:t>
                  </w:r>
                  <w:r>
                    <w:rPr>
                      <w:rFonts w:ascii="Times New Roman" w:hAnsi="Times New Roman" w:eastAsia="Times New Roman" w:cs="Times New Roman"/>
                      <w:color w:val="auto"/>
                      <w:spacing w:val="5"/>
                      <w:sz w:val="21"/>
                      <w:szCs w:val="21"/>
                    </w:rPr>
                    <w:t>d2.159</w:t>
                  </w:r>
                  <w:r>
                    <w:rPr>
                      <w:rFonts w:ascii="宋体" w:hAnsi="宋体" w:eastAsia="宋体" w:cs="宋体"/>
                      <w:color w:val="auto"/>
                      <w:spacing w:val="5"/>
                      <w:sz w:val="21"/>
                      <w:szCs w:val="21"/>
                    </w:rPr>
                    <w:t>。溶于水，</w:t>
                  </w:r>
                  <w:r>
                    <w:rPr>
                      <w:rFonts w:ascii="Times New Roman" w:hAnsi="Times New Roman" w:eastAsia="Times New Roman" w:cs="Times New Roman"/>
                      <w:color w:val="auto"/>
                      <w:spacing w:val="5"/>
                      <w:sz w:val="21"/>
                      <w:szCs w:val="21"/>
                    </w:rPr>
                    <w:t>25℃</w:t>
                  </w:r>
                  <w:r>
                    <w:rPr>
                      <w:rFonts w:ascii="宋体" w:hAnsi="宋体" w:eastAsia="宋体" w:cs="宋体"/>
                      <w:color w:val="auto"/>
                      <w:spacing w:val="5"/>
                      <w:sz w:val="21"/>
                      <w:szCs w:val="21"/>
                    </w:rPr>
                    <w:t>时溶于</w:t>
                  </w:r>
                  <w:r>
                    <w:rPr>
                      <w:rFonts w:ascii="Times New Roman" w:hAnsi="Times New Roman" w:eastAsia="Times New Roman" w:cs="Times New Roman"/>
                      <w:color w:val="auto"/>
                      <w:spacing w:val="5"/>
                      <w:sz w:val="21"/>
                      <w:szCs w:val="21"/>
                    </w:rPr>
                    <w:t>10</w:t>
                  </w:r>
                  <w:r>
                    <w:rPr>
                      <w:rFonts w:ascii="宋体" w:hAnsi="宋体" w:eastAsia="宋体" w:cs="宋体"/>
                      <w:color w:val="auto"/>
                      <w:spacing w:val="5"/>
                      <w:sz w:val="21"/>
                      <w:szCs w:val="21"/>
                    </w:rPr>
                    <w:t>份水．</w:t>
                  </w:r>
                  <w:r>
                    <w:rPr>
                      <w:rFonts w:ascii="Times New Roman" w:hAnsi="Times New Roman" w:eastAsia="Times New Roman" w:cs="Times New Roman"/>
                      <w:color w:val="auto"/>
                      <w:spacing w:val="5"/>
                      <w:sz w:val="21"/>
                      <w:szCs w:val="21"/>
                    </w:rPr>
                    <w:t>18℃</w:t>
                  </w:r>
                  <w:r>
                    <w:rPr>
                      <w:rFonts w:ascii="宋体" w:hAnsi="宋体" w:eastAsia="宋体" w:cs="宋体"/>
                      <w:color w:val="auto"/>
                      <w:spacing w:val="5"/>
                      <w:sz w:val="21"/>
                      <w:szCs w:val="21"/>
                    </w:rPr>
                    <w:t>时溶于</w:t>
                  </w:r>
                  <w:r>
                    <w:rPr>
                      <w:rFonts w:ascii="Times New Roman" w:hAnsi="Times New Roman" w:eastAsia="Times New Roman" w:cs="Times New Roman"/>
                      <w:color w:val="auto"/>
                      <w:spacing w:val="5"/>
                      <w:sz w:val="21"/>
                      <w:szCs w:val="21"/>
                    </w:rPr>
                    <w:t>12</w:t>
                  </w:r>
                  <w:r>
                    <w:rPr>
                      <w:rFonts w:ascii="宋体" w:hAnsi="宋体" w:eastAsia="宋体" w:cs="宋体"/>
                      <w:color w:val="auto"/>
                      <w:spacing w:val="5"/>
                      <w:sz w:val="21"/>
                      <w:szCs w:val="21"/>
                    </w:rPr>
                    <w:t>份水。溶</w:t>
                  </w:r>
                  <w:r>
                    <w:rPr>
                      <w:rFonts w:ascii="宋体" w:hAnsi="宋体" w:eastAsia="宋体" w:cs="宋体"/>
                      <w:color w:val="auto"/>
                      <w:spacing w:val="2"/>
                      <w:sz w:val="21"/>
                      <w:szCs w:val="21"/>
                    </w:rPr>
                    <w:t>液呈弱碱性，</w:t>
                  </w:r>
                  <w:r>
                    <w:rPr>
                      <w:rFonts w:ascii="Times New Roman" w:hAnsi="Times New Roman" w:eastAsia="Times New Roman" w:cs="Times New Roman"/>
                      <w:color w:val="auto"/>
                      <w:spacing w:val="2"/>
                      <w:sz w:val="21"/>
                      <w:szCs w:val="21"/>
                    </w:rPr>
                    <w:t>25℃</w:t>
                  </w:r>
                  <w:r>
                    <w:rPr>
                      <w:rFonts w:hint="eastAsia" w:ascii="Times New Roman" w:hAnsi="Times New Roman" w:eastAsia="宋体" w:cs="Times New Roman"/>
                      <w:color w:val="auto"/>
                      <w:spacing w:val="2"/>
                      <w:sz w:val="21"/>
                      <w:szCs w:val="21"/>
                      <w:lang w:val="en-US" w:eastAsia="zh-CN"/>
                    </w:rPr>
                    <w:t>时</w:t>
                  </w:r>
                  <w:r>
                    <w:rPr>
                      <w:rFonts w:ascii="Times New Roman" w:hAnsi="Times New Roman" w:eastAsia="Times New Roman" w:cs="Times New Roman"/>
                      <w:color w:val="auto"/>
                      <w:spacing w:val="2"/>
                      <w:sz w:val="21"/>
                      <w:szCs w:val="21"/>
                    </w:rPr>
                    <w:t>0.1</w:t>
                  </w:r>
                  <w:r>
                    <w:rPr>
                      <w:rFonts w:ascii="Times New Roman" w:hAnsi="Times New Roman" w:eastAsia="Times New Roman" w:cs="Times New Roman"/>
                      <w:color w:val="auto"/>
                      <w:sz w:val="21"/>
                      <w:szCs w:val="21"/>
                    </w:rPr>
                    <w:t>mol</w:t>
                  </w:r>
                  <w:r>
                    <w:rPr>
                      <w:rFonts w:ascii="宋体" w:hAnsi="宋体" w:eastAsia="宋体" w:cs="宋体"/>
                      <w:color w:val="auto"/>
                      <w:spacing w:val="2"/>
                      <w:sz w:val="21"/>
                      <w:szCs w:val="21"/>
                    </w:rPr>
                    <w:t>水溶液</w:t>
                  </w:r>
                  <w:r>
                    <w:rPr>
                      <w:rFonts w:ascii="宋体" w:hAnsi="宋体" w:eastAsia="宋体" w:cs="宋体"/>
                      <w:color w:val="auto"/>
                      <w:spacing w:val="-48"/>
                      <w:sz w:val="21"/>
                      <w:szCs w:val="21"/>
                    </w:rPr>
                    <w:t xml:space="preserve"> </w:t>
                  </w:r>
                  <w:r>
                    <w:rPr>
                      <w:rFonts w:ascii="Times New Roman" w:hAnsi="Times New Roman" w:eastAsia="Times New Roman" w:cs="Times New Roman"/>
                      <w:color w:val="auto"/>
                      <w:sz w:val="21"/>
                      <w:szCs w:val="21"/>
                    </w:rPr>
                    <w:t>pH</w:t>
                  </w:r>
                  <w:r>
                    <w:rPr>
                      <w:rFonts w:ascii="宋体" w:hAnsi="宋体" w:eastAsia="宋体" w:cs="宋体"/>
                      <w:color w:val="auto"/>
                      <w:spacing w:val="2"/>
                      <w:sz w:val="21"/>
                      <w:szCs w:val="21"/>
                    </w:rPr>
                    <w:t>值</w:t>
                  </w:r>
                  <w:r>
                    <w:rPr>
                      <w:rFonts w:ascii="宋体" w:hAnsi="宋体" w:eastAsia="宋体" w:cs="宋体"/>
                      <w:color w:val="auto"/>
                      <w:spacing w:val="-34"/>
                      <w:sz w:val="21"/>
                      <w:szCs w:val="21"/>
                    </w:rPr>
                    <w:t xml:space="preserve"> </w:t>
                  </w:r>
                  <w:r>
                    <w:rPr>
                      <w:rFonts w:ascii="Times New Roman" w:hAnsi="Times New Roman" w:eastAsia="Times New Roman" w:cs="Times New Roman"/>
                      <w:color w:val="auto"/>
                      <w:spacing w:val="2"/>
                      <w:sz w:val="21"/>
                      <w:szCs w:val="21"/>
                    </w:rPr>
                    <w:t>8.3</w:t>
                  </w:r>
                  <w:r>
                    <w:rPr>
                      <w:rFonts w:ascii="宋体" w:hAnsi="宋体" w:eastAsia="宋体" w:cs="宋体"/>
                      <w:color w:val="auto"/>
                      <w:spacing w:val="2"/>
                      <w:sz w:val="21"/>
                      <w:szCs w:val="21"/>
                    </w:rPr>
                    <w:t>。</w:t>
                  </w:r>
                  <w:r>
                    <w:rPr>
                      <w:rFonts w:ascii="宋体" w:hAnsi="宋体" w:eastAsia="宋体" w:cs="宋体"/>
                      <w:color w:val="auto"/>
                      <w:spacing w:val="9"/>
                      <w:sz w:val="21"/>
                      <w:szCs w:val="21"/>
                    </w:rPr>
                    <w:t>微溶于乙醇。遇酸则剧烈分解。</w:t>
                  </w:r>
                  <w:r>
                    <w:rPr>
                      <w:rFonts w:ascii="Times New Roman" w:hAnsi="Times New Roman" w:eastAsia="Times New Roman" w:cs="Times New Roman"/>
                      <w:color w:val="auto"/>
                      <w:spacing w:val="9"/>
                      <w:sz w:val="21"/>
                      <w:szCs w:val="21"/>
                    </w:rPr>
                    <w:t>50℃</w:t>
                  </w:r>
                  <w:r>
                    <w:rPr>
                      <w:rFonts w:ascii="宋体" w:hAnsi="宋体" w:eastAsia="宋体" w:cs="宋体"/>
                      <w:color w:val="auto"/>
                      <w:spacing w:val="9"/>
                      <w:sz w:val="21"/>
                      <w:szCs w:val="21"/>
                    </w:rPr>
                    <w:t>时开始失</w:t>
                  </w:r>
                  <w:r>
                    <w:rPr>
                      <w:rFonts w:ascii="宋体" w:hAnsi="宋体" w:eastAsia="宋体" w:cs="宋体"/>
                      <w:color w:val="auto"/>
                      <w:spacing w:val="8"/>
                      <w:sz w:val="21"/>
                      <w:szCs w:val="21"/>
                    </w:rPr>
                    <w:t>去二氧化碳，</w:t>
                  </w:r>
                  <w:r>
                    <w:rPr>
                      <w:rFonts w:ascii="Times New Roman" w:hAnsi="Times New Roman" w:eastAsia="Times New Roman" w:cs="Times New Roman"/>
                      <w:color w:val="auto"/>
                      <w:spacing w:val="8"/>
                      <w:sz w:val="21"/>
                      <w:szCs w:val="21"/>
                    </w:rPr>
                    <w:t>100℃</w:t>
                  </w:r>
                  <w:r>
                    <w:rPr>
                      <w:rFonts w:ascii="宋体" w:hAnsi="宋体" w:eastAsia="宋体" w:cs="宋体"/>
                      <w:color w:val="auto"/>
                      <w:spacing w:val="8"/>
                      <w:sz w:val="21"/>
                      <w:szCs w:val="21"/>
                    </w:rPr>
                    <w:t>变为</w:t>
                  </w:r>
                  <w:r>
                    <w:rPr>
                      <w:rFonts w:ascii="宋体" w:hAnsi="宋体" w:eastAsia="宋体" w:cs="宋体"/>
                      <w:color w:val="auto"/>
                      <w:spacing w:val="-42"/>
                      <w:sz w:val="21"/>
                      <w:szCs w:val="21"/>
                    </w:rPr>
                    <w:t xml:space="preserve"> </w:t>
                  </w:r>
                  <w:r>
                    <w:rPr>
                      <w:rFonts w:ascii="Times New Roman" w:hAnsi="Times New Roman" w:eastAsia="Times New Roman" w:cs="Times New Roman"/>
                      <w:color w:val="auto"/>
                      <w:sz w:val="21"/>
                      <w:szCs w:val="21"/>
                    </w:rPr>
                    <w:t>Na</w:t>
                  </w:r>
                  <w:r>
                    <w:rPr>
                      <w:rFonts w:ascii="Times New Roman" w:hAnsi="Times New Roman" w:eastAsia="Times New Roman" w:cs="Times New Roman"/>
                      <w:color w:val="auto"/>
                      <w:spacing w:val="8"/>
                      <w:sz w:val="21"/>
                      <w:szCs w:val="21"/>
                      <w:vertAlign w:val="subscript"/>
                    </w:rPr>
                    <w:t>2</w:t>
                  </w:r>
                  <w:r>
                    <w:rPr>
                      <w:rFonts w:ascii="Times New Roman" w:hAnsi="Times New Roman" w:eastAsia="Times New Roman" w:cs="Times New Roman"/>
                      <w:color w:val="auto"/>
                      <w:sz w:val="21"/>
                      <w:szCs w:val="21"/>
                    </w:rPr>
                    <w:t>CO</w:t>
                  </w:r>
                  <w:r>
                    <w:rPr>
                      <w:rFonts w:ascii="Times New Roman" w:hAnsi="Times New Roman" w:eastAsia="Times New Roman" w:cs="Times New Roman"/>
                      <w:color w:val="auto"/>
                      <w:spacing w:val="8"/>
                      <w:position w:val="-1"/>
                      <w:sz w:val="21"/>
                      <w:szCs w:val="21"/>
                      <w:vertAlign w:val="subscript"/>
                    </w:rPr>
                    <w:t>3</w:t>
                  </w:r>
                  <w:r>
                    <w:rPr>
                      <w:rFonts w:ascii="宋体" w:hAnsi="宋体" w:eastAsia="宋体" w:cs="宋体"/>
                      <w:color w:val="auto"/>
                      <w:spacing w:val="8"/>
                      <w:sz w:val="21"/>
                      <w:szCs w:val="21"/>
                    </w:rPr>
                    <w:t>。</w:t>
                  </w:r>
                </w:p>
              </w:tc>
            </w:tr>
            <w:tr w14:paraId="06C12D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0" w:type="pct"/>
                  <w:tcBorders>
                    <w:tl2br w:val="nil"/>
                    <w:tr2bl w:val="nil"/>
                  </w:tcBorders>
                  <w:vAlign w:val="center"/>
                </w:tcPr>
                <w:p w14:paraId="7A47A8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35</w:t>
                  </w:r>
                </w:p>
              </w:tc>
              <w:tc>
                <w:tcPr>
                  <w:tcW w:w="701" w:type="pct"/>
                  <w:tcBorders>
                    <w:tl2br w:val="nil"/>
                    <w:tr2bl w:val="nil"/>
                  </w:tcBorders>
                  <w:vAlign w:val="center"/>
                </w:tcPr>
                <w:p w14:paraId="4407D06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5"/>
                      <w:sz w:val="21"/>
                      <w:szCs w:val="21"/>
                    </w:rPr>
                    <w:t>氯化钡</w:t>
                  </w:r>
                </w:p>
              </w:tc>
              <w:tc>
                <w:tcPr>
                  <w:tcW w:w="690" w:type="pct"/>
                  <w:tcBorders>
                    <w:tl2br w:val="nil"/>
                    <w:tr2bl w:val="nil"/>
                  </w:tcBorders>
                  <w:vAlign w:val="center"/>
                </w:tcPr>
                <w:p w14:paraId="340858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10326-27-9</w:t>
                  </w:r>
                </w:p>
              </w:tc>
              <w:tc>
                <w:tcPr>
                  <w:tcW w:w="3187" w:type="pct"/>
                  <w:tcBorders>
                    <w:tl2br w:val="nil"/>
                    <w:tr2bl w:val="nil"/>
                  </w:tcBorders>
                  <w:vAlign w:val="center"/>
                </w:tcPr>
                <w:p w14:paraId="5E3C2D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color w:val="auto"/>
                      <w:sz w:val="21"/>
                      <w:szCs w:val="21"/>
                    </w:rPr>
                  </w:pPr>
                  <w:r>
                    <w:rPr>
                      <w:rFonts w:ascii="宋体" w:hAnsi="宋体" w:eastAsia="宋体" w:cs="宋体"/>
                      <w:color w:val="auto"/>
                      <w:spacing w:val="-1"/>
                      <w:sz w:val="21"/>
                      <w:szCs w:val="21"/>
                    </w:rPr>
                    <w:t>无色结晶或白色颗粒或粉末。熔点</w:t>
                  </w:r>
                  <w:r>
                    <w:rPr>
                      <w:rFonts w:ascii="宋体" w:hAnsi="宋体" w:eastAsia="宋体" w:cs="宋体"/>
                      <w:color w:val="auto"/>
                      <w:spacing w:val="-36"/>
                      <w:sz w:val="21"/>
                      <w:szCs w:val="21"/>
                    </w:rPr>
                    <w:t xml:space="preserve"> </w:t>
                  </w:r>
                  <w:r>
                    <w:rPr>
                      <w:rFonts w:ascii="Times New Roman" w:hAnsi="Times New Roman" w:eastAsia="Times New Roman" w:cs="Times New Roman"/>
                      <w:color w:val="auto"/>
                      <w:spacing w:val="-1"/>
                      <w:sz w:val="21"/>
                      <w:szCs w:val="21"/>
                    </w:rPr>
                    <w:t>963℃</w:t>
                  </w:r>
                  <w:r>
                    <w:rPr>
                      <w:rFonts w:ascii="宋体" w:hAnsi="宋体" w:eastAsia="宋体" w:cs="宋体"/>
                      <w:color w:val="auto"/>
                      <w:spacing w:val="-1"/>
                      <w:sz w:val="21"/>
                      <w:szCs w:val="21"/>
                    </w:rPr>
                    <w:t>。</w:t>
                  </w:r>
                  <w:r>
                    <w:rPr>
                      <w:rFonts w:ascii="宋体" w:hAnsi="宋体" w:eastAsia="宋体" w:cs="宋体"/>
                      <w:color w:val="auto"/>
                      <w:spacing w:val="4"/>
                      <w:sz w:val="21"/>
                      <w:szCs w:val="21"/>
                    </w:rPr>
                    <w:t>微有吸湿性。易溶于水，溶于甲醇和甘油，几乎不溶于乙醇、乙酸乙酯、丙酮。受热分解有毒氯</w:t>
                  </w:r>
                  <w:r>
                    <w:rPr>
                      <w:rFonts w:ascii="宋体" w:hAnsi="宋体" w:eastAsia="宋体" w:cs="宋体"/>
                      <w:color w:val="auto"/>
                      <w:spacing w:val="7"/>
                      <w:sz w:val="21"/>
                      <w:szCs w:val="21"/>
                    </w:rPr>
                    <w:t>化物和钡氧化物烟雾。</w:t>
                  </w:r>
                </w:p>
              </w:tc>
            </w:tr>
          </w:tbl>
          <w:p w14:paraId="72CB0A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有毒有害大气污染物名录（2018年）</w:t>
            </w:r>
            <w:r>
              <w:rPr>
                <w:rFonts w:hint="eastAsia"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中列出了11种污染物：二氯甲烷、甲醛、三氯甲烷、三氯乙烯、四氯乙烯、乙醛、镉及其化合物、铬及其化合物、汞及其化合物、铅及其化合物、砷及其化合物。</w:t>
            </w:r>
            <w:r>
              <w:rPr>
                <w:rFonts w:hint="eastAsia" w:ascii="Times New Roman" w:hAnsi="Times New Roman" w:cs="Times New Roman"/>
                <w:b/>
                <w:bCs/>
                <w:color w:val="auto"/>
                <w:sz w:val="24"/>
                <w:szCs w:val="24"/>
                <w:highlight w:val="none"/>
                <w:lang w:val="en-US" w:eastAsia="zh-CN"/>
              </w:rPr>
              <w:t>学校实验所用化学药品均不属于《有毒有害大气污染物名录（2018年）》中所列物质。</w:t>
            </w:r>
          </w:p>
          <w:p w14:paraId="049E3957">
            <w:pPr>
              <w:spacing w:line="360" w:lineRule="auto"/>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7</w:t>
            </w:r>
            <w:r>
              <w:rPr>
                <w:rFonts w:ascii="Times New Roman" w:hAnsi="Times New Roman" w:cs="Times New Roman"/>
                <w:b/>
                <w:bCs/>
                <w:color w:val="auto"/>
                <w:sz w:val="24"/>
                <w:szCs w:val="24"/>
                <w:highlight w:val="none"/>
              </w:rPr>
              <w:t>、</w:t>
            </w:r>
            <w:r>
              <w:rPr>
                <w:rFonts w:hint="eastAsia" w:ascii="Times New Roman" w:hAnsi="Times New Roman" w:cs="Times New Roman"/>
                <w:b/>
                <w:bCs/>
                <w:color w:val="auto"/>
                <w:sz w:val="24"/>
                <w:szCs w:val="24"/>
                <w:highlight w:val="none"/>
              </w:rPr>
              <w:t>公用工程</w:t>
            </w:r>
          </w:p>
          <w:p w14:paraId="2D766CE3">
            <w:pPr>
              <w:spacing w:line="360" w:lineRule="auto"/>
              <w:ind w:firstLine="482" w:firstLineChars="200"/>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（1）给排水系统</w:t>
            </w:r>
          </w:p>
          <w:p w14:paraId="3C619079">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1）供水水源</w:t>
            </w:r>
          </w:p>
          <w:p w14:paraId="445BBB21">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水源为城市自来水，市政供水压力按0.30MPa考虑。项目现状从</w:t>
            </w:r>
            <w:r>
              <w:rPr>
                <w:rFonts w:hint="eastAsia" w:ascii="Times New Roman" w:hAnsi="Times New Roman" w:cs="Times New Roman"/>
                <w:color w:val="auto"/>
                <w:sz w:val="24"/>
                <w:szCs w:val="24"/>
                <w:highlight w:val="none"/>
                <w:lang w:val="en-US" w:eastAsia="zh-CN"/>
              </w:rPr>
              <w:t>南</w:t>
            </w:r>
            <w:r>
              <w:rPr>
                <w:rFonts w:hint="eastAsia" w:ascii="Times New Roman" w:hAnsi="Times New Roman" w:cs="Times New Roman"/>
                <w:color w:val="auto"/>
                <w:sz w:val="24"/>
                <w:szCs w:val="24"/>
                <w:highlight w:val="none"/>
              </w:rPr>
              <w:t>侧市政道路，接入2根DN200mm给水管，进入用地红线成环设置，并供</w:t>
            </w:r>
            <w:r>
              <w:rPr>
                <w:rFonts w:hint="eastAsia" w:ascii="Times New Roman" w:hAnsi="Times New Roman" w:cs="Times New Roman"/>
                <w:color w:val="auto"/>
                <w:sz w:val="24"/>
                <w:szCs w:val="24"/>
                <w:highlight w:val="none"/>
                <w:lang w:val="en-US" w:eastAsia="zh-CN"/>
              </w:rPr>
              <w:t>校</w:t>
            </w:r>
            <w:r>
              <w:rPr>
                <w:rFonts w:hint="eastAsia" w:ascii="Times New Roman" w:hAnsi="Times New Roman" w:cs="Times New Roman"/>
                <w:color w:val="auto"/>
                <w:sz w:val="24"/>
                <w:szCs w:val="24"/>
                <w:highlight w:val="none"/>
              </w:rPr>
              <w:t>内生活、医疗和消防用水。</w:t>
            </w:r>
          </w:p>
          <w:p w14:paraId="748BC171">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2）供水系统</w:t>
            </w:r>
          </w:p>
          <w:p w14:paraId="0632E8A6">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本项目供水系统依托原有项目供水系统，原有项目供水采用</w:t>
            </w:r>
            <w:r>
              <w:rPr>
                <w:rFonts w:hint="eastAsia" w:ascii="Times New Roman" w:hAnsi="Times New Roman" w:cs="Times New Roman"/>
                <w:color w:val="auto"/>
                <w:sz w:val="24"/>
                <w:szCs w:val="24"/>
                <w:highlight w:val="none"/>
              </w:rPr>
              <w:t>室内生活和消防各自独立的给水系统，室内生活用水由医院内环形主管直接供给。</w:t>
            </w:r>
          </w:p>
          <w:p w14:paraId="4FE5EA07">
            <w:pPr>
              <w:spacing w:line="360" w:lineRule="auto"/>
              <w:ind w:firstLine="480" w:firstLineChars="200"/>
              <w:rPr>
                <w:rFonts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3）排水系统</w:t>
            </w:r>
          </w:p>
          <w:p w14:paraId="0B735032">
            <w:pPr>
              <w:spacing w:line="360" w:lineRule="auto"/>
              <w:ind w:firstLine="480" w:firstLineChars="200"/>
              <w:rPr>
                <w:rFonts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lang w:val="en-US" w:eastAsia="zh-CN"/>
              </w:rPr>
              <w:t>本项目排水依托原有项目排水，原有项目排水采用</w:t>
            </w:r>
            <w:r>
              <w:rPr>
                <w:rFonts w:hint="eastAsia" w:ascii="Times New Roman" w:hAnsi="Times New Roman" w:cs="Times New Roman"/>
                <w:color w:val="auto"/>
                <w:kern w:val="0"/>
                <w:sz w:val="24"/>
                <w:szCs w:val="24"/>
                <w:highlight w:val="none"/>
              </w:rPr>
              <w:t>雨、污分流制，</w:t>
            </w:r>
            <w:r>
              <w:rPr>
                <w:rFonts w:hint="eastAsia" w:ascii="Times New Roman" w:hAnsi="Times New Roman" w:cs="Times New Roman"/>
                <w:color w:val="auto"/>
                <w:kern w:val="0"/>
                <w:sz w:val="24"/>
                <w:szCs w:val="24"/>
                <w:highlight w:val="none"/>
                <w:lang w:val="en-US" w:eastAsia="zh-CN"/>
              </w:rPr>
              <w:t>学校在南侧校门口</w:t>
            </w:r>
            <w:r>
              <w:rPr>
                <w:rFonts w:hint="eastAsia" w:ascii="Times New Roman" w:hAnsi="Times New Roman" w:cs="Times New Roman"/>
                <w:color w:val="auto"/>
                <w:kern w:val="0"/>
                <w:sz w:val="24"/>
                <w:szCs w:val="24"/>
                <w:highlight w:val="none"/>
              </w:rPr>
              <w:t>设置</w:t>
            </w:r>
            <w:r>
              <w:rPr>
                <w:rFonts w:hint="eastAsia" w:ascii="Times New Roman" w:hAnsi="Times New Roman" w:cs="Times New Roman"/>
                <w:color w:val="auto"/>
                <w:kern w:val="0"/>
                <w:sz w:val="24"/>
                <w:szCs w:val="24"/>
                <w:highlight w:val="none"/>
                <w:lang w:val="en-US" w:eastAsia="zh-CN"/>
              </w:rPr>
              <w:t>1个200m</w:t>
            </w:r>
            <w:r>
              <w:rPr>
                <w:rFonts w:hint="eastAsia" w:ascii="Times New Roman" w:hAnsi="Times New Roman" w:cs="Times New Roman"/>
                <w:color w:val="auto"/>
                <w:kern w:val="0"/>
                <w:sz w:val="24"/>
                <w:szCs w:val="24"/>
                <w:highlight w:val="none"/>
                <w:vertAlign w:val="superscript"/>
                <w:lang w:val="en-US" w:eastAsia="zh-CN"/>
              </w:rPr>
              <w:t>3</w:t>
            </w:r>
            <w:r>
              <w:rPr>
                <w:rFonts w:hint="eastAsia" w:ascii="Times New Roman" w:hAnsi="Times New Roman" w:cs="Times New Roman"/>
                <w:color w:val="auto"/>
                <w:kern w:val="0"/>
                <w:sz w:val="24"/>
                <w:szCs w:val="24"/>
                <w:highlight w:val="none"/>
                <w:lang w:val="en-US" w:eastAsia="zh-CN"/>
              </w:rPr>
              <w:t>预处理池</w:t>
            </w:r>
            <w:r>
              <w:rPr>
                <w:rFonts w:hint="eastAsia" w:ascii="Times New Roman" w:hAnsi="Times New Roman" w:cs="Times New Roman"/>
                <w:color w:val="auto"/>
                <w:kern w:val="0"/>
                <w:sz w:val="24"/>
                <w:szCs w:val="24"/>
                <w:highlight w:val="none"/>
              </w:rPr>
              <w:t>。废水处理设施修建位置结合了</w:t>
            </w:r>
            <w:r>
              <w:rPr>
                <w:rFonts w:hint="eastAsia" w:ascii="Times New Roman" w:hAnsi="Times New Roman" w:cs="Times New Roman"/>
                <w:color w:val="auto"/>
                <w:sz w:val="24"/>
                <w:szCs w:val="24"/>
                <w:highlight w:val="none"/>
                <w:lang w:val="en-US" w:eastAsia="zh-CN"/>
              </w:rPr>
              <w:t>学校</w:t>
            </w:r>
            <w:r>
              <w:rPr>
                <w:rFonts w:hint="eastAsia" w:ascii="Times New Roman" w:hAnsi="Times New Roman" w:cs="Times New Roman"/>
                <w:color w:val="auto"/>
                <w:kern w:val="0"/>
                <w:sz w:val="24"/>
                <w:szCs w:val="24"/>
                <w:highlight w:val="none"/>
              </w:rPr>
              <w:t>总体规划、污水排口位置、环境卫生要求等因素，整体布局上有利于管网的铺设和污泥的清掏。雨水接市政雨水管网。</w:t>
            </w:r>
          </w:p>
          <w:p w14:paraId="2B6F87B3">
            <w:pPr>
              <w:spacing w:line="360" w:lineRule="auto"/>
              <w:ind w:firstLine="480" w:firstLineChars="200"/>
              <w:rPr>
                <w:rFonts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lang w:val="en-US" w:eastAsia="zh-CN"/>
              </w:rPr>
              <w:t>4</w:t>
            </w:r>
            <w:r>
              <w:rPr>
                <w:rFonts w:ascii="Times New Roman" w:hAnsi="Times New Roman" w:cs="Times New Roman"/>
                <w:color w:val="auto"/>
                <w:kern w:val="0"/>
                <w:sz w:val="24"/>
                <w:szCs w:val="24"/>
                <w:highlight w:val="none"/>
              </w:rPr>
              <w:t>）给排水情况</w:t>
            </w:r>
          </w:p>
          <w:p w14:paraId="6EA46ABD">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本项目用水主要为实验溶液配置用水、实验辅助用水和器皿清洗废水，供水统一由市政供水管网供给。</w:t>
            </w:r>
          </w:p>
          <w:p w14:paraId="0523CFA8">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实验过程中，部分实验内容需使用水作为主要实验材料，如进行药剂配置等。</w:t>
            </w:r>
          </w:p>
          <w:p w14:paraId="57EF4D4B">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具体如下：</w:t>
            </w:r>
          </w:p>
          <w:p w14:paraId="20C5BE34">
            <w:pPr>
              <w:pStyle w:val="114"/>
              <w:bidi w:val="0"/>
              <w:rPr>
                <w:rFonts w:hint="default"/>
                <w:color w:val="auto"/>
                <w:lang w:val="en-US" w:eastAsia="zh-CN"/>
              </w:rPr>
            </w:pPr>
            <w:r>
              <w:rPr>
                <w:rFonts w:hint="eastAsia"/>
                <w:color w:val="auto"/>
                <w:lang w:val="en-US" w:eastAsia="zh-CN"/>
              </w:rPr>
              <w:t>实验溶液配置用水核算表</w:t>
            </w:r>
          </w:p>
          <w:tbl>
            <w:tblPr>
              <w:tblStyle w:val="4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5"/>
              <w:gridCol w:w="1375"/>
              <w:gridCol w:w="1546"/>
              <w:gridCol w:w="1546"/>
              <w:gridCol w:w="1550"/>
              <w:gridCol w:w="1547"/>
            </w:tblGrid>
            <w:tr w14:paraId="1A8DD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4C04A4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实验名称</w:t>
                  </w:r>
                </w:p>
              </w:tc>
              <w:tc>
                <w:tcPr>
                  <w:tcW w:w="741" w:type="pct"/>
                  <w:tcBorders>
                    <w:tl2br w:val="nil"/>
                    <w:tr2bl w:val="nil"/>
                  </w:tcBorders>
                  <w:vAlign w:val="center"/>
                </w:tcPr>
                <w:p w14:paraId="6CA247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用水点</w:t>
                  </w:r>
                </w:p>
              </w:tc>
              <w:tc>
                <w:tcPr>
                  <w:tcW w:w="833" w:type="pct"/>
                  <w:tcBorders>
                    <w:tl2br w:val="nil"/>
                    <w:tr2bl w:val="nil"/>
                  </w:tcBorders>
                  <w:vAlign w:val="center"/>
                </w:tcPr>
                <w:p w14:paraId="6B6FE9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年级班级数量</w:t>
                  </w:r>
                </w:p>
              </w:tc>
              <w:tc>
                <w:tcPr>
                  <w:tcW w:w="833" w:type="pct"/>
                  <w:tcBorders>
                    <w:tl2br w:val="nil"/>
                    <w:tr2bl w:val="nil"/>
                  </w:tcBorders>
                  <w:vAlign w:val="center"/>
                </w:tcPr>
                <w:p w14:paraId="6F9FF2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一学年实验开展课时数量</w:t>
                  </w:r>
                </w:p>
              </w:tc>
              <w:tc>
                <w:tcPr>
                  <w:tcW w:w="833" w:type="pct"/>
                  <w:tcBorders>
                    <w:tl2br w:val="nil"/>
                    <w:tr2bl w:val="nil"/>
                  </w:tcBorders>
                  <w:vAlign w:val="center"/>
                </w:tcPr>
                <w:p w14:paraId="14946B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单课时用水量（L/课时）</w:t>
                  </w:r>
                </w:p>
              </w:tc>
              <w:tc>
                <w:tcPr>
                  <w:tcW w:w="833" w:type="pct"/>
                  <w:tcBorders>
                    <w:tl2br w:val="nil"/>
                    <w:tr2bl w:val="nil"/>
                  </w:tcBorders>
                  <w:vAlign w:val="center"/>
                </w:tcPr>
                <w:p w14:paraId="442DFB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年用水量</w:t>
                  </w:r>
                </w:p>
                <w:p w14:paraId="7D34E8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（L/a）</w:t>
                  </w:r>
                </w:p>
              </w:tc>
            </w:tr>
            <w:tr w14:paraId="3C7E5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7197C9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化学实验九、粗盐中难溶性杂质的去除实验</w:t>
                  </w:r>
                </w:p>
              </w:tc>
              <w:tc>
                <w:tcPr>
                  <w:tcW w:w="741" w:type="pct"/>
                  <w:tcBorders>
                    <w:tl2br w:val="nil"/>
                    <w:tr2bl w:val="nil"/>
                  </w:tcBorders>
                  <w:vAlign w:val="center"/>
                </w:tcPr>
                <w:p w14:paraId="2D5089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溶解粗盐</w:t>
                  </w:r>
                </w:p>
              </w:tc>
              <w:tc>
                <w:tcPr>
                  <w:tcW w:w="833" w:type="pct"/>
                  <w:tcBorders>
                    <w:tl2br w:val="nil"/>
                    <w:tr2bl w:val="nil"/>
                  </w:tcBorders>
                  <w:vAlign w:val="center"/>
                </w:tcPr>
                <w:p w14:paraId="77D33A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5A287C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218E19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w:t>
                  </w:r>
                </w:p>
              </w:tc>
              <w:tc>
                <w:tcPr>
                  <w:tcW w:w="833" w:type="pct"/>
                  <w:tcBorders>
                    <w:tl2br w:val="nil"/>
                    <w:tr2bl w:val="nil"/>
                  </w:tcBorders>
                  <w:vAlign w:val="center"/>
                </w:tcPr>
                <w:p w14:paraId="624D9D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24.5</w:t>
                  </w:r>
                </w:p>
              </w:tc>
            </w:tr>
            <w:tr w14:paraId="442FD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7977CD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化学实验十一、二氧化碳的实验室制取与性质实验</w:t>
                  </w:r>
                </w:p>
              </w:tc>
              <w:tc>
                <w:tcPr>
                  <w:tcW w:w="741" w:type="pct"/>
                  <w:tcBorders>
                    <w:tl2br w:val="nil"/>
                    <w:tr2bl w:val="nil"/>
                  </w:tcBorders>
                  <w:vAlign w:val="center"/>
                </w:tcPr>
                <w:p w14:paraId="1563A4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稀释盐酸</w:t>
                  </w:r>
                </w:p>
              </w:tc>
              <w:tc>
                <w:tcPr>
                  <w:tcW w:w="833" w:type="pct"/>
                  <w:tcBorders>
                    <w:tl2br w:val="nil"/>
                    <w:tr2bl w:val="nil"/>
                  </w:tcBorders>
                  <w:vAlign w:val="center"/>
                </w:tcPr>
                <w:p w14:paraId="3D993C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6FFF93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3587ED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rPr>
                  </w:pPr>
                  <w:r>
                    <w:rPr>
                      <w:rFonts w:hint="eastAsia" w:ascii="Times New Roman" w:hAnsi="Times New Roman" w:cs="Times New Roman"/>
                      <w:color w:val="auto"/>
                      <w:sz w:val="21"/>
                      <w:szCs w:val="21"/>
                      <w:highlight w:val="none"/>
                      <w:vertAlign w:val="baseline"/>
                      <w:lang w:val="en-US" w:eastAsia="zh-CN"/>
                    </w:rPr>
                    <w:t>1.5</w:t>
                  </w:r>
                </w:p>
              </w:tc>
              <w:tc>
                <w:tcPr>
                  <w:tcW w:w="833" w:type="pct"/>
                  <w:tcBorders>
                    <w:tl2br w:val="nil"/>
                    <w:tr2bl w:val="nil"/>
                  </w:tcBorders>
                  <w:vAlign w:val="center"/>
                </w:tcPr>
                <w:p w14:paraId="1170ED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10.5</w:t>
                  </w:r>
                </w:p>
              </w:tc>
            </w:tr>
            <w:tr w14:paraId="220FB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6BD76F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化学实验十二、金属的物理性质和某些化学性质的探究实验</w:t>
                  </w:r>
                </w:p>
              </w:tc>
              <w:tc>
                <w:tcPr>
                  <w:tcW w:w="741" w:type="pct"/>
                  <w:tcBorders>
                    <w:tl2br w:val="nil"/>
                    <w:tr2bl w:val="nil"/>
                  </w:tcBorders>
                  <w:vAlign w:val="center"/>
                </w:tcPr>
                <w:p w14:paraId="451F69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稀释盐酸或硫酸</w:t>
                  </w:r>
                </w:p>
              </w:tc>
              <w:tc>
                <w:tcPr>
                  <w:tcW w:w="833" w:type="pct"/>
                  <w:tcBorders>
                    <w:tl2br w:val="nil"/>
                    <w:tr2bl w:val="nil"/>
                  </w:tcBorders>
                  <w:vAlign w:val="center"/>
                </w:tcPr>
                <w:p w14:paraId="7B6834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7585F6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3D5F88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1.5</w:t>
                  </w:r>
                </w:p>
              </w:tc>
              <w:tc>
                <w:tcPr>
                  <w:tcW w:w="833" w:type="pct"/>
                  <w:tcBorders>
                    <w:tl2br w:val="nil"/>
                    <w:tr2bl w:val="nil"/>
                  </w:tcBorders>
                  <w:vAlign w:val="center"/>
                </w:tcPr>
                <w:p w14:paraId="3BC057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10.5</w:t>
                  </w:r>
                </w:p>
              </w:tc>
            </w:tr>
            <w:tr w14:paraId="5E29B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3B9FF1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化学实验十四、溶液酸碱性的检验实验</w:t>
                  </w:r>
                </w:p>
              </w:tc>
              <w:tc>
                <w:tcPr>
                  <w:tcW w:w="741" w:type="pct"/>
                  <w:tcBorders>
                    <w:tl2br w:val="nil"/>
                    <w:tr2bl w:val="nil"/>
                  </w:tcBorders>
                  <w:vAlign w:val="center"/>
                </w:tcPr>
                <w:p w14:paraId="3DE25F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稀释盐酸、硫酸；配置氢氧化钠溶液</w:t>
                  </w:r>
                </w:p>
              </w:tc>
              <w:tc>
                <w:tcPr>
                  <w:tcW w:w="833" w:type="pct"/>
                  <w:tcBorders>
                    <w:tl2br w:val="nil"/>
                    <w:tr2bl w:val="nil"/>
                  </w:tcBorders>
                  <w:vAlign w:val="center"/>
                </w:tcPr>
                <w:p w14:paraId="25E3F8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1C8A5B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4B5593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3</w:t>
                  </w:r>
                </w:p>
              </w:tc>
              <w:tc>
                <w:tcPr>
                  <w:tcW w:w="833" w:type="pct"/>
                  <w:tcBorders>
                    <w:tl2br w:val="nil"/>
                    <w:tr2bl w:val="nil"/>
                  </w:tcBorders>
                  <w:vAlign w:val="center"/>
                </w:tcPr>
                <w:p w14:paraId="1E53B2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rPr>
                  </w:pPr>
                  <w:r>
                    <w:rPr>
                      <w:rFonts w:hint="eastAsia" w:ascii="Times New Roman" w:hAnsi="Times New Roman" w:cs="Times New Roman"/>
                      <w:color w:val="auto"/>
                      <w:sz w:val="21"/>
                      <w:szCs w:val="21"/>
                      <w:highlight w:val="none"/>
                      <w:vertAlign w:val="baseline"/>
                      <w:lang w:val="en-US" w:eastAsia="zh-CN"/>
                    </w:rPr>
                    <w:t>21</w:t>
                  </w:r>
                </w:p>
              </w:tc>
            </w:tr>
            <w:tr w14:paraId="7FA77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6F606D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化学实验十五、探究酸和碱的化学性质</w:t>
                  </w:r>
                </w:p>
              </w:tc>
              <w:tc>
                <w:tcPr>
                  <w:tcW w:w="741" w:type="pct"/>
                  <w:tcBorders>
                    <w:tl2br w:val="nil"/>
                    <w:tr2bl w:val="nil"/>
                  </w:tcBorders>
                  <w:vAlign w:val="center"/>
                </w:tcPr>
                <w:p w14:paraId="44A7BD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稀释盐酸、硫酸；配置酚酞溶液</w:t>
                  </w:r>
                </w:p>
              </w:tc>
              <w:tc>
                <w:tcPr>
                  <w:tcW w:w="833" w:type="pct"/>
                  <w:tcBorders>
                    <w:tl2br w:val="nil"/>
                    <w:tr2bl w:val="nil"/>
                  </w:tcBorders>
                  <w:vAlign w:val="center"/>
                </w:tcPr>
                <w:p w14:paraId="50DB27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6F8377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681F0E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833" w:type="pct"/>
                  <w:tcBorders>
                    <w:tl2br w:val="nil"/>
                    <w:tr2bl w:val="nil"/>
                  </w:tcBorders>
                  <w:vAlign w:val="center"/>
                </w:tcPr>
                <w:p w14:paraId="1EAFAE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w:t>
                  </w:r>
                </w:p>
              </w:tc>
            </w:tr>
            <w:tr w14:paraId="0C4A1A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6CB20A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化学实验二十一、明矾净水</w:t>
                  </w:r>
                </w:p>
              </w:tc>
              <w:tc>
                <w:tcPr>
                  <w:tcW w:w="741" w:type="pct"/>
                  <w:tcBorders>
                    <w:tl2br w:val="nil"/>
                    <w:tr2bl w:val="nil"/>
                  </w:tcBorders>
                  <w:vAlign w:val="center"/>
                </w:tcPr>
                <w:p w14:paraId="5B2389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溶解明矾</w:t>
                  </w:r>
                </w:p>
              </w:tc>
              <w:tc>
                <w:tcPr>
                  <w:tcW w:w="833" w:type="pct"/>
                  <w:tcBorders>
                    <w:tl2br w:val="nil"/>
                    <w:tr2bl w:val="nil"/>
                  </w:tcBorders>
                  <w:vAlign w:val="center"/>
                </w:tcPr>
                <w:p w14:paraId="56CF32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64E9E1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761B17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0.15</w:t>
                  </w:r>
                </w:p>
              </w:tc>
              <w:tc>
                <w:tcPr>
                  <w:tcW w:w="833" w:type="pct"/>
                  <w:tcBorders>
                    <w:tl2br w:val="nil"/>
                    <w:tr2bl w:val="nil"/>
                  </w:tcBorders>
                  <w:vAlign w:val="center"/>
                </w:tcPr>
                <w:p w14:paraId="414488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1.05</w:t>
                  </w:r>
                </w:p>
              </w:tc>
            </w:tr>
            <w:tr w14:paraId="374DA2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29E8A0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化学实验二十三、蔗糖、食盐等的溶解</w:t>
                  </w:r>
                </w:p>
              </w:tc>
              <w:tc>
                <w:tcPr>
                  <w:tcW w:w="741" w:type="pct"/>
                  <w:tcBorders>
                    <w:tl2br w:val="nil"/>
                    <w:tr2bl w:val="nil"/>
                  </w:tcBorders>
                  <w:vAlign w:val="center"/>
                </w:tcPr>
                <w:p w14:paraId="7B0ED1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溶解蔗糖和食盐</w:t>
                  </w:r>
                </w:p>
              </w:tc>
              <w:tc>
                <w:tcPr>
                  <w:tcW w:w="833" w:type="pct"/>
                  <w:tcBorders>
                    <w:tl2br w:val="nil"/>
                    <w:tr2bl w:val="nil"/>
                  </w:tcBorders>
                  <w:vAlign w:val="center"/>
                </w:tcPr>
                <w:p w14:paraId="4B222A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63E528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30ABEB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w:t>
                  </w:r>
                </w:p>
              </w:tc>
              <w:tc>
                <w:tcPr>
                  <w:tcW w:w="833" w:type="pct"/>
                  <w:tcBorders>
                    <w:tl2br w:val="nil"/>
                    <w:tr2bl w:val="nil"/>
                  </w:tcBorders>
                  <w:vAlign w:val="center"/>
                </w:tcPr>
                <w:p w14:paraId="4CE56D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w:t>
                  </w:r>
                </w:p>
              </w:tc>
            </w:tr>
            <w:tr w14:paraId="0B07E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1BC47D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化学实验二十六、溶解时的吸热和放热现场</w:t>
                  </w:r>
                </w:p>
              </w:tc>
              <w:tc>
                <w:tcPr>
                  <w:tcW w:w="741" w:type="pct"/>
                  <w:tcBorders>
                    <w:tl2br w:val="nil"/>
                    <w:tr2bl w:val="nil"/>
                  </w:tcBorders>
                  <w:vAlign w:val="center"/>
                </w:tcPr>
                <w:p w14:paraId="357B96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溶解氯化钠、硝酸铵、氢氧化钠</w:t>
                  </w:r>
                </w:p>
              </w:tc>
              <w:tc>
                <w:tcPr>
                  <w:tcW w:w="833" w:type="pct"/>
                  <w:tcBorders>
                    <w:tl2br w:val="nil"/>
                    <w:tr2bl w:val="nil"/>
                  </w:tcBorders>
                  <w:vAlign w:val="center"/>
                </w:tcPr>
                <w:p w14:paraId="5E4543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04A4E5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32A4FE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w:t>
                  </w:r>
                </w:p>
              </w:tc>
              <w:tc>
                <w:tcPr>
                  <w:tcW w:w="833" w:type="pct"/>
                  <w:tcBorders>
                    <w:tl2br w:val="nil"/>
                    <w:tr2bl w:val="nil"/>
                  </w:tcBorders>
                  <w:vAlign w:val="center"/>
                </w:tcPr>
                <w:p w14:paraId="05F4F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w:t>
                  </w:r>
                </w:p>
              </w:tc>
            </w:tr>
            <w:tr w14:paraId="738B2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23A898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化学实验二十七、探究影响物质溶解性的因素</w:t>
                  </w:r>
                </w:p>
              </w:tc>
              <w:tc>
                <w:tcPr>
                  <w:tcW w:w="741" w:type="pct"/>
                  <w:tcBorders>
                    <w:tl2br w:val="nil"/>
                    <w:tr2bl w:val="nil"/>
                  </w:tcBorders>
                  <w:vAlign w:val="center"/>
                </w:tcPr>
                <w:p w14:paraId="7736F3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溶解氯化钠、硝酸钾、氢氧化钙</w:t>
                  </w:r>
                </w:p>
              </w:tc>
              <w:tc>
                <w:tcPr>
                  <w:tcW w:w="833" w:type="pct"/>
                  <w:tcBorders>
                    <w:tl2br w:val="nil"/>
                    <w:tr2bl w:val="nil"/>
                  </w:tcBorders>
                  <w:vAlign w:val="center"/>
                </w:tcPr>
                <w:p w14:paraId="20DB0B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261D16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25E9D8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2</w:t>
                  </w:r>
                </w:p>
              </w:tc>
              <w:tc>
                <w:tcPr>
                  <w:tcW w:w="833" w:type="pct"/>
                  <w:tcBorders>
                    <w:tl2br w:val="nil"/>
                    <w:tr2bl w:val="nil"/>
                  </w:tcBorders>
                  <w:vAlign w:val="center"/>
                </w:tcPr>
                <w:p w14:paraId="58B5BD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w:t>
                  </w:r>
                </w:p>
              </w:tc>
            </w:tr>
            <w:tr w14:paraId="1AF6A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33D70C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化学实验二十八、硝酸钾在水中的溶解</w:t>
                  </w:r>
                </w:p>
              </w:tc>
              <w:tc>
                <w:tcPr>
                  <w:tcW w:w="741" w:type="pct"/>
                  <w:tcBorders>
                    <w:tl2br w:val="nil"/>
                    <w:tr2bl w:val="nil"/>
                  </w:tcBorders>
                  <w:vAlign w:val="center"/>
                </w:tcPr>
                <w:p w14:paraId="049AD2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溶解硝酸钾</w:t>
                  </w:r>
                </w:p>
              </w:tc>
              <w:tc>
                <w:tcPr>
                  <w:tcW w:w="833" w:type="pct"/>
                  <w:tcBorders>
                    <w:tl2br w:val="nil"/>
                    <w:tr2bl w:val="nil"/>
                  </w:tcBorders>
                  <w:vAlign w:val="center"/>
                </w:tcPr>
                <w:p w14:paraId="0E4E0D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0E414C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315B9E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w:t>
                  </w:r>
                </w:p>
              </w:tc>
              <w:tc>
                <w:tcPr>
                  <w:tcW w:w="833" w:type="pct"/>
                  <w:tcBorders>
                    <w:tl2br w:val="nil"/>
                    <w:tr2bl w:val="nil"/>
                  </w:tcBorders>
                  <w:vAlign w:val="center"/>
                </w:tcPr>
                <w:p w14:paraId="418219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0.6</w:t>
                  </w:r>
                </w:p>
              </w:tc>
            </w:tr>
            <w:tr w14:paraId="1053F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7C7B5D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化学实验二十九、探究饱和溶液和不饱和溶液的相互转化</w:t>
                  </w:r>
                </w:p>
              </w:tc>
              <w:tc>
                <w:tcPr>
                  <w:tcW w:w="741" w:type="pct"/>
                  <w:tcBorders>
                    <w:tl2br w:val="nil"/>
                    <w:tr2bl w:val="nil"/>
                  </w:tcBorders>
                  <w:vAlign w:val="center"/>
                </w:tcPr>
                <w:p w14:paraId="611B3D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溶解硝酸钾</w:t>
                  </w:r>
                </w:p>
              </w:tc>
              <w:tc>
                <w:tcPr>
                  <w:tcW w:w="833" w:type="pct"/>
                  <w:tcBorders>
                    <w:tl2br w:val="nil"/>
                    <w:tr2bl w:val="nil"/>
                  </w:tcBorders>
                  <w:vAlign w:val="center"/>
                </w:tcPr>
                <w:p w14:paraId="347E70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6B3952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5D484E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833" w:type="pct"/>
                  <w:tcBorders>
                    <w:tl2br w:val="nil"/>
                    <w:tr2bl w:val="nil"/>
                  </w:tcBorders>
                  <w:vAlign w:val="center"/>
                </w:tcPr>
                <w:p w14:paraId="150C6F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w:t>
                  </w:r>
                </w:p>
              </w:tc>
            </w:tr>
            <w:tr w14:paraId="161EA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1F4B0B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化学实验三十、配制一定溶质质量分数的氯化钠</w:t>
                  </w:r>
                </w:p>
              </w:tc>
              <w:tc>
                <w:tcPr>
                  <w:tcW w:w="741" w:type="pct"/>
                  <w:tcBorders>
                    <w:tl2br w:val="nil"/>
                    <w:tr2bl w:val="nil"/>
                  </w:tcBorders>
                  <w:vAlign w:val="center"/>
                </w:tcPr>
                <w:p w14:paraId="47E20B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溶解氯化钠</w:t>
                  </w:r>
                </w:p>
              </w:tc>
              <w:tc>
                <w:tcPr>
                  <w:tcW w:w="833" w:type="pct"/>
                  <w:tcBorders>
                    <w:tl2br w:val="nil"/>
                    <w:tr2bl w:val="nil"/>
                  </w:tcBorders>
                  <w:vAlign w:val="center"/>
                </w:tcPr>
                <w:p w14:paraId="220975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7BDF23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3C5C10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833" w:type="pct"/>
                  <w:tcBorders>
                    <w:tl2br w:val="nil"/>
                    <w:tr2bl w:val="nil"/>
                  </w:tcBorders>
                  <w:vAlign w:val="center"/>
                </w:tcPr>
                <w:p w14:paraId="476237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w:t>
                  </w:r>
                </w:p>
              </w:tc>
            </w:tr>
            <w:tr w14:paraId="0D366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7378A9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化学实验三十一、蒸发结晶</w:t>
                  </w:r>
                </w:p>
              </w:tc>
              <w:tc>
                <w:tcPr>
                  <w:tcW w:w="741" w:type="pct"/>
                  <w:tcBorders>
                    <w:tl2br w:val="nil"/>
                    <w:tr2bl w:val="nil"/>
                  </w:tcBorders>
                  <w:vAlign w:val="center"/>
                </w:tcPr>
                <w:p w14:paraId="37DCB6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溶解氯化钠</w:t>
                  </w:r>
                </w:p>
              </w:tc>
              <w:tc>
                <w:tcPr>
                  <w:tcW w:w="833" w:type="pct"/>
                  <w:tcBorders>
                    <w:tl2br w:val="nil"/>
                    <w:tr2bl w:val="nil"/>
                  </w:tcBorders>
                  <w:vAlign w:val="center"/>
                </w:tcPr>
                <w:p w14:paraId="751676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52FD9C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7524C1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3</w:t>
                  </w:r>
                </w:p>
              </w:tc>
              <w:tc>
                <w:tcPr>
                  <w:tcW w:w="833" w:type="pct"/>
                  <w:tcBorders>
                    <w:tl2br w:val="nil"/>
                    <w:tr2bl w:val="nil"/>
                  </w:tcBorders>
                  <w:vAlign w:val="center"/>
                </w:tcPr>
                <w:p w14:paraId="211705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21</w:t>
                  </w:r>
                </w:p>
              </w:tc>
            </w:tr>
            <w:tr w14:paraId="3DE20E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1F2162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化学实验三十二、金属活动顺序探究</w:t>
                  </w:r>
                </w:p>
              </w:tc>
              <w:tc>
                <w:tcPr>
                  <w:tcW w:w="741" w:type="pct"/>
                  <w:tcBorders>
                    <w:tl2br w:val="nil"/>
                    <w:tr2bl w:val="nil"/>
                  </w:tcBorders>
                  <w:vAlign w:val="center"/>
                </w:tcPr>
                <w:p w14:paraId="24C43F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稀释盐酸</w:t>
                  </w:r>
                </w:p>
              </w:tc>
              <w:tc>
                <w:tcPr>
                  <w:tcW w:w="833" w:type="pct"/>
                  <w:tcBorders>
                    <w:tl2br w:val="nil"/>
                    <w:tr2bl w:val="nil"/>
                  </w:tcBorders>
                  <w:vAlign w:val="center"/>
                </w:tcPr>
                <w:p w14:paraId="01ED47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7D9DB0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19C62C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0.15</w:t>
                  </w:r>
                </w:p>
              </w:tc>
              <w:tc>
                <w:tcPr>
                  <w:tcW w:w="833" w:type="pct"/>
                  <w:tcBorders>
                    <w:tl2br w:val="nil"/>
                    <w:tr2bl w:val="nil"/>
                  </w:tcBorders>
                  <w:vAlign w:val="center"/>
                </w:tcPr>
                <w:p w14:paraId="229332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1.05</w:t>
                  </w:r>
                </w:p>
              </w:tc>
            </w:tr>
            <w:tr w14:paraId="12745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40408C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化学实验三十三、探究金属的性质（金属与酸、盐溶液等的反应）</w:t>
                  </w:r>
                </w:p>
              </w:tc>
              <w:tc>
                <w:tcPr>
                  <w:tcW w:w="741" w:type="pct"/>
                  <w:tcBorders>
                    <w:tl2br w:val="nil"/>
                    <w:tr2bl w:val="nil"/>
                  </w:tcBorders>
                  <w:vAlign w:val="center"/>
                </w:tcPr>
                <w:p w14:paraId="219591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稀释盐酸、硫酸；溶解硝酸银</w:t>
                  </w:r>
                </w:p>
              </w:tc>
              <w:tc>
                <w:tcPr>
                  <w:tcW w:w="833" w:type="pct"/>
                  <w:tcBorders>
                    <w:tl2br w:val="nil"/>
                    <w:tr2bl w:val="nil"/>
                  </w:tcBorders>
                  <w:vAlign w:val="center"/>
                </w:tcPr>
                <w:p w14:paraId="1E4B82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561EDD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23C441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w:t>
                  </w:r>
                </w:p>
              </w:tc>
              <w:tc>
                <w:tcPr>
                  <w:tcW w:w="833" w:type="pct"/>
                  <w:tcBorders>
                    <w:tl2br w:val="nil"/>
                    <w:tr2bl w:val="nil"/>
                  </w:tcBorders>
                  <w:vAlign w:val="center"/>
                </w:tcPr>
                <w:p w14:paraId="74F103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w:t>
                  </w:r>
                </w:p>
              </w:tc>
            </w:tr>
            <w:tr w14:paraId="2049D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5BCB3C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化学实验三十四、向不同溶液中加入酸碱指示剂</w:t>
                  </w:r>
                </w:p>
              </w:tc>
              <w:tc>
                <w:tcPr>
                  <w:tcW w:w="741" w:type="pct"/>
                  <w:tcBorders>
                    <w:tl2br w:val="nil"/>
                    <w:tr2bl w:val="nil"/>
                  </w:tcBorders>
                  <w:vAlign w:val="center"/>
                </w:tcPr>
                <w:p w14:paraId="288C9B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溶解酚酞和氢氧化钠</w:t>
                  </w:r>
                </w:p>
              </w:tc>
              <w:tc>
                <w:tcPr>
                  <w:tcW w:w="833" w:type="pct"/>
                  <w:tcBorders>
                    <w:tl2br w:val="nil"/>
                    <w:tr2bl w:val="nil"/>
                  </w:tcBorders>
                  <w:vAlign w:val="center"/>
                </w:tcPr>
                <w:p w14:paraId="487CD4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7072AD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0B395F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833" w:type="pct"/>
                  <w:tcBorders>
                    <w:tl2br w:val="nil"/>
                    <w:tr2bl w:val="nil"/>
                  </w:tcBorders>
                  <w:vAlign w:val="center"/>
                </w:tcPr>
                <w:p w14:paraId="5410C3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w:t>
                  </w:r>
                </w:p>
              </w:tc>
            </w:tr>
            <w:tr w14:paraId="483A7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0EC1B7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化学实验三十七、认识氢氧化钠、氢氧化钙及其性质探究</w:t>
                  </w:r>
                </w:p>
              </w:tc>
              <w:tc>
                <w:tcPr>
                  <w:tcW w:w="741" w:type="pct"/>
                  <w:tcBorders>
                    <w:tl2br w:val="nil"/>
                    <w:tr2bl w:val="nil"/>
                  </w:tcBorders>
                  <w:vAlign w:val="center"/>
                </w:tcPr>
                <w:p w14:paraId="186144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溶解氢氧化钠、氢氧化钙、酚酞；稀释盐酸</w:t>
                  </w:r>
                </w:p>
              </w:tc>
              <w:tc>
                <w:tcPr>
                  <w:tcW w:w="833" w:type="pct"/>
                  <w:tcBorders>
                    <w:tl2br w:val="nil"/>
                    <w:tr2bl w:val="nil"/>
                  </w:tcBorders>
                  <w:vAlign w:val="center"/>
                </w:tcPr>
                <w:p w14:paraId="11AF5F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2121EB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2BB692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3</w:t>
                  </w:r>
                </w:p>
              </w:tc>
              <w:tc>
                <w:tcPr>
                  <w:tcW w:w="833" w:type="pct"/>
                  <w:tcBorders>
                    <w:tl2br w:val="nil"/>
                    <w:tr2bl w:val="nil"/>
                  </w:tcBorders>
                  <w:vAlign w:val="center"/>
                </w:tcPr>
                <w:p w14:paraId="7B0CC3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21</w:t>
                  </w:r>
                </w:p>
              </w:tc>
            </w:tr>
            <w:tr w14:paraId="27AC9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516C57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化学实验三十八、物质的导电实验</w:t>
                  </w:r>
                </w:p>
              </w:tc>
              <w:tc>
                <w:tcPr>
                  <w:tcW w:w="741" w:type="pct"/>
                  <w:tcBorders>
                    <w:tl2br w:val="nil"/>
                    <w:tr2bl w:val="nil"/>
                  </w:tcBorders>
                  <w:vAlign w:val="center"/>
                </w:tcPr>
                <w:p w14:paraId="4B6138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溶解氯化钠、氢氧化钠、氯化钡和酚酞；稀释盐酸、硫酸</w:t>
                  </w:r>
                </w:p>
              </w:tc>
              <w:tc>
                <w:tcPr>
                  <w:tcW w:w="833" w:type="pct"/>
                  <w:tcBorders>
                    <w:tl2br w:val="nil"/>
                    <w:tr2bl w:val="nil"/>
                  </w:tcBorders>
                  <w:vAlign w:val="center"/>
                </w:tcPr>
                <w:p w14:paraId="2D898E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28F741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553CD4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w:t>
                  </w:r>
                </w:p>
              </w:tc>
              <w:tc>
                <w:tcPr>
                  <w:tcW w:w="833" w:type="pct"/>
                  <w:tcBorders>
                    <w:tl2br w:val="nil"/>
                    <w:tr2bl w:val="nil"/>
                  </w:tcBorders>
                  <w:vAlign w:val="center"/>
                </w:tcPr>
                <w:p w14:paraId="3D2293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w:t>
                  </w:r>
                </w:p>
              </w:tc>
            </w:tr>
            <w:tr w14:paraId="1B1A3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6DEA40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化学实验三十九、浓硫酸的稀释</w:t>
                  </w:r>
                </w:p>
              </w:tc>
              <w:tc>
                <w:tcPr>
                  <w:tcW w:w="741" w:type="pct"/>
                  <w:tcBorders>
                    <w:tl2br w:val="nil"/>
                    <w:tr2bl w:val="nil"/>
                  </w:tcBorders>
                  <w:vAlign w:val="center"/>
                </w:tcPr>
                <w:p w14:paraId="2E567F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稀释硫酸</w:t>
                  </w:r>
                </w:p>
              </w:tc>
              <w:tc>
                <w:tcPr>
                  <w:tcW w:w="833" w:type="pct"/>
                  <w:tcBorders>
                    <w:tl2br w:val="nil"/>
                    <w:tr2bl w:val="nil"/>
                  </w:tcBorders>
                  <w:vAlign w:val="center"/>
                </w:tcPr>
                <w:p w14:paraId="61A196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2A5409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11A756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w:t>
                  </w:r>
                </w:p>
              </w:tc>
              <w:tc>
                <w:tcPr>
                  <w:tcW w:w="833" w:type="pct"/>
                  <w:tcBorders>
                    <w:tl2br w:val="nil"/>
                    <w:tr2bl w:val="nil"/>
                  </w:tcBorders>
                  <w:vAlign w:val="center"/>
                </w:tcPr>
                <w:p w14:paraId="08B07D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0.7</w:t>
                  </w:r>
                </w:p>
              </w:tc>
            </w:tr>
            <w:tr w14:paraId="3E6D8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110C71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化学实验四十一、碳酸钠、碳酸氢钠与盐酸的反应</w:t>
                  </w:r>
                </w:p>
              </w:tc>
              <w:tc>
                <w:tcPr>
                  <w:tcW w:w="741" w:type="pct"/>
                  <w:tcBorders>
                    <w:tl2br w:val="nil"/>
                    <w:tr2bl w:val="nil"/>
                  </w:tcBorders>
                  <w:vAlign w:val="center"/>
                </w:tcPr>
                <w:p w14:paraId="75035594">
                  <w:pPr>
                    <w:keepNext w:val="0"/>
                    <w:keepLines w:val="0"/>
                    <w:widowControl/>
                    <w:suppressLineNumbers w:val="0"/>
                    <w:jc w:val="center"/>
                    <w:rPr>
                      <w:rFonts w:hint="eastAsia" w:ascii="Times New Roman" w:hAnsi="Times New Roman" w:cs="Times New Roman"/>
                      <w:color w:val="auto"/>
                      <w:sz w:val="21"/>
                      <w:szCs w:val="21"/>
                      <w:highlight w:val="none"/>
                      <w:vertAlign w:val="baseline"/>
                    </w:rPr>
                  </w:pPr>
                  <w:r>
                    <w:rPr>
                      <w:rFonts w:hint="eastAsia" w:ascii="宋体" w:hAnsi="宋体" w:eastAsia="宋体" w:cs="宋体"/>
                      <w:color w:val="auto"/>
                      <w:kern w:val="0"/>
                      <w:sz w:val="21"/>
                      <w:szCs w:val="21"/>
                      <w:lang w:val="en-US" w:eastAsia="zh-CN" w:bidi="ar"/>
                    </w:rPr>
                    <w:t>溶解碳酸钠、碳酸氢钠；稀释盐酸</w:t>
                  </w:r>
                </w:p>
              </w:tc>
              <w:tc>
                <w:tcPr>
                  <w:tcW w:w="833" w:type="pct"/>
                  <w:tcBorders>
                    <w:tl2br w:val="nil"/>
                    <w:tr2bl w:val="nil"/>
                  </w:tcBorders>
                  <w:vAlign w:val="center"/>
                </w:tcPr>
                <w:p w14:paraId="47B332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58B957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3103DB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833" w:type="pct"/>
                  <w:tcBorders>
                    <w:tl2br w:val="nil"/>
                    <w:tr2bl w:val="nil"/>
                  </w:tcBorders>
                  <w:vAlign w:val="center"/>
                </w:tcPr>
                <w:p w14:paraId="5F1CB0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w:t>
                  </w:r>
                </w:p>
              </w:tc>
            </w:tr>
            <w:tr w14:paraId="6EE1E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0923CA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化学实验四十二、碳酸钠溶液中滴入澄清石灰水</w:t>
                  </w:r>
                </w:p>
              </w:tc>
              <w:tc>
                <w:tcPr>
                  <w:tcW w:w="741" w:type="pct"/>
                  <w:tcBorders>
                    <w:tl2br w:val="nil"/>
                    <w:tr2bl w:val="nil"/>
                  </w:tcBorders>
                  <w:vAlign w:val="center"/>
                </w:tcPr>
                <w:p w14:paraId="1C9848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溶解碳酸钠</w:t>
                  </w:r>
                </w:p>
              </w:tc>
              <w:tc>
                <w:tcPr>
                  <w:tcW w:w="833" w:type="pct"/>
                  <w:tcBorders>
                    <w:tl2br w:val="nil"/>
                    <w:tr2bl w:val="nil"/>
                  </w:tcBorders>
                  <w:vAlign w:val="center"/>
                </w:tcPr>
                <w:p w14:paraId="587EF8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4A656E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2373F6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3</w:t>
                  </w:r>
                </w:p>
              </w:tc>
              <w:tc>
                <w:tcPr>
                  <w:tcW w:w="833" w:type="pct"/>
                  <w:tcBorders>
                    <w:tl2br w:val="nil"/>
                    <w:tr2bl w:val="nil"/>
                  </w:tcBorders>
                  <w:vAlign w:val="center"/>
                </w:tcPr>
                <w:p w14:paraId="75F3A8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21</w:t>
                  </w:r>
                </w:p>
              </w:tc>
            </w:tr>
            <w:tr w14:paraId="4B445B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790E15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化学实验四十三、硫酸铜与氢氧化钠、氯化钡溶液的反应</w:t>
                  </w:r>
                </w:p>
                <w:p w14:paraId="5C1EB4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化学实验</w:t>
                  </w:r>
                </w:p>
              </w:tc>
              <w:tc>
                <w:tcPr>
                  <w:tcW w:w="741" w:type="pct"/>
                  <w:tcBorders>
                    <w:tl2br w:val="nil"/>
                    <w:tr2bl w:val="nil"/>
                  </w:tcBorders>
                  <w:vAlign w:val="center"/>
                </w:tcPr>
                <w:p w14:paraId="185D0A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溶解氢氧化钠、氯化钡</w:t>
                  </w:r>
                </w:p>
              </w:tc>
              <w:tc>
                <w:tcPr>
                  <w:tcW w:w="833" w:type="pct"/>
                  <w:tcBorders>
                    <w:tl2br w:val="nil"/>
                    <w:tr2bl w:val="nil"/>
                  </w:tcBorders>
                  <w:vAlign w:val="center"/>
                </w:tcPr>
                <w:p w14:paraId="01BA4F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40F2B0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7AA0C6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w:t>
                  </w:r>
                </w:p>
              </w:tc>
              <w:tc>
                <w:tcPr>
                  <w:tcW w:w="833" w:type="pct"/>
                  <w:tcBorders>
                    <w:tl2br w:val="nil"/>
                    <w:tr2bl w:val="nil"/>
                  </w:tcBorders>
                  <w:vAlign w:val="center"/>
                </w:tcPr>
                <w:p w14:paraId="70E9CE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1.4</w:t>
                  </w:r>
                </w:p>
              </w:tc>
            </w:tr>
            <w:tr w14:paraId="31E97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02A36B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四十四、分子运动现象的实验</w:t>
                  </w:r>
                </w:p>
              </w:tc>
              <w:tc>
                <w:tcPr>
                  <w:tcW w:w="741" w:type="pct"/>
                  <w:tcBorders>
                    <w:tl2br w:val="nil"/>
                    <w:tr2bl w:val="nil"/>
                  </w:tcBorders>
                  <w:vAlign w:val="center"/>
                </w:tcPr>
                <w:p w14:paraId="3B5CB5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配置酚酞</w:t>
                  </w:r>
                </w:p>
              </w:tc>
              <w:tc>
                <w:tcPr>
                  <w:tcW w:w="833" w:type="pct"/>
                  <w:tcBorders>
                    <w:tl2br w:val="nil"/>
                    <w:tr2bl w:val="nil"/>
                  </w:tcBorders>
                  <w:vAlign w:val="center"/>
                </w:tcPr>
                <w:p w14:paraId="2E5951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202B8A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5347AA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0.2</w:t>
                  </w:r>
                </w:p>
              </w:tc>
              <w:tc>
                <w:tcPr>
                  <w:tcW w:w="833" w:type="pct"/>
                  <w:tcBorders>
                    <w:tl2br w:val="nil"/>
                    <w:tr2bl w:val="nil"/>
                  </w:tcBorders>
                  <w:vAlign w:val="center"/>
                </w:tcPr>
                <w:p w14:paraId="09F1C6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1.4</w:t>
                  </w:r>
                </w:p>
              </w:tc>
            </w:tr>
            <w:tr w14:paraId="28D10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5C710C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化学实验四十五、胆矾溶解，氢氧化钠溶液和硫酸铜溶液反应</w:t>
                  </w:r>
                </w:p>
              </w:tc>
              <w:tc>
                <w:tcPr>
                  <w:tcW w:w="741" w:type="pct"/>
                  <w:tcBorders>
                    <w:tl2br w:val="nil"/>
                    <w:tr2bl w:val="nil"/>
                  </w:tcBorders>
                  <w:vAlign w:val="center"/>
                </w:tcPr>
                <w:p w14:paraId="05F9BC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溶解明矾、氢氧化钠</w:t>
                  </w:r>
                </w:p>
              </w:tc>
              <w:tc>
                <w:tcPr>
                  <w:tcW w:w="833" w:type="pct"/>
                  <w:tcBorders>
                    <w:tl2br w:val="nil"/>
                    <w:tr2bl w:val="nil"/>
                  </w:tcBorders>
                  <w:vAlign w:val="center"/>
                </w:tcPr>
                <w:p w14:paraId="734BC4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232E56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0F0A0A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w:t>
                  </w:r>
                </w:p>
              </w:tc>
              <w:tc>
                <w:tcPr>
                  <w:tcW w:w="833" w:type="pct"/>
                  <w:tcBorders>
                    <w:tl2br w:val="nil"/>
                    <w:tr2bl w:val="nil"/>
                  </w:tcBorders>
                  <w:vAlign w:val="center"/>
                </w:tcPr>
                <w:p w14:paraId="23B936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w:t>
                  </w:r>
                </w:p>
              </w:tc>
            </w:tr>
            <w:tr w14:paraId="6B667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5F658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化学实验四十六、石灰石与盐酸反应</w:t>
                  </w:r>
                </w:p>
              </w:tc>
              <w:tc>
                <w:tcPr>
                  <w:tcW w:w="741" w:type="pct"/>
                  <w:tcBorders>
                    <w:tl2br w:val="nil"/>
                    <w:tr2bl w:val="nil"/>
                  </w:tcBorders>
                  <w:vAlign w:val="center"/>
                </w:tcPr>
                <w:p w14:paraId="54960C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溶解碳酸钙、氢氧化钙；稀释盐酸</w:t>
                  </w:r>
                </w:p>
              </w:tc>
              <w:tc>
                <w:tcPr>
                  <w:tcW w:w="833" w:type="pct"/>
                  <w:tcBorders>
                    <w:tl2br w:val="nil"/>
                    <w:tr2bl w:val="nil"/>
                  </w:tcBorders>
                  <w:vAlign w:val="center"/>
                </w:tcPr>
                <w:p w14:paraId="384CEB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23E3E9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04533D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0.3</w:t>
                  </w:r>
                </w:p>
              </w:tc>
              <w:tc>
                <w:tcPr>
                  <w:tcW w:w="833" w:type="pct"/>
                  <w:tcBorders>
                    <w:tl2br w:val="nil"/>
                    <w:tr2bl w:val="nil"/>
                  </w:tcBorders>
                  <w:vAlign w:val="center"/>
                </w:tcPr>
                <w:p w14:paraId="60B7F5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2.1</w:t>
                  </w:r>
                </w:p>
              </w:tc>
            </w:tr>
            <w:tr w14:paraId="194FE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640392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化学实验四十九、探究化学反应前后物质的质量有无变化</w:t>
                  </w:r>
                </w:p>
              </w:tc>
              <w:tc>
                <w:tcPr>
                  <w:tcW w:w="741" w:type="pct"/>
                  <w:tcBorders>
                    <w:tl2br w:val="nil"/>
                    <w:tr2bl w:val="nil"/>
                  </w:tcBorders>
                  <w:vAlign w:val="center"/>
                </w:tcPr>
                <w:p w14:paraId="0165AE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溶解碳酸钙、氢氧化钙；稀释盐酸</w:t>
                  </w:r>
                </w:p>
              </w:tc>
              <w:tc>
                <w:tcPr>
                  <w:tcW w:w="833" w:type="pct"/>
                  <w:tcBorders>
                    <w:tl2br w:val="nil"/>
                    <w:tr2bl w:val="nil"/>
                  </w:tcBorders>
                  <w:vAlign w:val="center"/>
                </w:tcPr>
                <w:p w14:paraId="2A4B67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108929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31C29F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w:t>
                  </w:r>
                </w:p>
              </w:tc>
              <w:tc>
                <w:tcPr>
                  <w:tcW w:w="833" w:type="pct"/>
                  <w:tcBorders>
                    <w:tl2br w:val="nil"/>
                    <w:tr2bl w:val="nil"/>
                  </w:tcBorders>
                  <w:vAlign w:val="center"/>
                </w:tcPr>
                <w:p w14:paraId="6A78FD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w:t>
                  </w:r>
                </w:p>
              </w:tc>
            </w:tr>
            <w:tr w14:paraId="4A524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6357D6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化学实验五十、灭火的原理</w:t>
                  </w:r>
                </w:p>
              </w:tc>
              <w:tc>
                <w:tcPr>
                  <w:tcW w:w="741" w:type="pct"/>
                  <w:tcBorders>
                    <w:tl2br w:val="nil"/>
                    <w:tr2bl w:val="nil"/>
                  </w:tcBorders>
                  <w:vAlign w:val="center"/>
                </w:tcPr>
                <w:p w14:paraId="6C1EAE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溶解碳酸钠；稀释盐酸</w:t>
                  </w:r>
                </w:p>
              </w:tc>
              <w:tc>
                <w:tcPr>
                  <w:tcW w:w="833" w:type="pct"/>
                  <w:tcBorders>
                    <w:tl2br w:val="nil"/>
                    <w:tr2bl w:val="nil"/>
                  </w:tcBorders>
                  <w:vAlign w:val="center"/>
                </w:tcPr>
                <w:p w14:paraId="660B33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285634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62F8E0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833" w:type="pct"/>
                  <w:tcBorders>
                    <w:tl2br w:val="nil"/>
                    <w:tr2bl w:val="nil"/>
                  </w:tcBorders>
                  <w:vAlign w:val="center"/>
                </w:tcPr>
                <w:p w14:paraId="276525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w:t>
                  </w:r>
                </w:p>
              </w:tc>
            </w:tr>
            <w:tr w14:paraId="03A74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24" w:type="pct"/>
                  <w:tcBorders>
                    <w:tl2br w:val="nil"/>
                    <w:tr2bl w:val="nil"/>
                  </w:tcBorders>
                  <w:vAlign w:val="center"/>
                </w:tcPr>
                <w:p w14:paraId="3A6BAD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生物实验十六、检验光合作用释放氧气</w:t>
                  </w:r>
                </w:p>
              </w:tc>
              <w:tc>
                <w:tcPr>
                  <w:tcW w:w="741" w:type="pct"/>
                  <w:tcBorders>
                    <w:tl2br w:val="nil"/>
                    <w:tr2bl w:val="nil"/>
                  </w:tcBorders>
                  <w:vAlign w:val="center"/>
                </w:tcPr>
                <w:p w14:paraId="7472DB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溶解碳酸氢钠</w:t>
                  </w:r>
                </w:p>
              </w:tc>
              <w:tc>
                <w:tcPr>
                  <w:tcW w:w="833" w:type="pct"/>
                  <w:tcBorders>
                    <w:tl2br w:val="nil"/>
                    <w:tr2bl w:val="nil"/>
                  </w:tcBorders>
                  <w:vAlign w:val="center"/>
                </w:tcPr>
                <w:p w14:paraId="0D1369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7C8D16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7F9990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w:t>
                  </w:r>
                </w:p>
              </w:tc>
              <w:tc>
                <w:tcPr>
                  <w:tcW w:w="833" w:type="pct"/>
                  <w:tcBorders>
                    <w:tl2br w:val="nil"/>
                    <w:tr2bl w:val="nil"/>
                  </w:tcBorders>
                  <w:vAlign w:val="center"/>
                </w:tcPr>
                <w:p w14:paraId="6774D2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0.7</w:t>
                  </w:r>
                </w:p>
              </w:tc>
            </w:tr>
            <w:tr w14:paraId="59392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vAlign w:val="center"/>
                </w:tcPr>
                <w:p w14:paraId="2BF082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生物实验二十、种子在萌发过程中消耗氧气</w:t>
                  </w:r>
                </w:p>
              </w:tc>
              <w:tc>
                <w:tcPr>
                  <w:tcW w:w="741" w:type="pct"/>
                  <w:tcBorders>
                    <w:tl2br w:val="nil"/>
                    <w:tr2bl w:val="nil"/>
                  </w:tcBorders>
                  <w:vAlign w:val="center"/>
                </w:tcPr>
                <w:p w14:paraId="202C76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溶解高锰酸钾</w:t>
                  </w:r>
                </w:p>
              </w:tc>
              <w:tc>
                <w:tcPr>
                  <w:tcW w:w="833" w:type="pct"/>
                  <w:tcBorders>
                    <w:tl2br w:val="nil"/>
                    <w:tr2bl w:val="nil"/>
                  </w:tcBorders>
                  <w:vAlign w:val="center"/>
                </w:tcPr>
                <w:p w14:paraId="191BD9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1B7451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33" w:type="pct"/>
                  <w:tcBorders>
                    <w:tl2br w:val="nil"/>
                    <w:tr2bl w:val="nil"/>
                  </w:tcBorders>
                  <w:vAlign w:val="center"/>
                </w:tcPr>
                <w:p w14:paraId="47FA70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0.1</w:t>
                  </w:r>
                </w:p>
              </w:tc>
              <w:tc>
                <w:tcPr>
                  <w:tcW w:w="833" w:type="pct"/>
                  <w:tcBorders>
                    <w:tl2br w:val="nil"/>
                    <w:tr2bl w:val="nil"/>
                  </w:tcBorders>
                  <w:vAlign w:val="center"/>
                </w:tcPr>
                <w:p w14:paraId="6B5C48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0.7</w:t>
                  </w:r>
                </w:p>
              </w:tc>
            </w:tr>
            <w:tr w14:paraId="1B877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6" w:type="pct"/>
                  <w:gridSpan w:val="5"/>
                  <w:tcBorders>
                    <w:tl2br w:val="nil"/>
                    <w:tr2bl w:val="nil"/>
                  </w:tcBorders>
                  <w:vAlign w:val="center"/>
                </w:tcPr>
                <w:p w14:paraId="1037A9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合计</w:t>
                  </w:r>
                </w:p>
              </w:tc>
              <w:tc>
                <w:tcPr>
                  <w:tcW w:w="833" w:type="pct"/>
                  <w:tcBorders>
                    <w:tl2br w:val="nil"/>
                    <w:tr2bl w:val="nil"/>
                  </w:tcBorders>
                  <w:vAlign w:val="center"/>
                </w:tcPr>
                <w:p w14:paraId="48ECF8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269.4</w:t>
                  </w:r>
                </w:p>
              </w:tc>
            </w:tr>
          </w:tbl>
          <w:p w14:paraId="05B4ED54">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实验过程中，部分实验内容需使用水作为辅助材料。</w:t>
            </w:r>
          </w:p>
          <w:p w14:paraId="6B546599">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实验水仅作为物质载体或能量传递的介质，不会与化学药品直接接触。</w:t>
            </w:r>
          </w:p>
          <w:p w14:paraId="1DC9E6C6">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具体如下：</w:t>
            </w:r>
          </w:p>
          <w:p w14:paraId="1AC95A29">
            <w:pPr>
              <w:pStyle w:val="114"/>
              <w:bidi w:val="0"/>
              <w:rPr>
                <w:rFonts w:hint="default"/>
                <w:color w:val="auto"/>
                <w:lang w:val="en-US" w:eastAsia="zh-CN"/>
              </w:rPr>
            </w:pPr>
            <w:r>
              <w:rPr>
                <w:rFonts w:hint="eastAsia"/>
                <w:color w:val="auto"/>
                <w:lang w:val="en-US" w:eastAsia="zh-CN"/>
              </w:rPr>
              <w:t>实验辅助用水核算表</w:t>
            </w:r>
          </w:p>
          <w:tbl>
            <w:tblPr>
              <w:tblStyle w:val="4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546"/>
              <w:gridCol w:w="1546"/>
              <w:gridCol w:w="1546"/>
              <w:gridCol w:w="1547"/>
              <w:gridCol w:w="1549"/>
            </w:tblGrid>
            <w:tr w14:paraId="0AE37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6" w:type="dxa"/>
                  <w:tcBorders>
                    <w:tl2br w:val="nil"/>
                    <w:tr2bl w:val="nil"/>
                  </w:tcBorders>
                  <w:vAlign w:val="center"/>
                </w:tcPr>
                <w:p w14:paraId="3A8035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实验名称</w:t>
                  </w:r>
                </w:p>
              </w:tc>
              <w:tc>
                <w:tcPr>
                  <w:tcW w:w="1546" w:type="dxa"/>
                  <w:tcBorders>
                    <w:tl2br w:val="nil"/>
                    <w:tr2bl w:val="nil"/>
                  </w:tcBorders>
                  <w:vAlign w:val="center"/>
                </w:tcPr>
                <w:p w14:paraId="618978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用水点</w:t>
                  </w:r>
                </w:p>
              </w:tc>
              <w:tc>
                <w:tcPr>
                  <w:tcW w:w="1546" w:type="dxa"/>
                  <w:tcBorders>
                    <w:tl2br w:val="nil"/>
                    <w:tr2bl w:val="nil"/>
                  </w:tcBorders>
                  <w:vAlign w:val="center"/>
                </w:tcPr>
                <w:p w14:paraId="39E59F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年级班级数量</w:t>
                  </w:r>
                </w:p>
              </w:tc>
              <w:tc>
                <w:tcPr>
                  <w:tcW w:w="1546" w:type="dxa"/>
                  <w:tcBorders>
                    <w:tl2br w:val="nil"/>
                    <w:tr2bl w:val="nil"/>
                  </w:tcBorders>
                  <w:vAlign w:val="center"/>
                </w:tcPr>
                <w:p w14:paraId="2E48E8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一学年实验开展课时数量</w:t>
                  </w:r>
                </w:p>
              </w:tc>
              <w:tc>
                <w:tcPr>
                  <w:tcW w:w="1547" w:type="dxa"/>
                  <w:tcBorders>
                    <w:tl2br w:val="nil"/>
                    <w:tr2bl w:val="nil"/>
                  </w:tcBorders>
                  <w:vAlign w:val="center"/>
                </w:tcPr>
                <w:p w14:paraId="477C07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单课时用水量（L/课时）</w:t>
                  </w:r>
                </w:p>
              </w:tc>
              <w:tc>
                <w:tcPr>
                  <w:tcW w:w="1549" w:type="dxa"/>
                  <w:tcBorders>
                    <w:tl2br w:val="nil"/>
                    <w:tr2bl w:val="nil"/>
                  </w:tcBorders>
                  <w:vAlign w:val="center"/>
                </w:tcPr>
                <w:p w14:paraId="3CE0CF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年用水量</w:t>
                  </w:r>
                </w:p>
                <w:p w14:paraId="4FE8E0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（L/a）</w:t>
                  </w:r>
                </w:p>
              </w:tc>
            </w:tr>
            <w:tr w14:paraId="40198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6" w:type="dxa"/>
                  <w:tcBorders>
                    <w:tl2br w:val="nil"/>
                    <w:tr2bl w:val="nil"/>
                  </w:tcBorders>
                  <w:vAlign w:val="center"/>
                </w:tcPr>
                <w:p w14:paraId="5AA3A6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化学实验十：氧气的实验室制取与性质</w:t>
                  </w:r>
                </w:p>
              </w:tc>
              <w:tc>
                <w:tcPr>
                  <w:tcW w:w="1546" w:type="dxa"/>
                  <w:tcBorders>
                    <w:tl2br w:val="nil"/>
                    <w:tr2bl w:val="nil"/>
                  </w:tcBorders>
                  <w:vAlign w:val="center"/>
                </w:tcPr>
                <w:p w14:paraId="0A3237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制备氧气的收集</w:t>
                  </w:r>
                </w:p>
              </w:tc>
              <w:tc>
                <w:tcPr>
                  <w:tcW w:w="1546" w:type="dxa"/>
                  <w:tcBorders>
                    <w:tl2br w:val="nil"/>
                    <w:tr2bl w:val="nil"/>
                  </w:tcBorders>
                  <w:vAlign w:val="center"/>
                </w:tcPr>
                <w:p w14:paraId="05DB55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1546" w:type="dxa"/>
                  <w:tcBorders>
                    <w:tl2br w:val="nil"/>
                    <w:tr2bl w:val="nil"/>
                  </w:tcBorders>
                  <w:vAlign w:val="center"/>
                </w:tcPr>
                <w:p w14:paraId="4DDB0B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1547" w:type="dxa"/>
                  <w:tcBorders>
                    <w:tl2br w:val="nil"/>
                    <w:tr2bl w:val="nil"/>
                  </w:tcBorders>
                  <w:vAlign w:val="center"/>
                </w:tcPr>
                <w:p w14:paraId="11B1CE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300</w:t>
                  </w:r>
                </w:p>
              </w:tc>
              <w:tc>
                <w:tcPr>
                  <w:tcW w:w="1549" w:type="dxa"/>
                  <w:tcBorders>
                    <w:tl2br w:val="nil"/>
                    <w:tr2bl w:val="nil"/>
                  </w:tcBorders>
                  <w:vAlign w:val="center"/>
                </w:tcPr>
                <w:p w14:paraId="541902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2100</w:t>
                  </w:r>
                </w:p>
              </w:tc>
            </w:tr>
            <w:tr w14:paraId="2CC6A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6" w:type="dxa"/>
                  <w:tcBorders>
                    <w:tl2br w:val="nil"/>
                    <w:tr2bl w:val="nil"/>
                  </w:tcBorders>
                  <w:vAlign w:val="center"/>
                </w:tcPr>
                <w:p w14:paraId="524C24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化学实验二十八：硝酸钾在水中的溶解</w:t>
                  </w:r>
                </w:p>
              </w:tc>
              <w:tc>
                <w:tcPr>
                  <w:tcW w:w="1546" w:type="dxa"/>
                  <w:tcBorders>
                    <w:tl2br w:val="nil"/>
                    <w:tr2bl w:val="nil"/>
                  </w:tcBorders>
                  <w:vAlign w:val="center"/>
                </w:tcPr>
                <w:p w14:paraId="6F085C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水浴加热</w:t>
                  </w:r>
                </w:p>
              </w:tc>
              <w:tc>
                <w:tcPr>
                  <w:tcW w:w="1546" w:type="dxa"/>
                  <w:tcBorders>
                    <w:tl2br w:val="nil"/>
                    <w:tr2bl w:val="nil"/>
                  </w:tcBorders>
                  <w:vAlign w:val="center"/>
                </w:tcPr>
                <w:p w14:paraId="774271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1546" w:type="dxa"/>
                  <w:tcBorders>
                    <w:tl2br w:val="nil"/>
                    <w:tr2bl w:val="nil"/>
                  </w:tcBorders>
                  <w:vAlign w:val="center"/>
                </w:tcPr>
                <w:p w14:paraId="2D4FA2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1547" w:type="dxa"/>
                  <w:tcBorders>
                    <w:tl2br w:val="nil"/>
                    <w:tr2bl w:val="nil"/>
                  </w:tcBorders>
                  <w:vAlign w:val="center"/>
                </w:tcPr>
                <w:p w14:paraId="7569F1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200</w:t>
                  </w:r>
                </w:p>
              </w:tc>
              <w:tc>
                <w:tcPr>
                  <w:tcW w:w="1549" w:type="dxa"/>
                  <w:tcBorders>
                    <w:tl2br w:val="nil"/>
                    <w:tr2bl w:val="nil"/>
                  </w:tcBorders>
                  <w:vAlign w:val="center"/>
                </w:tcPr>
                <w:p w14:paraId="3DCAD7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1400</w:t>
                  </w:r>
                </w:p>
              </w:tc>
            </w:tr>
            <w:tr w14:paraId="77B95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6" w:type="dxa"/>
                  <w:tcBorders>
                    <w:tl2br w:val="nil"/>
                    <w:tr2bl w:val="nil"/>
                  </w:tcBorders>
                  <w:vAlign w:val="center"/>
                </w:tcPr>
                <w:p w14:paraId="17BB0D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生物实验二十二：馒头在口腔中的变化</w:t>
                  </w:r>
                </w:p>
              </w:tc>
              <w:tc>
                <w:tcPr>
                  <w:tcW w:w="1546" w:type="dxa"/>
                  <w:tcBorders>
                    <w:tl2br w:val="nil"/>
                    <w:tr2bl w:val="nil"/>
                  </w:tcBorders>
                  <w:vAlign w:val="center"/>
                </w:tcPr>
                <w:p w14:paraId="24DCC2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将试管放入温水中，保持一段时间</w:t>
                  </w:r>
                </w:p>
              </w:tc>
              <w:tc>
                <w:tcPr>
                  <w:tcW w:w="1546" w:type="dxa"/>
                  <w:tcBorders>
                    <w:tl2br w:val="nil"/>
                    <w:tr2bl w:val="nil"/>
                  </w:tcBorders>
                  <w:vAlign w:val="center"/>
                </w:tcPr>
                <w:p w14:paraId="2A950A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1546" w:type="dxa"/>
                  <w:tcBorders>
                    <w:tl2br w:val="nil"/>
                    <w:tr2bl w:val="nil"/>
                  </w:tcBorders>
                  <w:vAlign w:val="center"/>
                </w:tcPr>
                <w:p w14:paraId="0CE3DA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1547" w:type="dxa"/>
                  <w:tcBorders>
                    <w:tl2br w:val="nil"/>
                    <w:tr2bl w:val="nil"/>
                  </w:tcBorders>
                  <w:vAlign w:val="center"/>
                </w:tcPr>
                <w:p w14:paraId="4EB907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200</w:t>
                  </w:r>
                </w:p>
              </w:tc>
              <w:tc>
                <w:tcPr>
                  <w:tcW w:w="1549" w:type="dxa"/>
                  <w:tcBorders>
                    <w:tl2br w:val="nil"/>
                    <w:tr2bl w:val="nil"/>
                  </w:tcBorders>
                  <w:vAlign w:val="center"/>
                </w:tcPr>
                <w:p w14:paraId="3F3C32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1400</w:t>
                  </w:r>
                </w:p>
              </w:tc>
            </w:tr>
            <w:tr w14:paraId="47B7A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6" w:type="dxa"/>
                  <w:tcBorders>
                    <w:tl2br w:val="nil"/>
                    <w:tr2bl w:val="nil"/>
                  </w:tcBorders>
                  <w:vAlign w:val="center"/>
                </w:tcPr>
                <w:p w14:paraId="601E7C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生物实验二十六：探究唾液淀粉酶对淀粉的消化作用</w:t>
                  </w:r>
                </w:p>
              </w:tc>
              <w:tc>
                <w:tcPr>
                  <w:tcW w:w="1546" w:type="dxa"/>
                  <w:tcBorders>
                    <w:tl2br w:val="nil"/>
                    <w:tr2bl w:val="nil"/>
                  </w:tcBorders>
                  <w:vAlign w:val="center"/>
                </w:tcPr>
                <w:p w14:paraId="7EF05C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将试管放入温水中，保持一段时间</w:t>
                  </w:r>
                </w:p>
              </w:tc>
              <w:tc>
                <w:tcPr>
                  <w:tcW w:w="1546" w:type="dxa"/>
                  <w:tcBorders>
                    <w:tl2br w:val="nil"/>
                    <w:tr2bl w:val="nil"/>
                  </w:tcBorders>
                  <w:vAlign w:val="center"/>
                </w:tcPr>
                <w:p w14:paraId="4937DC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1546" w:type="dxa"/>
                  <w:tcBorders>
                    <w:tl2br w:val="nil"/>
                    <w:tr2bl w:val="nil"/>
                  </w:tcBorders>
                  <w:vAlign w:val="center"/>
                </w:tcPr>
                <w:p w14:paraId="774FE1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1547" w:type="dxa"/>
                  <w:tcBorders>
                    <w:tl2br w:val="nil"/>
                    <w:tr2bl w:val="nil"/>
                  </w:tcBorders>
                  <w:vAlign w:val="center"/>
                </w:tcPr>
                <w:p w14:paraId="629C6B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200</w:t>
                  </w:r>
                </w:p>
              </w:tc>
              <w:tc>
                <w:tcPr>
                  <w:tcW w:w="1549" w:type="dxa"/>
                  <w:tcBorders>
                    <w:tl2br w:val="nil"/>
                    <w:tr2bl w:val="nil"/>
                  </w:tcBorders>
                  <w:vAlign w:val="center"/>
                </w:tcPr>
                <w:p w14:paraId="531C43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1400</w:t>
                  </w:r>
                </w:p>
              </w:tc>
            </w:tr>
            <w:tr w14:paraId="4845F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31" w:type="dxa"/>
                  <w:gridSpan w:val="5"/>
                  <w:tcBorders>
                    <w:tl2br w:val="nil"/>
                    <w:tr2bl w:val="nil"/>
                  </w:tcBorders>
                  <w:vAlign w:val="center"/>
                </w:tcPr>
                <w:p w14:paraId="15BDA4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合计</w:t>
                  </w:r>
                </w:p>
              </w:tc>
              <w:tc>
                <w:tcPr>
                  <w:tcW w:w="1549" w:type="dxa"/>
                  <w:tcBorders>
                    <w:tl2br w:val="nil"/>
                    <w:tr2bl w:val="nil"/>
                  </w:tcBorders>
                  <w:vAlign w:val="center"/>
                </w:tcPr>
                <w:p w14:paraId="5AA8E3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6300</w:t>
                  </w:r>
                </w:p>
              </w:tc>
            </w:tr>
          </w:tbl>
          <w:p w14:paraId="7494F0CC">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根据实验安排，化学实验有23个仅为老师演示，26个实验为分组实验；生物实验有20个仅为老师演示（其中14个实验需要清洗仪器），24个分组实验（7个实验需要清洗仪器）。</w:t>
            </w:r>
          </w:p>
          <w:p w14:paraId="6FC8E335">
            <w:pPr>
              <w:pStyle w:val="114"/>
              <w:bidi w:val="0"/>
              <w:rPr>
                <w:rFonts w:hint="default"/>
                <w:color w:val="auto"/>
                <w:lang w:val="en-US" w:eastAsia="zh-CN"/>
              </w:rPr>
            </w:pPr>
            <w:r>
              <w:rPr>
                <w:rFonts w:hint="eastAsia"/>
                <w:color w:val="auto"/>
                <w:lang w:val="en-US" w:eastAsia="zh-CN"/>
              </w:rPr>
              <w:t>实验器具清洗用水核算表</w:t>
            </w:r>
          </w:p>
          <w:tbl>
            <w:tblPr>
              <w:tblStyle w:val="4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979"/>
              <w:gridCol w:w="1530"/>
              <w:gridCol w:w="1654"/>
              <w:gridCol w:w="1587"/>
              <w:gridCol w:w="1110"/>
            </w:tblGrid>
            <w:tr w14:paraId="3104C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pct"/>
                  <w:tcBorders>
                    <w:tl2br w:val="nil"/>
                    <w:tr2bl w:val="nil"/>
                  </w:tcBorders>
                  <w:vAlign w:val="center"/>
                </w:tcPr>
                <w:p w14:paraId="0E773E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实验名称</w:t>
                  </w:r>
                </w:p>
              </w:tc>
              <w:tc>
                <w:tcPr>
                  <w:tcW w:w="1066" w:type="pct"/>
                  <w:tcBorders>
                    <w:tl2br w:val="nil"/>
                    <w:tr2bl w:val="nil"/>
                  </w:tcBorders>
                  <w:vAlign w:val="center"/>
                </w:tcPr>
                <w:p w14:paraId="267878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用水点</w:t>
                  </w:r>
                </w:p>
              </w:tc>
              <w:tc>
                <w:tcPr>
                  <w:tcW w:w="824" w:type="pct"/>
                  <w:tcBorders>
                    <w:tl2br w:val="nil"/>
                    <w:tr2bl w:val="nil"/>
                  </w:tcBorders>
                  <w:vAlign w:val="center"/>
                </w:tcPr>
                <w:p w14:paraId="0A3A49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年级班级数量</w:t>
                  </w:r>
                </w:p>
              </w:tc>
              <w:tc>
                <w:tcPr>
                  <w:tcW w:w="891" w:type="pct"/>
                  <w:tcBorders>
                    <w:tl2br w:val="nil"/>
                    <w:tr2bl w:val="nil"/>
                  </w:tcBorders>
                  <w:vAlign w:val="center"/>
                </w:tcPr>
                <w:p w14:paraId="1C748E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一学年实验开展课时数量</w:t>
                  </w:r>
                </w:p>
              </w:tc>
              <w:tc>
                <w:tcPr>
                  <w:tcW w:w="1587" w:type="dxa"/>
                  <w:tcBorders>
                    <w:tl2br w:val="nil"/>
                    <w:tr2bl w:val="nil"/>
                  </w:tcBorders>
                  <w:vAlign w:val="center"/>
                </w:tcPr>
                <w:p w14:paraId="7B8D50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单课时用水量（L/课时）</w:t>
                  </w:r>
                </w:p>
              </w:tc>
              <w:tc>
                <w:tcPr>
                  <w:tcW w:w="1110" w:type="dxa"/>
                  <w:tcBorders>
                    <w:tl2br w:val="nil"/>
                    <w:tr2bl w:val="nil"/>
                  </w:tcBorders>
                  <w:vAlign w:val="center"/>
                </w:tcPr>
                <w:p w14:paraId="03B430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年用水量</w:t>
                  </w:r>
                </w:p>
                <w:p w14:paraId="56710D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（L/a）</w:t>
                  </w:r>
                </w:p>
              </w:tc>
            </w:tr>
            <w:tr w14:paraId="1C678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pct"/>
                  <w:vMerge w:val="restart"/>
                  <w:tcBorders>
                    <w:tl2br w:val="nil"/>
                    <w:tr2bl w:val="nil"/>
                  </w:tcBorders>
                  <w:vAlign w:val="center"/>
                </w:tcPr>
                <w:p w14:paraId="382E2F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化学实验室</w:t>
                  </w:r>
                </w:p>
              </w:tc>
              <w:tc>
                <w:tcPr>
                  <w:tcW w:w="1066" w:type="pct"/>
                  <w:vMerge w:val="restart"/>
                  <w:tcBorders>
                    <w:tl2br w:val="nil"/>
                    <w:tr2bl w:val="nil"/>
                  </w:tcBorders>
                  <w:vAlign w:val="center"/>
                </w:tcPr>
                <w:p w14:paraId="2ACD2B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实验器材清洗其中前3次清洗废水</w:t>
                  </w:r>
                </w:p>
              </w:tc>
              <w:tc>
                <w:tcPr>
                  <w:tcW w:w="824" w:type="pct"/>
                  <w:tcBorders>
                    <w:tl2br w:val="nil"/>
                    <w:tr2bl w:val="nil"/>
                  </w:tcBorders>
                  <w:vAlign w:val="center"/>
                </w:tcPr>
                <w:p w14:paraId="24B139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91" w:type="pct"/>
                  <w:tcBorders>
                    <w:tl2br w:val="nil"/>
                    <w:tr2bl w:val="nil"/>
                  </w:tcBorders>
                  <w:vAlign w:val="center"/>
                </w:tcPr>
                <w:p w14:paraId="4180A5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23（老师演示）</w:t>
                  </w:r>
                </w:p>
              </w:tc>
              <w:tc>
                <w:tcPr>
                  <w:tcW w:w="852" w:type="pct"/>
                  <w:tcBorders>
                    <w:tl2br w:val="nil"/>
                    <w:tr2bl w:val="nil"/>
                  </w:tcBorders>
                  <w:vAlign w:val="center"/>
                </w:tcPr>
                <w:p w14:paraId="3F334F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598" w:type="pct"/>
                  <w:tcBorders>
                    <w:tl2br w:val="nil"/>
                    <w:tr2bl w:val="nil"/>
                  </w:tcBorders>
                  <w:vAlign w:val="center"/>
                </w:tcPr>
                <w:p w14:paraId="007150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483</w:t>
                  </w:r>
                </w:p>
              </w:tc>
            </w:tr>
            <w:tr w14:paraId="032A7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pct"/>
                  <w:vMerge w:val="continue"/>
                  <w:tcBorders>
                    <w:tl2br w:val="nil"/>
                    <w:tr2bl w:val="nil"/>
                  </w:tcBorders>
                  <w:vAlign w:val="center"/>
                </w:tcPr>
                <w:p w14:paraId="4164D0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66" w:type="pct"/>
                  <w:vMerge w:val="continue"/>
                  <w:tcBorders>
                    <w:tl2br w:val="nil"/>
                    <w:tr2bl w:val="nil"/>
                  </w:tcBorders>
                  <w:vAlign w:val="center"/>
                </w:tcPr>
                <w:p w14:paraId="689A59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824" w:type="pct"/>
                  <w:tcBorders>
                    <w:tl2br w:val="nil"/>
                    <w:tr2bl w:val="nil"/>
                  </w:tcBorders>
                  <w:vAlign w:val="center"/>
                </w:tcPr>
                <w:p w14:paraId="0FBBDB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91" w:type="pct"/>
                  <w:tcBorders>
                    <w:tl2br w:val="nil"/>
                    <w:tr2bl w:val="nil"/>
                  </w:tcBorders>
                  <w:vAlign w:val="center"/>
                </w:tcPr>
                <w:p w14:paraId="43443D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26（学生分组）</w:t>
                  </w:r>
                </w:p>
              </w:tc>
              <w:tc>
                <w:tcPr>
                  <w:tcW w:w="852" w:type="pct"/>
                  <w:tcBorders>
                    <w:tl2br w:val="nil"/>
                    <w:tr2bl w:val="nil"/>
                  </w:tcBorders>
                  <w:vAlign w:val="center"/>
                </w:tcPr>
                <w:p w14:paraId="16A0EE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598" w:type="pct"/>
                  <w:tcBorders>
                    <w:tl2br w:val="nil"/>
                    <w:tr2bl w:val="nil"/>
                  </w:tcBorders>
                  <w:vAlign w:val="center"/>
                </w:tcPr>
                <w:p w14:paraId="599543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1820</w:t>
                  </w:r>
                </w:p>
              </w:tc>
            </w:tr>
            <w:tr w14:paraId="5A8EE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pct"/>
                  <w:vMerge w:val="continue"/>
                  <w:tcBorders>
                    <w:tl2br w:val="nil"/>
                    <w:tr2bl w:val="nil"/>
                  </w:tcBorders>
                  <w:vAlign w:val="center"/>
                </w:tcPr>
                <w:p w14:paraId="0759EE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66" w:type="pct"/>
                  <w:vMerge w:val="restart"/>
                  <w:tcBorders>
                    <w:tl2br w:val="nil"/>
                    <w:tr2bl w:val="nil"/>
                  </w:tcBorders>
                  <w:vAlign w:val="center"/>
                </w:tcPr>
                <w:p w14:paraId="48CAC6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实验器皿剩余清洗废水</w:t>
                  </w:r>
                </w:p>
              </w:tc>
              <w:tc>
                <w:tcPr>
                  <w:tcW w:w="824" w:type="pct"/>
                  <w:tcBorders>
                    <w:tl2br w:val="nil"/>
                    <w:tr2bl w:val="nil"/>
                  </w:tcBorders>
                  <w:vAlign w:val="center"/>
                </w:tcPr>
                <w:p w14:paraId="215DA1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1654" w:type="dxa"/>
                  <w:tcBorders>
                    <w:tl2br w:val="nil"/>
                    <w:tr2bl w:val="nil"/>
                  </w:tcBorders>
                  <w:vAlign w:val="center"/>
                </w:tcPr>
                <w:p w14:paraId="5A5E50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23（老师演示）</w:t>
                  </w:r>
                </w:p>
              </w:tc>
              <w:tc>
                <w:tcPr>
                  <w:tcW w:w="852" w:type="pct"/>
                  <w:tcBorders>
                    <w:tl2br w:val="nil"/>
                    <w:tr2bl w:val="nil"/>
                  </w:tcBorders>
                  <w:vAlign w:val="center"/>
                </w:tcPr>
                <w:p w14:paraId="37F6BA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598" w:type="pct"/>
                  <w:tcBorders>
                    <w:tl2br w:val="nil"/>
                    <w:tr2bl w:val="nil"/>
                  </w:tcBorders>
                  <w:vAlign w:val="center"/>
                </w:tcPr>
                <w:p w14:paraId="13D4E4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161</w:t>
                  </w:r>
                </w:p>
              </w:tc>
            </w:tr>
            <w:tr w14:paraId="0340E2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pct"/>
                  <w:vMerge w:val="continue"/>
                  <w:tcBorders>
                    <w:tl2br w:val="nil"/>
                    <w:tr2bl w:val="nil"/>
                  </w:tcBorders>
                  <w:vAlign w:val="center"/>
                </w:tcPr>
                <w:p w14:paraId="5DD9EF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66" w:type="pct"/>
                  <w:vMerge w:val="continue"/>
                  <w:tcBorders>
                    <w:tl2br w:val="nil"/>
                    <w:tr2bl w:val="nil"/>
                  </w:tcBorders>
                  <w:vAlign w:val="center"/>
                </w:tcPr>
                <w:p w14:paraId="04D297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824" w:type="pct"/>
                  <w:tcBorders>
                    <w:tl2br w:val="nil"/>
                    <w:tr2bl w:val="nil"/>
                  </w:tcBorders>
                  <w:vAlign w:val="center"/>
                </w:tcPr>
                <w:p w14:paraId="47A0B0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1654" w:type="dxa"/>
                  <w:tcBorders>
                    <w:tl2br w:val="nil"/>
                    <w:tr2bl w:val="nil"/>
                  </w:tcBorders>
                  <w:vAlign w:val="center"/>
                </w:tcPr>
                <w:p w14:paraId="632A0B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26（学生分组）</w:t>
                  </w:r>
                </w:p>
              </w:tc>
              <w:tc>
                <w:tcPr>
                  <w:tcW w:w="852" w:type="pct"/>
                  <w:tcBorders>
                    <w:tl2br w:val="nil"/>
                    <w:tr2bl w:val="nil"/>
                  </w:tcBorders>
                  <w:vAlign w:val="center"/>
                </w:tcPr>
                <w:p w14:paraId="1683A6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c>
                <w:tcPr>
                  <w:tcW w:w="598" w:type="pct"/>
                  <w:tcBorders>
                    <w:tl2br w:val="nil"/>
                    <w:tr2bl w:val="nil"/>
                  </w:tcBorders>
                  <w:vAlign w:val="center"/>
                </w:tcPr>
                <w:p w14:paraId="161AB0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910</w:t>
                  </w:r>
                </w:p>
              </w:tc>
            </w:tr>
            <w:tr w14:paraId="01565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pct"/>
                  <w:vMerge w:val="restart"/>
                  <w:tcBorders>
                    <w:tl2br w:val="nil"/>
                    <w:tr2bl w:val="nil"/>
                  </w:tcBorders>
                  <w:vAlign w:val="center"/>
                </w:tcPr>
                <w:p w14:paraId="19B571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生物实验室</w:t>
                  </w:r>
                </w:p>
              </w:tc>
              <w:tc>
                <w:tcPr>
                  <w:tcW w:w="1066" w:type="pct"/>
                  <w:vMerge w:val="restart"/>
                  <w:tcBorders>
                    <w:tl2br w:val="nil"/>
                    <w:tr2bl w:val="nil"/>
                  </w:tcBorders>
                  <w:vAlign w:val="center"/>
                </w:tcPr>
                <w:p w14:paraId="59CEB5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实验器皿清洗其中前3次清洗废水</w:t>
                  </w:r>
                </w:p>
              </w:tc>
              <w:tc>
                <w:tcPr>
                  <w:tcW w:w="824" w:type="pct"/>
                  <w:tcBorders>
                    <w:tl2br w:val="nil"/>
                    <w:tr2bl w:val="nil"/>
                  </w:tcBorders>
                  <w:vAlign w:val="center"/>
                </w:tcPr>
                <w:p w14:paraId="28DC05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91" w:type="pct"/>
                  <w:tcBorders>
                    <w:tl2br w:val="nil"/>
                    <w:tr2bl w:val="nil"/>
                  </w:tcBorders>
                  <w:vAlign w:val="center"/>
                </w:tcPr>
                <w:p w14:paraId="189824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14（老师演示）</w:t>
                  </w:r>
                </w:p>
              </w:tc>
              <w:tc>
                <w:tcPr>
                  <w:tcW w:w="852" w:type="pct"/>
                  <w:tcBorders>
                    <w:tl2br w:val="nil"/>
                    <w:tr2bl w:val="nil"/>
                  </w:tcBorders>
                  <w:vAlign w:val="center"/>
                </w:tcPr>
                <w:p w14:paraId="53A2DC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598" w:type="pct"/>
                  <w:tcBorders>
                    <w:tl2br w:val="nil"/>
                    <w:tr2bl w:val="nil"/>
                  </w:tcBorders>
                  <w:vAlign w:val="center"/>
                </w:tcPr>
                <w:p w14:paraId="4450C7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196</w:t>
                  </w:r>
                </w:p>
              </w:tc>
            </w:tr>
            <w:tr w14:paraId="73FAA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pct"/>
                  <w:vMerge w:val="continue"/>
                  <w:tcBorders>
                    <w:tl2br w:val="nil"/>
                    <w:tr2bl w:val="nil"/>
                  </w:tcBorders>
                  <w:vAlign w:val="center"/>
                </w:tcPr>
                <w:p w14:paraId="177575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66" w:type="pct"/>
                  <w:vMerge w:val="continue"/>
                  <w:tcBorders>
                    <w:tl2br w:val="nil"/>
                    <w:tr2bl w:val="nil"/>
                  </w:tcBorders>
                  <w:vAlign w:val="center"/>
                </w:tcPr>
                <w:p w14:paraId="25EB7C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824" w:type="pct"/>
                  <w:tcBorders>
                    <w:tl2br w:val="nil"/>
                    <w:tr2bl w:val="nil"/>
                  </w:tcBorders>
                  <w:vAlign w:val="center"/>
                </w:tcPr>
                <w:p w14:paraId="65484A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91" w:type="pct"/>
                  <w:tcBorders>
                    <w:tl2br w:val="nil"/>
                    <w:tr2bl w:val="nil"/>
                  </w:tcBorders>
                  <w:vAlign w:val="center"/>
                </w:tcPr>
                <w:p w14:paraId="6DF25D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7（学生分组）</w:t>
                  </w:r>
                </w:p>
              </w:tc>
              <w:tc>
                <w:tcPr>
                  <w:tcW w:w="852" w:type="pct"/>
                  <w:tcBorders>
                    <w:tl2br w:val="nil"/>
                    <w:tr2bl w:val="nil"/>
                  </w:tcBorders>
                  <w:vAlign w:val="center"/>
                </w:tcPr>
                <w:p w14:paraId="6AEC40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c>
                <w:tcPr>
                  <w:tcW w:w="598" w:type="pct"/>
                  <w:tcBorders>
                    <w:tl2br w:val="nil"/>
                    <w:tr2bl w:val="nil"/>
                  </w:tcBorders>
                  <w:vAlign w:val="center"/>
                </w:tcPr>
                <w:p w14:paraId="3BD6F6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245</w:t>
                  </w:r>
                </w:p>
              </w:tc>
            </w:tr>
            <w:tr w14:paraId="75755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pct"/>
                  <w:vMerge w:val="continue"/>
                  <w:tcBorders>
                    <w:tl2br w:val="nil"/>
                    <w:tr2bl w:val="nil"/>
                  </w:tcBorders>
                  <w:vAlign w:val="center"/>
                </w:tcPr>
                <w:p w14:paraId="149F65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66" w:type="pct"/>
                  <w:vMerge w:val="restart"/>
                  <w:tcBorders>
                    <w:tl2br w:val="nil"/>
                    <w:tr2bl w:val="nil"/>
                  </w:tcBorders>
                  <w:vAlign w:val="center"/>
                </w:tcPr>
                <w:p w14:paraId="68EA16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实验器皿剩余清洗废水</w:t>
                  </w:r>
                </w:p>
              </w:tc>
              <w:tc>
                <w:tcPr>
                  <w:tcW w:w="824" w:type="pct"/>
                  <w:tcBorders>
                    <w:tl2br w:val="nil"/>
                    <w:tr2bl w:val="nil"/>
                  </w:tcBorders>
                  <w:vAlign w:val="center"/>
                </w:tcPr>
                <w:p w14:paraId="7354D4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91" w:type="pct"/>
                  <w:tcBorders>
                    <w:tl2br w:val="nil"/>
                    <w:tr2bl w:val="nil"/>
                  </w:tcBorders>
                  <w:vAlign w:val="center"/>
                </w:tcPr>
                <w:p w14:paraId="2E7CC0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14（老师演示）</w:t>
                  </w:r>
                </w:p>
              </w:tc>
              <w:tc>
                <w:tcPr>
                  <w:tcW w:w="852" w:type="pct"/>
                  <w:tcBorders>
                    <w:tl2br w:val="nil"/>
                    <w:tr2bl w:val="nil"/>
                  </w:tcBorders>
                  <w:vAlign w:val="center"/>
                </w:tcPr>
                <w:p w14:paraId="69D57A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598" w:type="pct"/>
                  <w:tcBorders>
                    <w:tl2br w:val="nil"/>
                    <w:tr2bl w:val="nil"/>
                  </w:tcBorders>
                  <w:vAlign w:val="center"/>
                </w:tcPr>
                <w:p w14:paraId="7ACCDA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98</w:t>
                  </w:r>
                </w:p>
              </w:tc>
            </w:tr>
            <w:tr w14:paraId="2712A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pct"/>
                  <w:vMerge w:val="continue"/>
                  <w:tcBorders>
                    <w:tl2br w:val="nil"/>
                    <w:tr2bl w:val="nil"/>
                  </w:tcBorders>
                  <w:vAlign w:val="center"/>
                </w:tcPr>
                <w:p w14:paraId="4EBCC0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66" w:type="pct"/>
                  <w:vMerge w:val="continue"/>
                  <w:tcBorders>
                    <w:tl2br w:val="nil"/>
                    <w:tr2bl w:val="nil"/>
                  </w:tcBorders>
                  <w:vAlign w:val="center"/>
                </w:tcPr>
                <w:p w14:paraId="47B480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824" w:type="pct"/>
                  <w:tcBorders>
                    <w:tl2br w:val="nil"/>
                    <w:tr2bl w:val="nil"/>
                  </w:tcBorders>
                  <w:vAlign w:val="center"/>
                </w:tcPr>
                <w:p w14:paraId="71DD26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891" w:type="pct"/>
                  <w:tcBorders>
                    <w:tl2br w:val="nil"/>
                    <w:tr2bl w:val="nil"/>
                  </w:tcBorders>
                  <w:vAlign w:val="center"/>
                </w:tcPr>
                <w:p w14:paraId="0AB187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7（学生分组）</w:t>
                  </w:r>
                </w:p>
              </w:tc>
              <w:tc>
                <w:tcPr>
                  <w:tcW w:w="852" w:type="pct"/>
                  <w:tcBorders>
                    <w:tl2br w:val="nil"/>
                    <w:tr2bl w:val="nil"/>
                  </w:tcBorders>
                  <w:vAlign w:val="center"/>
                </w:tcPr>
                <w:p w14:paraId="1AA09B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598" w:type="pct"/>
                  <w:tcBorders>
                    <w:tl2br w:val="nil"/>
                    <w:tr2bl w:val="nil"/>
                  </w:tcBorders>
                  <w:vAlign w:val="center"/>
                </w:tcPr>
                <w:p w14:paraId="5D31C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98</w:t>
                  </w:r>
                </w:p>
              </w:tc>
            </w:tr>
            <w:tr w14:paraId="7C642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1" w:type="pct"/>
                  <w:gridSpan w:val="5"/>
                  <w:tcBorders>
                    <w:tl2br w:val="nil"/>
                    <w:tr2bl w:val="nil"/>
                  </w:tcBorders>
                  <w:vAlign w:val="center"/>
                </w:tcPr>
                <w:p w14:paraId="1E980D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合计</w:t>
                  </w:r>
                </w:p>
              </w:tc>
              <w:tc>
                <w:tcPr>
                  <w:tcW w:w="598" w:type="pct"/>
                  <w:tcBorders>
                    <w:tl2br w:val="nil"/>
                    <w:tr2bl w:val="nil"/>
                  </w:tcBorders>
                  <w:vAlign w:val="center"/>
                </w:tcPr>
                <w:p w14:paraId="18B0FD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4011</w:t>
                  </w:r>
                </w:p>
              </w:tc>
            </w:tr>
          </w:tbl>
          <w:p w14:paraId="3981799F">
            <w:pPr>
              <w:spacing w:line="360" w:lineRule="auto"/>
              <w:ind w:firstLine="482" w:firstLineChars="200"/>
              <w:rPr>
                <w:rFonts w:hint="default"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3</w:t>
            </w: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排水</w:t>
            </w:r>
          </w:p>
          <w:p w14:paraId="0DC74FA3">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本项目废水主要是实验废液和实验器皿清洗废水。</w:t>
            </w:r>
          </w:p>
          <w:p w14:paraId="48344A9B">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实验废液：实验配置用水均做危废处理，统一用带盖废液桶收集后暂存于危废暂存间，则实验废水产生量为0.2694m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/a，实验辅助用水进入酸碱中和池中和后，依托已建预处理处理后排入市政污水管网，污水产生量约占用水量的90%，则实验辅助污水产生量=6.3m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/a</w:t>
            </w:r>
            <w:r>
              <w:rPr>
                <w:rFonts w:hint="default" w:ascii="Arial" w:hAnsi="Arial" w:cs="Arial"/>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90%=5.67m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/a。</w:t>
            </w:r>
          </w:p>
          <w:p w14:paraId="5F18611F">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实验器皿清洗废水：前3次清洗废水采用带盖废液桶收集后作为危废进行处理，排放量为2.744m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/a，之后清洗废水进入预处理池处理后排放，污水产生量约占用水量的90%，则排放量=1.267m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/a</w:t>
            </w:r>
            <w:r>
              <w:rPr>
                <w:rFonts w:hint="default" w:ascii="Arial" w:hAnsi="Arial" w:cs="Arial"/>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90%=1.14m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/a。</w:t>
            </w:r>
          </w:p>
          <w:p w14:paraId="011B7A0A">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实验器具清洗为多级清洗。实验器具前3次清洗水倒入废液桶内收集，作危险废物处置；4次及以后清洗废水进入酸碱中和池中和后，依托已建预处理处理后排入市政污水管网。</w:t>
            </w:r>
          </w:p>
          <w:p w14:paraId="016AFE68">
            <w:pPr>
              <w:spacing w:line="360" w:lineRule="auto"/>
              <w:ind w:firstLine="482" w:firstLineChars="200"/>
              <w:rPr>
                <w:rFonts w:hint="default"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8、水平衡</w:t>
            </w:r>
          </w:p>
          <w:p w14:paraId="77E07586">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本项目水平衡情况下：</w:t>
            </w:r>
          </w:p>
          <w:p w14:paraId="12424A46">
            <w:pPr>
              <w:pStyle w:val="114"/>
              <w:bidi w:val="0"/>
              <w:rPr>
                <w:rFonts w:hint="default"/>
                <w:color w:val="auto"/>
                <w:lang w:val="en-US" w:eastAsia="zh-CN"/>
              </w:rPr>
            </w:pPr>
            <w:r>
              <w:rPr>
                <w:rFonts w:hint="eastAsia"/>
                <w:color w:val="auto"/>
                <w:lang w:val="en-US" w:eastAsia="zh-CN"/>
              </w:rPr>
              <w:t>项目用水及排水情况表</w:t>
            </w:r>
          </w:p>
          <w:tbl>
            <w:tblPr>
              <w:tblStyle w:val="41"/>
              <w:tblW w:w="92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514"/>
              <w:gridCol w:w="1044"/>
              <w:gridCol w:w="927"/>
              <w:gridCol w:w="1465"/>
              <w:gridCol w:w="3419"/>
            </w:tblGrid>
            <w:tr w14:paraId="63DBC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gridSpan w:val="2"/>
                  <w:tcBorders>
                    <w:tl2br w:val="nil"/>
                    <w:tr2bl w:val="nil"/>
                  </w:tcBorders>
                  <w:vAlign w:val="center"/>
                </w:tcPr>
                <w:p w14:paraId="16A98B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项目</w:t>
                  </w:r>
                </w:p>
              </w:tc>
              <w:tc>
                <w:tcPr>
                  <w:tcW w:w="1044" w:type="dxa"/>
                  <w:tcBorders>
                    <w:tl2br w:val="nil"/>
                    <w:tr2bl w:val="nil"/>
                  </w:tcBorders>
                  <w:vAlign w:val="center"/>
                </w:tcPr>
                <w:p w14:paraId="174271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用水量（m</w:t>
                  </w:r>
                  <w:r>
                    <w:rPr>
                      <w:rFonts w:hint="eastAsia" w:ascii="Times New Roman" w:hAnsi="Times New Roman" w:cs="Times New Roman"/>
                      <w:b/>
                      <w:bCs/>
                      <w:color w:val="auto"/>
                      <w:sz w:val="21"/>
                      <w:szCs w:val="21"/>
                      <w:highlight w:val="none"/>
                      <w:vertAlign w:val="superscript"/>
                      <w:lang w:val="en-US" w:eastAsia="zh-CN"/>
                    </w:rPr>
                    <w:t>3</w:t>
                  </w:r>
                  <w:r>
                    <w:rPr>
                      <w:rFonts w:hint="eastAsia" w:ascii="Times New Roman" w:hAnsi="Times New Roman" w:cs="Times New Roman"/>
                      <w:b/>
                      <w:bCs/>
                      <w:color w:val="auto"/>
                      <w:sz w:val="21"/>
                      <w:szCs w:val="21"/>
                      <w:highlight w:val="none"/>
                      <w:vertAlign w:val="baseline"/>
                      <w:lang w:val="en-US" w:eastAsia="zh-CN"/>
                    </w:rPr>
                    <w:t>/a）</w:t>
                  </w:r>
                </w:p>
              </w:tc>
              <w:tc>
                <w:tcPr>
                  <w:tcW w:w="927" w:type="dxa"/>
                  <w:tcBorders>
                    <w:tl2br w:val="nil"/>
                    <w:tr2bl w:val="nil"/>
                  </w:tcBorders>
                  <w:vAlign w:val="center"/>
                </w:tcPr>
                <w:p w14:paraId="4F3A6C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排污系数</w:t>
                  </w:r>
                </w:p>
              </w:tc>
              <w:tc>
                <w:tcPr>
                  <w:tcW w:w="1465" w:type="dxa"/>
                  <w:tcBorders>
                    <w:tl2br w:val="nil"/>
                    <w:tr2bl w:val="nil"/>
                  </w:tcBorders>
                  <w:vAlign w:val="center"/>
                </w:tcPr>
                <w:p w14:paraId="1AEC0A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排污量/危废产生量（m</w:t>
                  </w:r>
                  <w:r>
                    <w:rPr>
                      <w:rFonts w:hint="eastAsia" w:ascii="Times New Roman" w:hAnsi="Times New Roman" w:cs="Times New Roman"/>
                      <w:b/>
                      <w:bCs/>
                      <w:color w:val="auto"/>
                      <w:sz w:val="21"/>
                      <w:szCs w:val="21"/>
                      <w:highlight w:val="none"/>
                      <w:vertAlign w:val="superscript"/>
                      <w:lang w:val="en-US" w:eastAsia="zh-CN"/>
                    </w:rPr>
                    <w:t>3</w:t>
                  </w:r>
                  <w:r>
                    <w:rPr>
                      <w:rFonts w:hint="eastAsia" w:ascii="Times New Roman" w:hAnsi="Times New Roman" w:cs="Times New Roman"/>
                      <w:b/>
                      <w:bCs/>
                      <w:color w:val="auto"/>
                      <w:sz w:val="21"/>
                      <w:szCs w:val="21"/>
                      <w:highlight w:val="none"/>
                      <w:vertAlign w:val="baseline"/>
                      <w:lang w:val="en-US" w:eastAsia="zh-CN"/>
                    </w:rPr>
                    <w:t>/a）</w:t>
                  </w:r>
                </w:p>
              </w:tc>
              <w:tc>
                <w:tcPr>
                  <w:tcW w:w="3419" w:type="dxa"/>
                  <w:tcBorders>
                    <w:tl2br w:val="nil"/>
                    <w:tr2bl w:val="nil"/>
                  </w:tcBorders>
                  <w:vAlign w:val="center"/>
                </w:tcPr>
                <w:p w14:paraId="029D0D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备注</w:t>
                  </w:r>
                </w:p>
              </w:tc>
            </w:tr>
            <w:tr w14:paraId="1FECB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vMerge w:val="restart"/>
                  <w:tcBorders>
                    <w:tl2br w:val="nil"/>
                    <w:tr2bl w:val="nil"/>
                  </w:tcBorders>
                  <w:vAlign w:val="center"/>
                </w:tcPr>
                <w:p w14:paraId="3F4558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实验室用水</w:t>
                  </w:r>
                </w:p>
              </w:tc>
              <w:tc>
                <w:tcPr>
                  <w:tcW w:w="1514" w:type="dxa"/>
                  <w:tcBorders>
                    <w:tl2br w:val="nil"/>
                    <w:tr2bl w:val="nil"/>
                  </w:tcBorders>
                  <w:vAlign w:val="center"/>
                </w:tcPr>
                <w:p w14:paraId="3BBA4D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实验溶液配置用水</w:t>
                  </w:r>
                </w:p>
              </w:tc>
              <w:tc>
                <w:tcPr>
                  <w:tcW w:w="1044" w:type="dxa"/>
                  <w:tcBorders>
                    <w:tl2br w:val="nil"/>
                    <w:tr2bl w:val="nil"/>
                  </w:tcBorders>
                  <w:vAlign w:val="center"/>
                </w:tcPr>
                <w:p w14:paraId="6E8042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0.2694</w:t>
                  </w:r>
                </w:p>
              </w:tc>
              <w:tc>
                <w:tcPr>
                  <w:tcW w:w="927" w:type="dxa"/>
                  <w:tcBorders>
                    <w:tl2br w:val="nil"/>
                    <w:tr2bl w:val="nil"/>
                  </w:tcBorders>
                  <w:vAlign w:val="center"/>
                </w:tcPr>
                <w:p w14:paraId="317079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1465" w:type="dxa"/>
                  <w:tcBorders>
                    <w:tl2br w:val="nil"/>
                    <w:tr2bl w:val="nil"/>
                  </w:tcBorders>
                  <w:vAlign w:val="center"/>
                </w:tcPr>
                <w:p w14:paraId="7CDB80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0.2694（危废）</w:t>
                  </w:r>
                </w:p>
              </w:tc>
              <w:tc>
                <w:tcPr>
                  <w:tcW w:w="3419" w:type="dxa"/>
                  <w:tcBorders>
                    <w:tl2br w:val="nil"/>
                    <w:tr2bl w:val="nil"/>
                  </w:tcBorders>
                  <w:vAlign w:val="center"/>
                </w:tcPr>
                <w:p w14:paraId="457AA9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作为危废，集中收集，贮存于危废暂存间，定期交由有资质的单位处理</w:t>
                  </w:r>
                </w:p>
              </w:tc>
            </w:tr>
            <w:tr w14:paraId="2C75B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vMerge w:val="continue"/>
                  <w:tcBorders>
                    <w:tl2br w:val="nil"/>
                    <w:tr2bl w:val="nil"/>
                  </w:tcBorders>
                  <w:vAlign w:val="center"/>
                </w:tcPr>
                <w:p w14:paraId="5BC558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p>
              </w:tc>
              <w:tc>
                <w:tcPr>
                  <w:tcW w:w="1514" w:type="dxa"/>
                  <w:tcBorders>
                    <w:tl2br w:val="nil"/>
                    <w:tr2bl w:val="nil"/>
                  </w:tcBorders>
                  <w:vAlign w:val="center"/>
                </w:tcPr>
                <w:p w14:paraId="1B96E1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实验辅助用水</w:t>
                  </w:r>
                </w:p>
              </w:tc>
              <w:tc>
                <w:tcPr>
                  <w:tcW w:w="1044" w:type="dxa"/>
                  <w:tcBorders>
                    <w:tl2br w:val="nil"/>
                    <w:tr2bl w:val="nil"/>
                  </w:tcBorders>
                  <w:vAlign w:val="center"/>
                </w:tcPr>
                <w:p w14:paraId="38FCE5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6.3</w:t>
                  </w:r>
                </w:p>
              </w:tc>
              <w:tc>
                <w:tcPr>
                  <w:tcW w:w="927" w:type="dxa"/>
                  <w:tcBorders>
                    <w:tl2br w:val="nil"/>
                    <w:tr2bl w:val="nil"/>
                  </w:tcBorders>
                  <w:vAlign w:val="center"/>
                </w:tcPr>
                <w:p w14:paraId="3D45E3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0.9</w:t>
                  </w:r>
                </w:p>
              </w:tc>
              <w:tc>
                <w:tcPr>
                  <w:tcW w:w="1465" w:type="dxa"/>
                  <w:tcBorders>
                    <w:tl2br w:val="nil"/>
                    <w:tr2bl w:val="nil"/>
                  </w:tcBorders>
                  <w:vAlign w:val="center"/>
                </w:tcPr>
                <w:p w14:paraId="7EF66F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5.67</w:t>
                  </w:r>
                </w:p>
              </w:tc>
              <w:tc>
                <w:tcPr>
                  <w:tcW w:w="3419" w:type="dxa"/>
                  <w:tcBorders>
                    <w:tl2br w:val="nil"/>
                    <w:tr2bl w:val="nil"/>
                  </w:tcBorders>
                  <w:vAlign w:val="center"/>
                </w:tcPr>
                <w:p w14:paraId="6B8594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进入酸碱中和池中和后，依托已建预处理处理后排入市政污水管网</w:t>
                  </w:r>
                </w:p>
              </w:tc>
            </w:tr>
            <w:tr w14:paraId="342DEE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vMerge w:val="continue"/>
                  <w:tcBorders>
                    <w:tl2br w:val="nil"/>
                    <w:tr2bl w:val="nil"/>
                  </w:tcBorders>
                  <w:vAlign w:val="center"/>
                </w:tcPr>
                <w:p w14:paraId="60C76C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p>
              </w:tc>
              <w:tc>
                <w:tcPr>
                  <w:tcW w:w="1514" w:type="dxa"/>
                  <w:tcBorders>
                    <w:tl2br w:val="nil"/>
                    <w:tr2bl w:val="nil"/>
                  </w:tcBorders>
                  <w:vAlign w:val="center"/>
                </w:tcPr>
                <w:p w14:paraId="5F427B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实验器皿前三次清洗用水</w:t>
                  </w:r>
                </w:p>
              </w:tc>
              <w:tc>
                <w:tcPr>
                  <w:tcW w:w="1044" w:type="dxa"/>
                  <w:tcBorders>
                    <w:tl2br w:val="nil"/>
                    <w:tr2bl w:val="nil"/>
                  </w:tcBorders>
                  <w:vAlign w:val="center"/>
                </w:tcPr>
                <w:p w14:paraId="0514A2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2.744</w:t>
                  </w:r>
                </w:p>
              </w:tc>
              <w:tc>
                <w:tcPr>
                  <w:tcW w:w="927" w:type="dxa"/>
                  <w:tcBorders>
                    <w:tl2br w:val="nil"/>
                    <w:tr2bl w:val="nil"/>
                  </w:tcBorders>
                  <w:vAlign w:val="center"/>
                </w:tcPr>
                <w:p w14:paraId="01199A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1465" w:type="dxa"/>
                  <w:tcBorders>
                    <w:tl2br w:val="nil"/>
                    <w:tr2bl w:val="nil"/>
                  </w:tcBorders>
                  <w:vAlign w:val="center"/>
                </w:tcPr>
                <w:p w14:paraId="2E6D9E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2.744（危废）</w:t>
                  </w:r>
                </w:p>
              </w:tc>
              <w:tc>
                <w:tcPr>
                  <w:tcW w:w="3419" w:type="dxa"/>
                  <w:tcBorders>
                    <w:tl2br w:val="nil"/>
                    <w:tr2bl w:val="nil"/>
                  </w:tcBorders>
                  <w:vAlign w:val="center"/>
                </w:tcPr>
                <w:p w14:paraId="21E2C1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作为危废，集中收集，贮存于危废暂存间，定期交由有资质的单位处理</w:t>
                  </w:r>
                </w:p>
              </w:tc>
            </w:tr>
            <w:tr w14:paraId="5533E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vMerge w:val="continue"/>
                  <w:tcBorders>
                    <w:tl2br w:val="nil"/>
                    <w:tr2bl w:val="nil"/>
                  </w:tcBorders>
                  <w:vAlign w:val="center"/>
                </w:tcPr>
                <w:p w14:paraId="6B89B6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p>
              </w:tc>
              <w:tc>
                <w:tcPr>
                  <w:tcW w:w="1514" w:type="dxa"/>
                  <w:tcBorders>
                    <w:tl2br w:val="nil"/>
                    <w:tr2bl w:val="nil"/>
                  </w:tcBorders>
                  <w:vAlign w:val="center"/>
                </w:tcPr>
                <w:p w14:paraId="0B0D5F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第四次及以后器皿清洗用水</w:t>
                  </w:r>
                </w:p>
              </w:tc>
              <w:tc>
                <w:tcPr>
                  <w:tcW w:w="1044" w:type="dxa"/>
                  <w:tcBorders>
                    <w:tl2br w:val="nil"/>
                    <w:tr2bl w:val="nil"/>
                  </w:tcBorders>
                  <w:vAlign w:val="center"/>
                </w:tcPr>
                <w:p w14:paraId="29F62F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1.267</w:t>
                  </w:r>
                </w:p>
              </w:tc>
              <w:tc>
                <w:tcPr>
                  <w:tcW w:w="927" w:type="dxa"/>
                  <w:tcBorders>
                    <w:tl2br w:val="nil"/>
                    <w:tr2bl w:val="nil"/>
                  </w:tcBorders>
                  <w:vAlign w:val="center"/>
                </w:tcPr>
                <w:p w14:paraId="01F8C4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0.9</w:t>
                  </w:r>
                </w:p>
              </w:tc>
              <w:tc>
                <w:tcPr>
                  <w:tcW w:w="1465" w:type="dxa"/>
                  <w:tcBorders>
                    <w:tl2br w:val="nil"/>
                    <w:tr2bl w:val="nil"/>
                  </w:tcBorders>
                  <w:vAlign w:val="center"/>
                </w:tcPr>
                <w:p w14:paraId="1E5494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1.14</w:t>
                  </w:r>
                </w:p>
              </w:tc>
              <w:tc>
                <w:tcPr>
                  <w:tcW w:w="3419" w:type="dxa"/>
                  <w:tcBorders>
                    <w:tl2br w:val="nil"/>
                    <w:tr2bl w:val="nil"/>
                  </w:tcBorders>
                  <w:vAlign w:val="center"/>
                </w:tcPr>
                <w:p w14:paraId="0D349D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进入酸碱中和池中和后，依托已建预处理处理后排入市政污水管网</w:t>
                  </w:r>
                </w:p>
              </w:tc>
            </w:tr>
            <w:tr w14:paraId="5A269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gridSpan w:val="2"/>
                  <w:tcBorders>
                    <w:tl2br w:val="nil"/>
                    <w:tr2bl w:val="nil"/>
                  </w:tcBorders>
                </w:tcPr>
                <w:p w14:paraId="15EABE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合计</w:t>
                  </w:r>
                </w:p>
              </w:tc>
              <w:tc>
                <w:tcPr>
                  <w:tcW w:w="1044" w:type="dxa"/>
                  <w:tcBorders>
                    <w:tl2br w:val="nil"/>
                    <w:tr2bl w:val="nil"/>
                  </w:tcBorders>
                </w:tcPr>
                <w:p w14:paraId="275E37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10.5804</w:t>
                  </w:r>
                </w:p>
              </w:tc>
              <w:tc>
                <w:tcPr>
                  <w:tcW w:w="927" w:type="dxa"/>
                  <w:tcBorders>
                    <w:tl2br w:val="nil"/>
                    <w:tr2bl w:val="nil"/>
                  </w:tcBorders>
                </w:tcPr>
                <w:p w14:paraId="5C420B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1465" w:type="dxa"/>
                  <w:tcBorders>
                    <w:tl2br w:val="nil"/>
                    <w:tr2bl w:val="nil"/>
                  </w:tcBorders>
                </w:tcPr>
                <w:p w14:paraId="208877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6.81</w:t>
                  </w:r>
                </w:p>
              </w:tc>
              <w:tc>
                <w:tcPr>
                  <w:tcW w:w="3419" w:type="dxa"/>
                  <w:tcBorders>
                    <w:tl2br w:val="nil"/>
                    <w:tr2bl w:val="nil"/>
                  </w:tcBorders>
                </w:tcPr>
                <w:p w14:paraId="0910BA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bl>
          <w:p w14:paraId="6E0FFF59">
            <w:pPr>
              <w:spacing w:line="360" w:lineRule="auto"/>
              <w:ind w:firstLine="480" w:firstLineChars="200"/>
              <w:rPr>
                <w:rFonts w:hint="eastAsia" w:ascii="Times New Roman" w:hAnsi="Times New Roman" w:cs="Times New Roman"/>
                <w:color w:val="auto"/>
                <w:sz w:val="24"/>
                <w:szCs w:val="24"/>
                <w:highlight w:val="none"/>
              </w:rPr>
            </w:pPr>
            <w:r>
              <w:rPr>
                <w:rFonts w:ascii="Times New Roman" w:hAnsi="Times New Roman" w:cs="Times New Roman"/>
                <w:bCs/>
                <w:color w:val="auto"/>
                <w:sz w:val="24"/>
                <w:szCs w:val="24"/>
                <w:highlight w:val="none"/>
              </w:rPr>
              <w:object>
                <v:shape id="_x0000_i1025" o:spt="75" type="#_x0000_t75" style="height:270.35pt;width:427.85pt;" o:ole="t" filled="f" o:preferrelative="t" stroked="f" coordsize="21600,21600">
                  <v:path/>
                  <v:fill on="f" focussize="0,0"/>
                  <v:stroke on="f"/>
                  <v:imagedata r:id="rId16" o:title=""/>
                  <o:lock v:ext="edit" aspectratio="f"/>
                  <w10:wrap type="none"/>
                  <w10:anchorlock/>
                </v:shape>
                <o:OLEObject Type="Embed" ProgID="Visio.Drawing.11" ShapeID="_x0000_i1025" DrawAspect="Content" ObjectID="_1468075725" r:id="rId15">
                  <o:LockedField>false</o:LockedField>
                </o:OLEObject>
              </w:object>
            </w:r>
          </w:p>
          <w:p w14:paraId="67D14A63">
            <w:pPr>
              <w:pStyle w:val="119"/>
              <w:bidi w:val="0"/>
              <w:rPr>
                <w:rFonts w:hint="default"/>
                <w:color w:val="auto"/>
                <w:lang w:val="en-US" w:eastAsia="zh-CN"/>
              </w:rPr>
            </w:pPr>
            <w:r>
              <w:rPr>
                <w:rFonts w:hint="eastAsia"/>
                <w:color w:val="auto"/>
                <w:lang w:val="en-US" w:eastAsia="zh-CN"/>
              </w:rPr>
              <w:t>本项目水平衡图（m</w:t>
            </w:r>
            <w:r>
              <w:rPr>
                <w:rFonts w:hint="eastAsia"/>
                <w:color w:val="auto"/>
                <w:vertAlign w:val="superscript"/>
                <w:lang w:val="en-US" w:eastAsia="zh-CN"/>
              </w:rPr>
              <w:t>3</w:t>
            </w:r>
            <w:r>
              <w:rPr>
                <w:rFonts w:hint="eastAsia"/>
                <w:color w:val="auto"/>
                <w:lang w:val="en-US" w:eastAsia="zh-CN"/>
              </w:rPr>
              <w:t>/a）</w:t>
            </w:r>
          </w:p>
          <w:p w14:paraId="4DFB6739">
            <w:pPr>
              <w:spacing w:line="360" w:lineRule="auto"/>
              <w:ind w:firstLine="480" w:firstLineChars="200"/>
              <w:rPr>
                <w:rFonts w:hint="eastAsia" w:ascii="Times New Roman" w:hAnsi="Times New Roman" w:cs="Times New Roman"/>
                <w:color w:val="auto"/>
                <w:sz w:val="24"/>
                <w:szCs w:val="24"/>
                <w:highlight w:val="none"/>
              </w:rPr>
            </w:pPr>
            <w:r>
              <w:rPr>
                <w:rFonts w:ascii="Times New Roman" w:hAnsi="Times New Roman" w:cs="Times New Roman"/>
                <w:bCs/>
                <w:color w:val="auto"/>
                <w:sz w:val="24"/>
                <w:szCs w:val="24"/>
                <w:highlight w:val="none"/>
              </w:rPr>
              <w:object>
                <v:shape id="_x0000_i1026" o:spt="75" type="#_x0000_t75" style="height:280pt;width:420.45pt;" o:ole="t" filled="f" o:preferrelative="t" stroked="f" coordsize="21600,21600">
                  <v:path/>
                  <v:fill on="f" focussize="0,0"/>
                  <v:stroke on="f"/>
                  <v:imagedata r:id="rId18" o:title=""/>
                  <o:lock v:ext="edit" aspectratio="f"/>
                  <w10:wrap type="none"/>
                  <w10:anchorlock/>
                </v:shape>
                <o:OLEObject Type="Embed" ProgID="Visio.Drawing.11" ShapeID="_x0000_i1026" DrawAspect="Content" ObjectID="_1468075726" r:id="rId17">
                  <o:LockedField>false</o:LockedField>
                </o:OLEObject>
              </w:object>
            </w:r>
          </w:p>
          <w:p w14:paraId="506E23FB">
            <w:pPr>
              <w:pStyle w:val="119"/>
              <w:bidi w:val="0"/>
              <w:rPr>
                <w:rFonts w:hint="default"/>
                <w:color w:val="auto"/>
                <w:lang w:val="en-US" w:eastAsia="zh-CN"/>
              </w:rPr>
            </w:pPr>
            <w:r>
              <w:rPr>
                <w:rFonts w:hint="eastAsia"/>
                <w:color w:val="auto"/>
                <w:lang w:val="en-US" w:eastAsia="zh-CN"/>
              </w:rPr>
              <w:t>本项目建成后全校水平衡图（m</w:t>
            </w:r>
            <w:r>
              <w:rPr>
                <w:rFonts w:hint="eastAsia"/>
                <w:color w:val="auto"/>
                <w:vertAlign w:val="superscript"/>
                <w:lang w:val="en-US" w:eastAsia="zh-CN"/>
              </w:rPr>
              <w:t>3</w:t>
            </w:r>
            <w:r>
              <w:rPr>
                <w:rFonts w:hint="eastAsia"/>
                <w:color w:val="auto"/>
                <w:lang w:val="en-US" w:eastAsia="zh-CN"/>
              </w:rPr>
              <w:t>/a）</w:t>
            </w:r>
          </w:p>
          <w:p w14:paraId="2542339A">
            <w:pPr>
              <w:spacing w:line="360" w:lineRule="auto"/>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9、</w:t>
            </w:r>
            <w:r>
              <w:rPr>
                <w:rFonts w:ascii="Times New Roman" w:hAnsi="Times New Roman" w:cs="Times New Roman"/>
                <w:b/>
                <w:bCs/>
                <w:color w:val="auto"/>
                <w:sz w:val="24"/>
                <w:szCs w:val="24"/>
                <w:highlight w:val="none"/>
              </w:rPr>
              <w:t>依托可行性分析</w:t>
            </w:r>
          </w:p>
          <w:p w14:paraId="77E70132">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本次扩建不新增用地，预处理池依托现有。主要依托关系及可行性分析见下表：</w:t>
            </w:r>
          </w:p>
          <w:p w14:paraId="76AF1844">
            <w:pPr>
              <w:pStyle w:val="114"/>
              <w:bidi w:val="0"/>
              <w:rPr>
                <w:color w:val="auto"/>
              </w:rPr>
            </w:pPr>
            <w:r>
              <w:rPr>
                <w:rFonts w:hint="eastAsia"/>
                <w:color w:val="auto"/>
              </w:rPr>
              <w:t>项目扩建前后公辅设施依托情况一览表</w:t>
            </w:r>
          </w:p>
          <w:tbl>
            <w:tblPr>
              <w:tblStyle w:val="41"/>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1759"/>
              <w:gridCol w:w="902"/>
              <w:gridCol w:w="1206"/>
              <w:gridCol w:w="4141"/>
            </w:tblGrid>
            <w:tr w14:paraId="56E5D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84" w:type="pct"/>
                  <w:tcBorders>
                    <w:tl2br w:val="nil"/>
                    <w:tr2bl w:val="nil"/>
                  </w:tcBorders>
                  <w:vAlign w:val="center"/>
                </w:tcPr>
                <w:p w14:paraId="082F5059">
                  <w:pPr>
                    <w:jc w:val="center"/>
                    <w:rPr>
                      <w:rFonts w:ascii="Times New Roman" w:hAnsi="Times New Roman" w:cs="Times New Roman"/>
                      <w:b/>
                      <w:bCs w:val="0"/>
                      <w:color w:val="auto"/>
                      <w:szCs w:val="21"/>
                      <w:highlight w:val="none"/>
                    </w:rPr>
                  </w:pPr>
                  <w:r>
                    <w:rPr>
                      <w:rFonts w:ascii="Times New Roman" w:hAnsi="Times New Roman" w:cs="Times New Roman"/>
                      <w:b/>
                      <w:bCs w:val="0"/>
                      <w:color w:val="auto"/>
                      <w:szCs w:val="21"/>
                      <w:highlight w:val="none"/>
                    </w:rPr>
                    <w:t>公辅设施</w:t>
                  </w:r>
                </w:p>
              </w:tc>
              <w:tc>
                <w:tcPr>
                  <w:tcW w:w="948" w:type="pct"/>
                  <w:tcBorders>
                    <w:tl2br w:val="nil"/>
                    <w:tr2bl w:val="nil"/>
                  </w:tcBorders>
                  <w:vAlign w:val="center"/>
                </w:tcPr>
                <w:p w14:paraId="09DF626E">
                  <w:pPr>
                    <w:jc w:val="center"/>
                    <w:rPr>
                      <w:rFonts w:ascii="Times New Roman" w:hAnsi="Times New Roman" w:cs="Times New Roman"/>
                      <w:b/>
                      <w:bCs w:val="0"/>
                      <w:color w:val="auto"/>
                      <w:szCs w:val="21"/>
                      <w:highlight w:val="none"/>
                    </w:rPr>
                  </w:pPr>
                  <w:r>
                    <w:rPr>
                      <w:rFonts w:ascii="Times New Roman" w:hAnsi="Times New Roman" w:eastAsia="宋体" w:cs="Times New Roman"/>
                      <w:b/>
                      <w:bCs w:val="0"/>
                      <w:color w:val="auto"/>
                      <w:szCs w:val="21"/>
                      <w:highlight w:val="none"/>
                    </w:rPr>
                    <w:t>现状</w:t>
                  </w:r>
                </w:p>
              </w:tc>
              <w:tc>
                <w:tcPr>
                  <w:tcW w:w="486" w:type="pct"/>
                  <w:tcBorders>
                    <w:tl2br w:val="nil"/>
                    <w:tr2bl w:val="nil"/>
                  </w:tcBorders>
                  <w:vAlign w:val="center"/>
                </w:tcPr>
                <w:p w14:paraId="046C43D2">
                  <w:pPr>
                    <w:jc w:val="center"/>
                    <w:rPr>
                      <w:rFonts w:ascii="Times New Roman" w:hAnsi="Times New Roman" w:cs="Times New Roman"/>
                      <w:b/>
                      <w:bCs w:val="0"/>
                      <w:color w:val="auto"/>
                      <w:szCs w:val="21"/>
                      <w:highlight w:val="none"/>
                    </w:rPr>
                  </w:pPr>
                  <w:r>
                    <w:rPr>
                      <w:rFonts w:ascii="Times New Roman" w:hAnsi="Times New Roman" w:cs="Times New Roman"/>
                      <w:b/>
                      <w:bCs w:val="0"/>
                      <w:color w:val="auto"/>
                      <w:szCs w:val="21"/>
                      <w:highlight w:val="none"/>
                    </w:rPr>
                    <w:t>本次</w:t>
                  </w:r>
                  <w:r>
                    <w:rPr>
                      <w:rFonts w:hint="eastAsia" w:ascii="Times New Roman" w:hAnsi="Times New Roman" w:cs="Times New Roman"/>
                      <w:b/>
                      <w:bCs w:val="0"/>
                      <w:color w:val="auto"/>
                      <w:szCs w:val="21"/>
                      <w:highlight w:val="none"/>
                      <w:lang w:val="en-US" w:eastAsia="zh-CN"/>
                    </w:rPr>
                    <w:t>是否</w:t>
                  </w:r>
                  <w:r>
                    <w:rPr>
                      <w:rFonts w:ascii="Times New Roman" w:hAnsi="Times New Roman" w:cs="Times New Roman"/>
                      <w:b/>
                      <w:bCs w:val="0"/>
                      <w:color w:val="auto"/>
                      <w:szCs w:val="21"/>
                      <w:highlight w:val="none"/>
                    </w:rPr>
                    <w:t>扩建</w:t>
                  </w:r>
                </w:p>
              </w:tc>
              <w:tc>
                <w:tcPr>
                  <w:tcW w:w="650" w:type="pct"/>
                  <w:tcBorders>
                    <w:tl2br w:val="nil"/>
                    <w:tr2bl w:val="nil"/>
                  </w:tcBorders>
                  <w:vAlign w:val="center"/>
                </w:tcPr>
                <w:p w14:paraId="0943A6E6">
                  <w:pPr>
                    <w:jc w:val="center"/>
                    <w:rPr>
                      <w:rFonts w:ascii="Times New Roman" w:hAnsi="Times New Roman" w:cs="Times New Roman"/>
                      <w:b/>
                      <w:bCs w:val="0"/>
                      <w:color w:val="auto"/>
                      <w:szCs w:val="21"/>
                      <w:highlight w:val="none"/>
                    </w:rPr>
                  </w:pPr>
                  <w:r>
                    <w:rPr>
                      <w:rFonts w:ascii="Times New Roman" w:hAnsi="Times New Roman" w:cs="Times New Roman"/>
                      <w:b/>
                      <w:bCs w:val="0"/>
                      <w:color w:val="auto"/>
                      <w:szCs w:val="21"/>
                      <w:highlight w:val="none"/>
                    </w:rPr>
                    <w:t>扩建后</w:t>
                  </w:r>
                </w:p>
              </w:tc>
              <w:tc>
                <w:tcPr>
                  <w:tcW w:w="2231" w:type="pct"/>
                  <w:tcBorders>
                    <w:tl2br w:val="nil"/>
                    <w:tr2bl w:val="nil"/>
                  </w:tcBorders>
                  <w:vAlign w:val="center"/>
                </w:tcPr>
                <w:p w14:paraId="0040A595">
                  <w:pPr>
                    <w:jc w:val="center"/>
                    <w:rPr>
                      <w:rFonts w:ascii="Times New Roman" w:hAnsi="Times New Roman" w:cs="Times New Roman"/>
                      <w:b/>
                      <w:bCs w:val="0"/>
                      <w:color w:val="auto"/>
                      <w:szCs w:val="21"/>
                      <w:highlight w:val="none"/>
                    </w:rPr>
                  </w:pPr>
                  <w:r>
                    <w:rPr>
                      <w:rFonts w:hint="eastAsia" w:ascii="Times New Roman" w:hAnsi="Times New Roman" w:cs="Times New Roman"/>
                      <w:b/>
                      <w:bCs w:val="0"/>
                      <w:color w:val="auto"/>
                      <w:szCs w:val="21"/>
                      <w:highlight w:val="none"/>
                    </w:rPr>
                    <w:t>依托可行性</w:t>
                  </w:r>
                </w:p>
              </w:tc>
            </w:tr>
            <w:tr w14:paraId="5FBF8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pct"/>
                  <w:tcBorders>
                    <w:tl2br w:val="nil"/>
                    <w:tr2bl w:val="nil"/>
                  </w:tcBorders>
                  <w:vAlign w:val="center"/>
                </w:tcPr>
                <w:p w14:paraId="7B6C8FD5">
                  <w:pPr>
                    <w:jc w:val="center"/>
                    <w:rPr>
                      <w:rFonts w:hint="eastAsia" w:ascii="Times New Roman" w:hAnsi="Times New Roman" w:cs="Times New Roman" w:eastAsiaTheme="minorEastAsia"/>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预处理池</w:t>
                  </w:r>
                </w:p>
              </w:tc>
              <w:tc>
                <w:tcPr>
                  <w:tcW w:w="948" w:type="pct"/>
                  <w:tcBorders>
                    <w:tl2br w:val="nil"/>
                    <w:tr2bl w:val="nil"/>
                  </w:tcBorders>
                  <w:vAlign w:val="center"/>
                </w:tcPr>
                <w:p w14:paraId="5071B055">
                  <w:pPr>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学校在南侧校门口设置了1座容积200m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lang w:val="en-US" w:eastAsia="zh-CN"/>
                    </w:rPr>
                    <w:t>的预处理池。</w:t>
                  </w:r>
                </w:p>
              </w:tc>
              <w:tc>
                <w:tcPr>
                  <w:tcW w:w="486" w:type="pct"/>
                  <w:tcBorders>
                    <w:tl2br w:val="nil"/>
                    <w:tr2bl w:val="nil"/>
                  </w:tcBorders>
                  <w:vAlign w:val="center"/>
                </w:tcPr>
                <w:p w14:paraId="017714F4">
                  <w:pPr>
                    <w:jc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不进行扩建</w:t>
                  </w:r>
                </w:p>
              </w:tc>
              <w:tc>
                <w:tcPr>
                  <w:tcW w:w="650" w:type="pct"/>
                  <w:tcBorders>
                    <w:tl2br w:val="nil"/>
                    <w:tr2bl w:val="nil"/>
                  </w:tcBorders>
                  <w:vAlign w:val="center"/>
                </w:tcPr>
                <w:p w14:paraId="11BF366A">
                  <w:pPr>
                    <w:jc w:val="center"/>
                    <w:rPr>
                      <w:rFonts w:hint="eastAsia" w:ascii="Times New Roman" w:hAnsi="Times New Roman" w:cs="Times New Roman" w:eastAsiaTheme="minorEastAsia"/>
                      <w:bCs/>
                      <w:color w:val="auto"/>
                      <w:sz w:val="21"/>
                      <w:szCs w:val="21"/>
                      <w:highlight w:val="none"/>
                      <w:lang w:eastAsia="zh-CN"/>
                    </w:rPr>
                  </w:pPr>
                  <w:r>
                    <w:rPr>
                      <w:rFonts w:hint="eastAsia" w:ascii="Times New Roman" w:hAnsi="Times New Roman" w:cs="Times New Roman"/>
                      <w:bCs/>
                      <w:color w:val="auto"/>
                      <w:sz w:val="21"/>
                      <w:szCs w:val="21"/>
                      <w:highlight w:val="none"/>
                    </w:rPr>
                    <w:t>依托</w:t>
                  </w:r>
                  <w:r>
                    <w:rPr>
                      <w:rFonts w:hint="eastAsia" w:ascii="Times New Roman" w:hAnsi="Times New Roman" w:cs="Times New Roman"/>
                      <w:bCs/>
                      <w:color w:val="auto"/>
                      <w:sz w:val="21"/>
                      <w:szCs w:val="21"/>
                      <w:highlight w:val="none"/>
                      <w:lang w:val="en-US" w:eastAsia="zh-CN"/>
                    </w:rPr>
                    <w:t>原有</w:t>
                  </w:r>
                </w:p>
              </w:tc>
              <w:tc>
                <w:tcPr>
                  <w:tcW w:w="2231" w:type="pct"/>
                  <w:tcBorders>
                    <w:tl2br w:val="nil"/>
                    <w:tr2bl w:val="nil"/>
                  </w:tcBorders>
                  <w:vAlign w:val="center"/>
                </w:tcPr>
                <w:p w14:paraId="3B10E090">
                  <w:pPr>
                    <w:jc w:val="center"/>
                    <w:rPr>
                      <w:rFonts w:hint="default" w:ascii="Times New Roman" w:hAnsi="Times New Roman" w:cs="Times New Roman" w:eastAsiaTheme="minorEastAsia"/>
                      <w:bCs/>
                      <w:color w:val="auto"/>
                      <w:sz w:val="21"/>
                      <w:szCs w:val="21"/>
                      <w:highlight w:val="none"/>
                      <w:lang w:val="en-US" w:eastAsia="zh-CN"/>
                    </w:rPr>
                  </w:pPr>
                  <w:r>
                    <w:rPr>
                      <w:rFonts w:hint="eastAsia"/>
                      <w:color w:val="auto"/>
                      <w:sz w:val="21"/>
                      <w:szCs w:val="21"/>
                      <w:lang w:val="en-US" w:eastAsia="zh-CN"/>
                    </w:rPr>
                    <w:t>本项目改建前后实验室废水产生量不变，目前已建预处理池运行正常，</w:t>
                  </w:r>
                  <w:r>
                    <w:rPr>
                      <w:rFonts w:hint="eastAsia" w:ascii="Times New Roman" w:hAnsi="Times New Roman" w:cs="Times New Roman"/>
                      <w:color w:val="auto"/>
                      <w:sz w:val="21"/>
                      <w:szCs w:val="21"/>
                      <w:highlight w:val="none"/>
                      <w:lang w:val="en-US" w:eastAsia="zh-CN"/>
                    </w:rPr>
                    <w:t>根据四川海德汇环保科技有限公司2025年9月1日~2日对废水总排口的水质进行监测结果可以看出</w:t>
                  </w:r>
                  <w:r>
                    <w:rPr>
                      <w:rFonts w:hint="eastAsia" w:ascii="Times New Roman" w:hAnsi="Times New Roman" w:cs="Times New Roman"/>
                      <w:color w:val="auto"/>
                      <w:sz w:val="21"/>
                      <w:szCs w:val="21"/>
                      <w:highlight w:val="none"/>
                    </w:rPr>
                    <w:t>项目</w:t>
                  </w:r>
                  <w:r>
                    <w:rPr>
                      <w:rFonts w:hint="eastAsia" w:ascii="Times New Roman" w:hAnsi="Times New Roman" w:cs="Times New Roman"/>
                      <w:color w:val="auto"/>
                      <w:sz w:val="21"/>
                      <w:szCs w:val="21"/>
                      <w:highlight w:val="none"/>
                      <w:lang w:val="en-US" w:eastAsia="zh-CN"/>
                    </w:rPr>
                    <w:t>总</w:t>
                  </w:r>
                  <w:r>
                    <w:rPr>
                      <w:rFonts w:hint="eastAsia" w:ascii="Times New Roman" w:hAnsi="Times New Roman" w:cs="Times New Roman"/>
                      <w:color w:val="auto"/>
                      <w:sz w:val="21"/>
                      <w:szCs w:val="21"/>
                      <w:highlight w:val="none"/>
                    </w:rPr>
                    <w:t>排口水质各监测因子均能满足</w:t>
                  </w:r>
                  <w:r>
                    <w:rPr>
                      <w:rFonts w:hint="eastAsia" w:ascii="Times New Roman" w:hAnsi="Times New Roman" w:cs="Times New Roman"/>
                      <w:color w:val="auto"/>
                      <w:sz w:val="21"/>
                      <w:szCs w:val="21"/>
                      <w:highlight w:val="none"/>
                      <w:lang w:val="en-US" w:eastAsia="zh-CN"/>
                    </w:rPr>
                    <w:t>《污水综合排放标准》（GB8978-1996）</w:t>
                  </w:r>
                  <w:r>
                    <w:rPr>
                      <w:rFonts w:ascii="Times New Roman" w:hAnsi="Times New Roman" w:cs="Times New Roman"/>
                      <w:color w:val="auto"/>
                      <w:sz w:val="21"/>
                      <w:szCs w:val="21"/>
                      <w:highlight w:val="none"/>
                    </w:rPr>
                    <w:t>，氨氮、总磷执行《污水排入城镇下水道水质标准》（GB/T31962-2015）中B级限值要求。</w:t>
                  </w:r>
                  <w:r>
                    <w:rPr>
                      <w:rFonts w:hint="eastAsia" w:ascii="Times New Roman" w:hAnsi="Times New Roman" w:cs="Times New Roman"/>
                      <w:color w:val="auto"/>
                      <w:sz w:val="21"/>
                      <w:szCs w:val="21"/>
                      <w:highlight w:val="none"/>
                      <w:lang w:val="en-US" w:eastAsia="zh-CN"/>
                    </w:rPr>
                    <w:t>因此依托可行。</w:t>
                  </w:r>
                </w:p>
              </w:tc>
            </w:tr>
            <w:tr w14:paraId="5380B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pct"/>
                  <w:tcBorders>
                    <w:tl2br w:val="nil"/>
                    <w:tr2bl w:val="nil"/>
                  </w:tcBorders>
                  <w:vAlign w:val="center"/>
                </w:tcPr>
                <w:p w14:paraId="11467C6B">
                  <w:pPr>
                    <w:jc w:val="center"/>
                    <w:rPr>
                      <w:rFonts w:hint="default"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供水</w:t>
                  </w:r>
                </w:p>
              </w:tc>
              <w:tc>
                <w:tcPr>
                  <w:tcW w:w="948" w:type="pct"/>
                  <w:tcBorders>
                    <w:tl2br w:val="nil"/>
                    <w:tr2bl w:val="nil"/>
                  </w:tcBorders>
                  <w:vAlign w:val="center"/>
                </w:tcPr>
                <w:p w14:paraId="4D6F6D30">
                  <w:pPr>
                    <w:jc w:val="center"/>
                    <w:rPr>
                      <w:rFonts w:hint="default"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由市政供水</w:t>
                  </w:r>
                </w:p>
              </w:tc>
              <w:tc>
                <w:tcPr>
                  <w:tcW w:w="486" w:type="pct"/>
                  <w:tcBorders>
                    <w:tl2br w:val="nil"/>
                    <w:tr2bl w:val="nil"/>
                  </w:tcBorders>
                  <w:vAlign w:val="center"/>
                </w:tcPr>
                <w:p w14:paraId="5EB0F103">
                  <w:pPr>
                    <w:jc w:val="center"/>
                    <w:rPr>
                      <w:rFonts w:hint="eastAsia" w:ascii="Times New Roman" w:hAnsi="Times New Roman" w:cs="Times New Roman" w:eastAsiaTheme="minorEastAsia"/>
                      <w:bCs/>
                      <w:color w:val="auto"/>
                      <w:highlight w:val="none"/>
                      <w:lang w:val="en-US" w:eastAsia="zh-CN"/>
                    </w:rPr>
                  </w:pPr>
                  <w:r>
                    <w:rPr>
                      <w:rFonts w:hint="eastAsia" w:ascii="Times New Roman" w:hAnsi="Times New Roman" w:cs="Times New Roman"/>
                      <w:bCs/>
                      <w:color w:val="auto"/>
                      <w:highlight w:val="none"/>
                      <w:lang w:val="en-US" w:eastAsia="zh-CN"/>
                    </w:rPr>
                    <w:t>/</w:t>
                  </w:r>
                </w:p>
              </w:tc>
              <w:tc>
                <w:tcPr>
                  <w:tcW w:w="650" w:type="pct"/>
                  <w:tcBorders>
                    <w:tl2br w:val="nil"/>
                    <w:tr2bl w:val="nil"/>
                  </w:tcBorders>
                  <w:vAlign w:val="center"/>
                </w:tcPr>
                <w:p w14:paraId="1F5EE1F7">
                  <w:pPr>
                    <w:jc w:val="center"/>
                    <w:rPr>
                      <w:rFonts w:hint="eastAsia" w:ascii="Times New Roman" w:hAnsi="Times New Roman" w:cs="Times New Roman"/>
                      <w:bCs/>
                      <w:color w:val="auto"/>
                      <w:highlight w:val="none"/>
                    </w:rPr>
                  </w:pPr>
                  <w:r>
                    <w:rPr>
                      <w:rFonts w:hint="eastAsia" w:ascii="Times New Roman" w:hAnsi="Times New Roman" w:cs="Times New Roman"/>
                      <w:bCs/>
                      <w:color w:val="auto"/>
                      <w:highlight w:val="none"/>
                    </w:rPr>
                    <w:t>依托</w:t>
                  </w:r>
                  <w:r>
                    <w:rPr>
                      <w:rFonts w:hint="eastAsia" w:ascii="Times New Roman" w:hAnsi="Times New Roman" w:cs="Times New Roman"/>
                      <w:bCs/>
                      <w:color w:val="auto"/>
                      <w:highlight w:val="none"/>
                      <w:lang w:val="en-US" w:eastAsia="zh-CN"/>
                    </w:rPr>
                    <w:t>原有</w:t>
                  </w:r>
                </w:p>
              </w:tc>
              <w:tc>
                <w:tcPr>
                  <w:tcW w:w="2231" w:type="pct"/>
                  <w:tcBorders>
                    <w:tl2br w:val="nil"/>
                    <w:tr2bl w:val="nil"/>
                  </w:tcBorders>
                  <w:vAlign w:val="center"/>
                </w:tcPr>
                <w:p w14:paraId="4A64F7E5">
                  <w:pPr>
                    <w:jc w:val="center"/>
                    <w:rPr>
                      <w:rFonts w:hint="eastAsia"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用水来源于市政供水，满足要求</w:t>
                  </w:r>
                </w:p>
              </w:tc>
            </w:tr>
            <w:tr w14:paraId="7A6DF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pct"/>
                  <w:tcBorders>
                    <w:tl2br w:val="nil"/>
                    <w:tr2bl w:val="nil"/>
                  </w:tcBorders>
                  <w:vAlign w:val="center"/>
                </w:tcPr>
                <w:p w14:paraId="25D06CBD">
                  <w:pPr>
                    <w:jc w:val="center"/>
                    <w:rPr>
                      <w:rFonts w:hint="eastAsia"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供电</w:t>
                  </w:r>
                </w:p>
              </w:tc>
              <w:tc>
                <w:tcPr>
                  <w:tcW w:w="948" w:type="pct"/>
                  <w:tcBorders>
                    <w:tl2br w:val="nil"/>
                    <w:tr2bl w:val="nil"/>
                  </w:tcBorders>
                  <w:vAlign w:val="center"/>
                </w:tcPr>
                <w:p w14:paraId="5023086E">
                  <w:pPr>
                    <w:jc w:val="center"/>
                    <w:rPr>
                      <w:rFonts w:hint="default" w:ascii="Times New Roman" w:hAnsi="Times New Roman" w:cs="Times New Roman"/>
                      <w:bCs/>
                      <w:color w:val="auto"/>
                      <w:szCs w:val="21"/>
                      <w:highlight w:val="none"/>
                      <w:lang w:val="en-US"/>
                    </w:rPr>
                  </w:pPr>
                  <w:r>
                    <w:rPr>
                      <w:rFonts w:hint="eastAsia" w:ascii="Times New Roman" w:hAnsi="Times New Roman" w:cs="Times New Roman"/>
                      <w:bCs/>
                      <w:color w:val="auto"/>
                      <w:szCs w:val="21"/>
                      <w:highlight w:val="none"/>
                      <w:lang w:val="en-US" w:eastAsia="zh-CN"/>
                    </w:rPr>
                    <w:t>由市政电网供给</w:t>
                  </w:r>
                </w:p>
              </w:tc>
              <w:tc>
                <w:tcPr>
                  <w:tcW w:w="486" w:type="pct"/>
                  <w:tcBorders>
                    <w:tl2br w:val="nil"/>
                    <w:tr2bl w:val="nil"/>
                  </w:tcBorders>
                  <w:vAlign w:val="center"/>
                </w:tcPr>
                <w:p w14:paraId="7F52B5E7">
                  <w:pPr>
                    <w:jc w:val="center"/>
                    <w:rPr>
                      <w:rFonts w:hint="eastAsia" w:ascii="Times New Roman" w:hAnsi="Times New Roman" w:cs="Times New Roman" w:eastAsiaTheme="minorEastAsia"/>
                      <w:bCs/>
                      <w:color w:val="auto"/>
                      <w:highlight w:val="none"/>
                      <w:lang w:val="en-US" w:eastAsia="zh-CN"/>
                    </w:rPr>
                  </w:pPr>
                  <w:r>
                    <w:rPr>
                      <w:rFonts w:hint="eastAsia" w:ascii="Times New Roman" w:hAnsi="Times New Roman" w:cs="Times New Roman"/>
                      <w:bCs/>
                      <w:color w:val="auto"/>
                      <w:highlight w:val="none"/>
                      <w:lang w:val="en-US" w:eastAsia="zh-CN"/>
                    </w:rPr>
                    <w:t>/</w:t>
                  </w:r>
                </w:p>
              </w:tc>
              <w:tc>
                <w:tcPr>
                  <w:tcW w:w="650" w:type="pct"/>
                  <w:tcBorders>
                    <w:tl2br w:val="nil"/>
                    <w:tr2bl w:val="nil"/>
                  </w:tcBorders>
                  <w:vAlign w:val="center"/>
                </w:tcPr>
                <w:p w14:paraId="59442EC5">
                  <w:pPr>
                    <w:jc w:val="center"/>
                    <w:rPr>
                      <w:rFonts w:hint="eastAsia" w:ascii="Times New Roman" w:hAnsi="Times New Roman" w:cs="Times New Roman"/>
                      <w:bCs/>
                      <w:color w:val="auto"/>
                      <w:highlight w:val="none"/>
                    </w:rPr>
                  </w:pPr>
                  <w:r>
                    <w:rPr>
                      <w:rFonts w:hint="eastAsia" w:ascii="Times New Roman" w:hAnsi="Times New Roman" w:cs="Times New Roman"/>
                      <w:bCs/>
                      <w:color w:val="auto"/>
                      <w:highlight w:val="none"/>
                    </w:rPr>
                    <w:t>依托</w:t>
                  </w:r>
                  <w:r>
                    <w:rPr>
                      <w:rFonts w:hint="eastAsia" w:ascii="Times New Roman" w:hAnsi="Times New Roman" w:cs="Times New Roman"/>
                      <w:bCs/>
                      <w:color w:val="auto"/>
                      <w:highlight w:val="none"/>
                      <w:lang w:val="en-US" w:eastAsia="zh-CN"/>
                    </w:rPr>
                    <w:t>原有</w:t>
                  </w:r>
                </w:p>
              </w:tc>
              <w:tc>
                <w:tcPr>
                  <w:tcW w:w="2231" w:type="pct"/>
                  <w:tcBorders>
                    <w:tl2br w:val="nil"/>
                    <w:tr2bl w:val="nil"/>
                  </w:tcBorders>
                  <w:vAlign w:val="center"/>
                </w:tcPr>
                <w:p w14:paraId="331D4D73">
                  <w:pPr>
                    <w:jc w:val="center"/>
                    <w:rPr>
                      <w:rFonts w:hint="eastAsia"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用电来源于市政供电，满足要求</w:t>
                  </w:r>
                </w:p>
              </w:tc>
            </w:tr>
          </w:tbl>
          <w:p w14:paraId="72B376F2">
            <w:pPr>
              <w:spacing w:line="360" w:lineRule="auto"/>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9、总平面布置合理性分析</w:t>
            </w:r>
          </w:p>
          <w:p w14:paraId="31E729B3">
            <w:pPr>
              <w:spacing w:line="360" w:lineRule="auto"/>
              <w:ind w:firstLine="482" w:firstLineChars="200"/>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1、功能布局</w:t>
            </w:r>
          </w:p>
          <w:p w14:paraId="42ADDA9F">
            <w:pPr>
              <w:spacing w:line="360" w:lineRule="auto"/>
              <w:ind w:firstLine="480" w:firstLineChars="200"/>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本项目实验楼位于学校西南侧，实验楼共计6层，化学实验室布置在1~2层，主要布置有实验室、实验准备室、药品与仪器室，便于教具及化学品取用，减少化学药品取用过程中的物料泄漏风险；生物实验室布置在3层，物理实验室布置在4~5层，与之配套的器具存放间布置于实验室旁，便于教具及化学品取用，减少化学药品取用过程中物料漫漏风险；同时由于化学实验过程中危险废物产生量相对较大，因此与实验室配套的危险暂存间布置于实验楼2楼，便于危险废物转运，减少转运过程中危险废物泄漏风险。</w:t>
            </w:r>
          </w:p>
          <w:p w14:paraId="4E65AB66">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hint="eastAsia" w:ascii="Times New Roman" w:hAnsi="Times New Roman" w:cs="Times New Roman"/>
                <w:color w:val="auto"/>
                <w:sz w:val="24"/>
                <w:szCs w:val="24"/>
                <w:highlight w:val="none"/>
                <w:lang w:val="en-US" w:eastAsia="zh-CN"/>
              </w:rPr>
              <w:t>综上，项目在平面布局上考虑化学品及危险废物转运造成的泄漏隐患，化学品及危险废物暂存场布设时所尽量靠近使用点位及产废点位，减少转运路线长度，尽量减少转运过程中漫漏风险，项目总平面布局较为合理。</w:t>
            </w:r>
          </w:p>
        </w:tc>
      </w:tr>
      <w:tr w14:paraId="18F8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410" w:type="pct"/>
            <w:vAlign w:val="center"/>
          </w:tcPr>
          <w:p w14:paraId="27695AC4">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工艺流程和产排污环节</w:t>
            </w:r>
          </w:p>
        </w:tc>
        <w:tc>
          <w:tcPr>
            <w:tcW w:w="4590" w:type="pct"/>
          </w:tcPr>
          <w:p w14:paraId="074F683C">
            <w:pPr>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cs="Times New Roman"/>
                <w:b/>
                <w:color w:val="auto"/>
                <w:sz w:val="24"/>
                <w:szCs w:val="24"/>
                <w:highlight w:val="none"/>
              </w:rPr>
              <w:t>一、施工工艺流程及产污环节</w:t>
            </w:r>
          </w:p>
          <w:p w14:paraId="1ADF1033">
            <w:pPr>
              <w:spacing w:line="360" w:lineRule="auto"/>
              <w:ind w:firstLine="48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1、施工工艺流程及产污位置</w:t>
            </w:r>
          </w:p>
          <w:p w14:paraId="6C41B32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本项目工艺流程包括基础工程、主体工程、装饰工程、设备安装等。</w:t>
            </w:r>
            <w:r>
              <w:rPr>
                <w:rFonts w:hint="default" w:ascii="Times New Roman" w:hAnsi="Times New Roman" w:cs="Times New Roman"/>
                <w:bCs/>
                <w:color w:val="auto"/>
                <w:sz w:val="24"/>
              </w:rPr>
              <w:t>施工期不设食宿，</w:t>
            </w:r>
            <w:r>
              <w:rPr>
                <w:rFonts w:hint="default" w:ascii="Times New Roman" w:hAnsi="Times New Roman" w:cs="Times New Roman"/>
                <w:color w:val="auto"/>
                <w:sz w:val="24"/>
              </w:rPr>
              <w:t>工艺流程及产污情况如图2-</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所示。</w:t>
            </w:r>
          </w:p>
          <w:p w14:paraId="01984B67">
            <w:pPr>
              <w:spacing w:line="276" w:lineRule="auto"/>
              <w:jc w:val="center"/>
              <w:rPr>
                <w:rFonts w:hint="default" w:ascii="Times New Roman" w:hAnsi="Times New Roman" w:eastAsia="宋体" w:cs="Times New Roman"/>
                <w:color w:val="auto"/>
                <w:lang w:eastAsia="zh-CN"/>
              </w:rPr>
            </w:pPr>
            <w:r>
              <w:rPr>
                <w:rFonts w:ascii="Times New Roman" w:hAnsi="Times New Roman" w:cs="Times New Roman"/>
                <w:bCs/>
                <w:color w:val="auto"/>
                <w:sz w:val="24"/>
                <w:szCs w:val="24"/>
                <w:highlight w:val="none"/>
              </w:rPr>
              <w:object>
                <v:shape id="_x0000_i1027" o:spt="75" type="#_x0000_t75" style="height:271.85pt;width:442.25pt;" o:ole="t" filled="f" o:preferrelative="t" stroked="f" coordsize="21600,21600">
                  <v:path/>
                  <v:fill on="f" focussize="0,0"/>
                  <v:stroke on="f"/>
                  <v:imagedata r:id="rId20" o:title=""/>
                  <o:lock v:ext="edit" aspectratio="f"/>
                  <w10:wrap type="none"/>
                  <w10:anchorlock/>
                </v:shape>
                <o:OLEObject Type="Embed" ProgID="Visio.Drawing.11" ShapeID="_x0000_i1027" DrawAspect="Content" ObjectID="_1468075727" r:id="rId19">
                  <o:LockedField>false</o:LockedField>
                </o:OLEObject>
              </w:object>
            </w:r>
          </w:p>
          <w:p w14:paraId="0EA285EC">
            <w:pPr>
              <w:pStyle w:val="119"/>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cs="Times New Roman"/>
                <w:color w:val="auto"/>
              </w:rPr>
            </w:pPr>
            <w:bookmarkStart w:id="3" w:name="_Ref290584365"/>
            <w:r>
              <w:rPr>
                <w:rFonts w:hint="default" w:ascii="Times New Roman" w:hAnsi="Times New Roman" w:cs="Times New Roman"/>
                <w:color w:val="auto"/>
              </w:rPr>
              <w:t>项目施工期工艺流程及产污位置图</w:t>
            </w:r>
            <w:bookmarkEnd w:id="3"/>
          </w:p>
          <w:p w14:paraId="42A2ED2A">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主要工序简述：</w:t>
            </w:r>
          </w:p>
          <w:p w14:paraId="3B4F3F77">
            <w:pPr>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（1）基础工程</w:t>
            </w:r>
          </w:p>
          <w:p w14:paraId="33F68718">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iCs/>
                <w:color w:val="auto"/>
                <w:sz w:val="24"/>
              </w:rPr>
              <w:t>在</w:t>
            </w:r>
            <w:r>
              <w:rPr>
                <w:rFonts w:hint="default" w:ascii="Times New Roman" w:hAnsi="Times New Roman" w:cs="Times New Roman"/>
                <w:bCs/>
                <w:color w:val="auto"/>
                <w:sz w:val="24"/>
              </w:rPr>
              <w:t>基础开挖、地基处理与基础施工时，由于挖土机、运土卡车等施工机械的运行，将产生一定的噪声；同时产生扬尘，属无组织面源排放，源强不易确定；基础开挖引起原有土地利用类型的改变，会造成生态变化并引起一定程度的水土流失</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施工机械冲洗产生施工废水，</w:t>
            </w:r>
            <w:r>
              <w:rPr>
                <w:rFonts w:hint="default" w:ascii="Times New Roman" w:hAnsi="Times New Roman" w:cs="Times New Roman"/>
                <w:bCs/>
                <w:color w:val="auto"/>
                <w:sz w:val="24"/>
              </w:rPr>
              <w:t>同时产生施工人员生活污水和生活垃圾。</w:t>
            </w:r>
          </w:p>
          <w:p w14:paraId="5CC90F8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（2）主体工程</w:t>
            </w:r>
          </w:p>
          <w:p w14:paraId="203C2152">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卷扬机、钢筋切割机等施工机械的运行过程中将产生一定强度的噪声；在</w:t>
            </w:r>
            <w:r>
              <w:rPr>
                <w:rFonts w:hint="eastAsia" w:ascii="Times New Roman" w:hAnsi="Times New Roman" w:cs="Times New Roman"/>
                <w:color w:val="auto"/>
                <w:sz w:val="24"/>
                <w:lang w:val="en-US" w:eastAsia="zh-CN"/>
              </w:rPr>
              <w:t>土石方</w:t>
            </w:r>
            <w:r>
              <w:rPr>
                <w:rFonts w:hint="default" w:ascii="Times New Roman" w:hAnsi="Times New Roman" w:cs="Times New Roman"/>
                <w:color w:val="auto"/>
                <w:sz w:val="24"/>
              </w:rPr>
              <w:t>堆场、建材搬运和汽车运输过程中会产生扬尘等环境问题</w:t>
            </w:r>
            <w:r>
              <w:rPr>
                <w:rFonts w:hint="default" w:ascii="Times New Roman" w:hAnsi="Times New Roman" w:cs="Times New Roman"/>
                <w:color w:val="auto"/>
                <w:sz w:val="24"/>
                <w:lang w:eastAsia="zh-CN"/>
              </w:rPr>
              <w:t>，</w:t>
            </w:r>
            <w:r>
              <w:rPr>
                <w:rFonts w:hint="default" w:ascii="Times New Roman" w:hAnsi="Times New Roman" w:cs="Times New Roman"/>
                <w:bCs/>
                <w:color w:val="auto"/>
                <w:sz w:val="24"/>
                <w:lang w:val="en-US" w:eastAsia="zh-CN"/>
              </w:rPr>
              <w:t>主体工程建筑过程中会产生建筑垃圾。</w:t>
            </w:r>
          </w:p>
          <w:p w14:paraId="3132B87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（3）装饰工程</w:t>
            </w:r>
          </w:p>
          <w:p w14:paraId="756E73E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在对构筑物的室内外进行装修时（如表面粉刷、油漆、喷涂、裱糊、镶贴装饰等），钻机、电锤、切割机等产生噪声；油漆、喷涂、建筑及装饰材料等产生废气及废弃物料。</w:t>
            </w:r>
          </w:p>
          <w:p w14:paraId="3B91C04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（4）设备安装</w:t>
            </w:r>
          </w:p>
          <w:p w14:paraId="7FAF8F08">
            <w:pPr>
              <w:spacing w:line="360" w:lineRule="auto"/>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rPr>
              <w:t>主要包括维修设备以及配套环保设备安装，其主要废物为废包装材料、设备安装及调试噪声。</w:t>
            </w:r>
          </w:p>
          <w:p w14:paraId="21AAC6AD">
            <w:pPr>
              <w:spacing w:line="360" w:lineRule="auto"/>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二、营运期工艺流程及产污环节</w:t>
            </w:r>
          </w:p>
          <w:p w14:paraId="1A37BA4C">
            <w:pPr>
              <w:spacing w:line="360" w:lineRule="auto"/>
              <w:ind w:firstLine="48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1、营运期工艺流程</w:t>
            </w:r>
          </w:p>
          <w:p w14:paraId="14267B3A">
            <w:pPr>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Times New Roman" w:hAnsi="Times New Roman" w:cs="Times New Roman"/>
                <w:b w:val="0"/>
                <w:bCs w:val="0"/>
                <w:color w:val="auto"/>
                <w:sz w:val="24"/>
                <w:szCs w:val="24"/>
                <w:highlight w:val="none"/>
                <w:lang w:eastAsia="zh-CN"/>
              </w:rPr>
            </w:pPr>
            <w:r>
              <w:rPr>
                <w:rFonts w:ascii="宋体" w:hAnsi="宋体" w:eastAsia="宋体" w:cs="宋体"/>
                <w:color w:val="auto"/>
                <w:spacing w:val="-1"/>
                <w:sz w:val="24"/>
                <w:szCs w:val="24"/>
              </w:rPr>
              <w:t>本项目教学中涉及实验的课程包括物理、化学和生物课程，实验室均</w:t>
            </w:r>
            <w:r>
              <w:rPr>
                <w:rFonts w:ascii="宋体" w:hAnsi="宋体" w:eastAsia="宋体" w:cs="宋体"/>
                <w:color w:val="auto"/>
                <w:sz w:val="24"/>
                <w:szCs w:val="24"/>
              </w:rPr>
              <w:t>位于</w:t>
            </w:r>
            <w:r>
              <w:rPr>
                <w:rFonts w:hint="eastAsia" w:ascii="宋体" w:hAnsi="宋体" w:eastAsia="宋体" w:cs="宋体"/>
                <w:color w:val="auto"/>
                <w:sz w:val="24"/>
                <w:szCs w:val="24"/>
                <w:lang w:val="en-US" w:eastAsia="zh-CN"/>
              </w:rPr>
              <w:t>实验</w:t>
            </w:r>
            <w:r>
              <w:rPr>
                <w:rFonts w:ascii="宋体" w:hAnsi="宋体" w:eastAsia="宋体" w:cs="宋体"/>
                <w:color w:val="auto"/>
                <w:sz w:val="24"/>
                <w:szCs w:val="24"/>
              </w:rPr>
              <w:t>楼内。教学实验内容按照《四川省中小</w:t>
            </w:r>
            <w:r>
              <w:rPr>
                <w:rFonts w:ascii="宋体" w:hAnsi="宋体" w:eastAsia="宋体" w:cs="宋体"/>
                <w:color w:val="auto"/>
                <w:spacing w:val="-1"/>
                <w:sz w:val="24"/>
                <w:szCs w:val="24"/>
              </w:rPr>
              <w:t>学教学实验目录》（川教</w:t>
            </w:r>
            <w:r>
              <w:rPr>
                <w:rFonts w:ascii="宋体" w:hAnsi="宋体" w:eastAsia="宋体" w:cs="宋体"/>
                <w:color w:val="auto"/>
                <w:spacing w:val="-2"/>
                <w:sz w:val="24"/>
                <w:szCs w:val="24"/>
              </w:rPr>
              <w:t>函</w:t>
            </w:r>
            <w:r>
              <w:rPr>
                <w:rFonts w:hint="eastAsia"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2015</w:t>
            </w:r>
            <w:r>
              <w:rPr>
                <w:rFonts w:hint="eastAsia"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306</w:t>
            </w:r>
            <w:r>
              <w:rPr>
                <w:rFonts w:ascii="宋体" w:hAnsi="宋体" w:eastAsia="宋体" w:cs="宋体"/>
                <w:color w:val="auto"/>
                <w:spacing w:val="-2"/>
                <w:sz w:val="24"/>
                <w:szCs w:val="24"/>
              </w:rPr>
              <w:t>号）开展。其中物理实验不涉及使用化学试剂，主要为观察及</w:t>
            </w:r>
            <w:r>
              <w:rPr>
                <w:rFonts w:ascii="宋体" w:hAnsi="宋体" w:eastAsia="宋体" w:cs="宋体"/>
                <w:color w:val="auto"/>
                <w:sz w:val="24"/>
                <w:szCs w:val="24"/>
              </w:rPr>
              <w:t>物理工具使用，化学实验课程分为无机实验和有</w:t>
            </w:r>
            <w:r>
              <w:rPr>
                <w:rFonts w:ascii="宋体" w:hAnsi="宋体" w:eastAsia="宋体" w:cs="宋体"/>
                <w:color w:val="auto"/>
                <w:spacing w:val="-1"/>
                <w:sz w:val="24"/>
                <w:szCs w:val="24"/>
              </w:rPr>
              <w:t>机试验，使用的化学试剂主要为酸碱溶液、少量有机物（如乙醇等</w:t>
            </w:r>
            <w:r>
              <w:rPr>
                <w:rFonts w:ascii="宋体" w:hAnsi="宋体" w:eastAsia="宋体" w:cs="宋体"/>
                <w:color w:val="auto"/>
                <w:spacing w:val="9"/>
                <w:sz w:val="24"/>
                <w:szCs w:val="24"/>
              </w:rPr>
              <w:t>），</w:t>
            </w:r>
            <w:r>
              <w:rPr>
                <w:rFonts w:ascii="宋体" w:hAnsi="宋体" w:eastAsia="宋体" w:cs="宋体"/>
                <w:color w:val="auto"/>
                <w:spacing w:val="-1"/>
                <w:sz w:val="24"/>
                <w:szCs w:val="24"/>
              </w:rPr>
              <w:t>生物实验主要为简单的观察</w:t>
            </w:r>
            <w:r>
              <w:rPr>
                <w:rFonts w:ascii="宋体" w:hAnsi="宋体" w:eastAsia="宋体" w:cs="宋体"/>
                <w:color w:val="auto"/>
                <w:sz w:val="24"/>
                <w:szCs w:val="24"/>
              </w:rPr>
              <w:t>实验，不涉及使用外来物种，涉及的原辅材料包括各类培养皿、显微镜、</w:t>
            </w:r>
            <w:r>
              <w:rPr>
                <w:rFonts w:ascii="宋体" w:hAnsi="宋体" w:eastAsia="宋体" w:cs="宋体"/>
                <w:color w:val="auto"/>
                <w:spacing w:val="-1"/>
                <w:sz w:val="24"/>
                <w:szCs w:val="24"/>
              </w:rPr>
              <w:t>酒精灯、标本装片等。具体如下：</w:t>
            </w:r>
          </w:p>
          <w:p w14:paraId="49CDF388">
            <w:pPr>
              <w:keepNext w:val="0"/>
              <w:keepLines w:val="0"/>
              <w:pageBreakBefore w:val="0"/>
              <w:widowControl w:val="0"/>
              <w:kinsoku/>
              <w:wordWrap/>
              <w:overflowPunct/>
              <w:topLinePunct w:val="0"/>
              <w:autoSpaceDE/>
              <w:autoSpaceDN/>
              <w:bidi w:val="0"/>
              <w:adjustRightInd/>
              <w:snapToGrid/>
              <w:spacing w:line="360" w:lineRule="auto"/>
              <w:ind w:left="0" w:right="0" w:firstLine="466" w:firstLineChars="200"/>
              <w:textAlignment w:val="auto"/>
              <w:rPr>
                <w:rFonts w:ascii="宋体" w:hAnsi="宋体" w:eastAsia="宋体" w:cs="宋体"/>
                <w:color w:val="auto"/>
                <w:sz w:val="24"/>
                <w:szCs w:val="24"/>
              </w:rPr>
            </w:pPr>
            <w:r>
              <w:rPr>
                <w:rFonts w:ascii="宋体" w:hAnsi="宋体" w:eastAsia="宋体" w:cs="宋体"/>
                <w:b/>
                <w:bCs/>
                <w:color w:val="auto"/>
                <w:spacing w:val="-4"/>
                <w:sz w:val="24"/>
                <w:szCs w:val="24"/>
              </w:rPr>
              <w:t>①物理实验</w:t>
            </w:r>
          </w:p>
          <w:p w14:paraId="628CB428">
            <w:pPr>
              <w:keepNext w:val="0"/>
              <w:keepLines w:val="0"/>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Times New Roman" w:hAnsi="Times New Roman" w:cs="Times New Roman"/>
                <w:b w:val="0"/>
                <w:bCs w:val="0"/>
                <w:color w:val="auto"/>
                <w:sz w:val="24"/>
                <w:szCs w:val="24"/>
                <w:highlight w:val="none"/>
                <w:lang w:eastAsia="zh-CN"/>
              </w:rPr>
            </w:pPr>
            <w:r>
              <w:rPr>
                <w:rFonts w:ascii="宋体" w:hAnsi="宋体" w:eastAsia="宋体" w:cs="宋体"/>
                <w:color w:val="auto"/>
                <w:spacing w:val="-2"/>
                <w:sz w:val="24"/>
                <w:szCs w:val="24"/>
              </w:rPr>
              <w:t>根据《四川省中小学教学实验目录》（</w:t>
            </w:r>
            <w:r>
              <w:rPr>
                <w:rFonts w:ascii="宋体" w:hAnsi="宋体" w:eastAsia="宋体" w:cs="宋体"/>
                <w:color w:val="auto"/>
                <w:spacing w:val="-1"/>
                <w:sz w:val="24"/>
                <w:szCs w:val="24"/>
              </w:rPr>
              <w:t>川教</w:t>
            </w:r>
            <w:r>
              <w:rPr>
                <w:rFonts w:ascii="宋体" w:hAnsi="宋体" w:eastAsia="宋体" w:cs="宋体"/>
                <w:color w:val="auto"/>
                <w:spacing w:val="-2"/>
                <w:sz w:val="24"/>
                <w:szCs w:val="24"/>
              </w:rPr>
              <w:t>函</w:t>
            </w:r>
            <w:r>
              <w:rPr>
                <w:rFonts w:hint="eastAsia"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2015</w:t>
            </w:r>
            <w:r>
              <w:rPr>
                <w:rFonts w:hint="eastAsia"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306</w:t>
            </w:r>
            <w:r>
              <w:rPr>
                <w:rFonts w:ascii="宋体" w:hAnsi="宋体" w:eastAsia="宋体" w:cs="宋体"/>
                <w:color w:val="auto"/>
                <w:spacing w:val="-2"/>
                <w:sz w:val="24"/>
                <w:szCs w:val="24"/>
              </w:rPr>
              <w:t>号</w:t>
            </w:r>
            <w:r>
              <w:rPr>
                <w:rFonts w:ascii="宋体" w:hAnsi="宋体" w:eastAsia="宋体" w:cs="宋体"/>
                <w:color w:val="auto"/>
                <w:spacing w:val="-5"/>
                <w:sz w:val="24"/>
                <w:szCs w:val="24"/>
              </w:rPr>
              <w:t>），</w:t>
            </w:r>
            <w:r>
              <w:rPr>
                <w:rFonts w:ascii="宋体" w:hAnsi="宋体" w:eastAsia="宋体" w:cs="宋体"/>
                <w:color w:val="auto"/>
                <w:spacing w:val="-2"/>
                <w:sz w:val="24"/>
                <w:szCs w:val="24"/>
              </w:rPr>
              <w:t>初中物理教学实验主要内容如下：</w:t>
            </w:r>
          </w:p>
          <w:p w14:paraId="0FC4DFA8">
            <w:pPr>
              <w:pStyle w:val="114"/>
              <w:bidi w:val="0"/>
              <w:rPr>
                <w:rFonts w:hint="default"/>
                <w:color w:val="auto"/>
                <w:lang w:val="en-US" w:eastAsia="zh-CN"/>
              </w:rPr>
            </w:pPr>
            <w:r>
              <w:rPr>
                <w:rFonts w:hint="eastAsia"/>
                <w:color w:val="auto"/>
                <w:lang w:val="en-US" w:eastAsia="zh-CN"/>
              </w:rPr>
              <w:t>物理实验内容一览表（初中教学阶段）</w:t>
            </w:r>
          </w:p>
          <w:tbl>
            <w:tblPr>
              <w:tblStyle w:val="12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547"/>
              <w:gridCol w:w="4967"/>
              <w:gridCol w:w="2767"/>
            </w:tblGrid>
            <w:tr w14:paraId="67BD79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69" w:hRule="atLeast"/>
                <w:jc w:val="center"/>
              </w:trPr>
              <w:tc>
                <w:tcPr>
                  <w:tcW w:w="833" w:type="pct"/>
                  <w:tcBorders>
                    <w:tl2br w:val="nil"/>
                    <w:tr2bl w:val="nil"/>
                  </w:tcBorders>
                  <w:shd w:val="clear" w:color="auto" w:fill="auto"/>
                  <w:vAlign w:val="center"/>
                </w:tcPr>
                <w:p w14:paraId="70099A3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b/>
                      <w:bCs/>
                      <w:color w:val="auto"/>
                      <w:spacing w:val="4"/>
                      <w:sz w:val="21"/>
                      <w:szCs w:val="21"/>
                    </w:rPr>
                    <w:t>序号</w:t>
                  </w:r>
                </w:p>
              </w:tc>
              <w:tc>
                <w:tcPr>
                  <w:tcW w:w="2675" w:type="pct"/>
                  <w:tcBorders>
                    <w:tl2br w:val="nil"/>
                    <w:tr2bl w:val="nil"/>
                  </w:tcBorders>
                  <w:shd w:val="clear" w:color="auto" w:fill="auto"/>
                  <w:vAlign w:val="center"/>
                </w:tcPr>
                <w:p w14:paraId="23C2E6A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b/>
                      <w:bCs/>
                      <w:color w:val="auto"/>
                      <w:spacing w:val="5"/>
                      <w:sz w:val="21"/>
                      <w:szCs w:val="21"/>
                    </w:rPr>
                    <w:t>实验名称</w:t>
                  </w:r>
                </w:p>
              </w:tc>
              <w:tc>
                <w:tcPr>
                  <w:tcW w:w="1490" w:type="pct"/>
                  <w:tcBorders>
                    <w:tl2br w:val="nil"/>
                    <w:tr2bl w:val="nil"/>
                  </w:tcBorders>
                  <w:shd w:val="clear" w:color="auto" w:fill="auto"/>
                  <w:vAlign w:val="center"/>
                </w:tcPr>
                <w:p w14:paraId="367B69B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b/>
                      <w:bCs/>
                      <w:color w:val="auto"/>
                      <w:spacing w:val="2"/>
                      <w:sz w:val="21"/>
                      <w:szCs w:val="21"/>
                    </w:rPr>
                    <w:t>备注</w:t>
                  </w:r>
                </w:p>
              </w:tc>
            </w:tr>
            <w:tr w14:paraId="36080D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35DB8E0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2675" w:type="pct"/>
                  <w:tcBorders>
                    <w:tl2br w:val="nil"/>
                    <w:tr2bl w:val="nil"/>
                  </w:tcBorders>
                  <w:shd w:val="clear" w:color="auto" w:fill="auto"/>
                  <w:vAlign w:val="center"/>
                </w:tcPr>
                <w:p w14:paraId="1DABAF6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用温度计测水温</w:t>
                  </w:r>
                </w:p>
              </w:tc>
              <w:tc>
                <w:tcPr>
                  <w:tcW w:w="1490" w:type="pct"/>
                  <w:tcBorders>
                    <w:tl2br w:val="nil"/>
                    <w:tr2bl w:val="nil"/>
                  </w:tcBorders>
                  <w:shd w:val="clear" w:color="auto" w:fill="auto"/>
                  <w:vAlign w:val="center"/>
                </w:tcPr>
                <w:p w14:paraId="55C667E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教师演示</w:t>
                  </w:r>
                  <w:r>
                    <w:rPr>
                      <w:rFonts w:ascii="Times New Roman" w:hAnsi="Times New Roman" w:eastAsia="Times New Roman" w:cs="Times New Roman"/>
                      <w:color w:val="auto"/>
                      <w:spacing w:val="7"/>
                      <w:sz w:val="21"/>
                      <w:szCs w:val="21"/>
                    </w:rPr>
                    <w:t>+</w:t>
                  </w:r>
                  <w:r>
                    <w:rPr>
                      <w:rFonts w:ascii="宋体" w:hAnsi="宋体" w:eastAsia="宋体" w:cs="宋体"/>
                      <w:color w:val="auto"/>
                      <w:spacing w:val="7"/>
                      <w:sz w:val="21"/>
                      <w:szCs w:val="21"/>
                    </w:rPr>
                    <w:t>学生操作</w:t>
                  </w:r>
                </w:p>
              </w:tc>
            </w:tr>
            <w:tr w14:paraId="062F13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10DE01F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2675" w:type="pct"/>
                  <w:tcBorders>
                    <w:tl2br w:val="nil"/>
                    <w:tr2bl w:val="nil"/>
                  </w:tcBorders>
                  <w:shd w:val="clear" w:color="auto" w:fill="auto"/>
                  <w:vAlign w:val="center"/>
                </w:tcPr>
                <w:p w14:paraId="436A8C3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用体温计测体温</w:t>
                  </w:r>
                </w:p>
              </w:tc>
              <w:tc>
                <w:tcPr>
                  <w:tcW w:w="1490" w:type="pct"/>
                  <w:tcBorders>
                    <w:tl2br w:val="nil"/>
                    <w:tr2bl w:val="nil"/>
                  </w:tcBorders>
                  <w:shd w:val="clear" w:color="auto" w:fill="auto"/>
                  <w:vAlign w:val="center"/>
                </w:tcPr>
                <w:p w14:paraId="1248DFD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教师演示</w:t>
                  </w:r>
                  <w:r>
                    <w:rPr>
                      <w:rFonts w:ascii="Times New Roman" w:hAnsi="Times New Roman" w:eastAsia="Times New Roman" w:cs="Times New Roman"/>
                      <w:color w:val="auto"/>
                      <w:spacing w:val="7"/>
                      <w:sz w:val="21"/>
                      <w:szCs w:val="21"/>
                    </w:rPr>
                    <w:t>+</w:t>
                  </w:r>
                  <w:r>
                    <w:rPr>
                      <w:rFonts w:ascii="宋体" w:hAnsi="宋体" w:eastAsia="宋体" w:cs="宋体"/>
                      <w:color w:val="auto"/>
                      <w:spacing w:val="7"/>
                      <w:sz w:val="21"/>
                      <w:szCs w:val="21"/>
                    </w:rPr>
                    <w:t>学生操作</w:t>
                  </w:r>
                </w:p>
              </w:tc>
            </w:tr>
            <w:tr w14:paraId="296DEC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545B71F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2675" w:type="pct"/>
                  <w:tcBorders>
                    <w:tl2br w:val="nil"/>
                    <w:tr2bl w:val="nil"/>
                  </w:tcBorders>
                  <w:shd w:val="clear" w:color="auto" w:fill="auto"/>
                  <w:vAlign w:val="center"/>
                </w:tcPr>
                <w:p w14:paraId="5C69620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9"/>
                      <w:sz w:val="21"/>
                      <w:szCs w:val="21"/>
                    </w:rPr>
                    <w:t>探究汽化和液化中的吸放热</w:t>
                  </w:r>
                </w:p>
              </w:tc>
              <w:tc>
                <w:tcPr>
                  <w:tcW w:w="1490" w:type="pct"/>
                  <w:tcBorders>
                    <w:tl2br w:val="nil"/>
                    <w:tr2bl w:val="nil"/>
                  </w:tcBorders>
                  <w:shd w:val="clear" w:color="auto" w:fill="auto"/>
                  <w:vAlign w:val="center"/>
                </w:tcPr>
                <w:p w14:paraId="7232F75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教师演示</w:t>
                  </w:r>
                </w:p>
              </w:tc>
            </w:tr>
            <w:tr w14:paraId="3C5F07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2692833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4</w:t>
                  </w:r>
                </w:p>
              </w:tc>
              <w:tc>
                <w:tcPr>
                  <w:tcW w:w="2675" w:type="pct"/>
                  <w:tcBorders>
                    <w:tl2br w:val="nil"/>
                    <w:tr2bl w:val="nil"/>
                  </w:tcBorders>
                  <w:shd w:val="clear" w:color="auto" w:fill="auto"/>
                  <w:vAlign w:val="center"/>
                </w:tcPr>
                <w:p w14:paraId="22D49D0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9"/>
                      <w:sz w:val="21"/>
                      <w:szCs w:val="21"/>
                    </w:rPr>
                    <w:t>探究水沸腾时温度的特点</w:t>
                  </w:r>
                </w:p>
              </w:tc>
              <w:tc>
                <w:tcPr>
                  <w:tcW w:w="1490" w:type="pct"/>
                  <w:tcBorders>
                    <w:tl2br w:val="nil"/>
                    <w:tr2bl w:val="nil"/>
                  </w:tcBorders>
                  <w:shd w:val="clear" w:color="auto" w:fill="auto"/>
                  <w:vAlign w:val="center"/>
                </w:tcPr>
                <w:p w14:paraId="70B861C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学生操作</w:t>
                  </w:r>
                </w:p>
              </w:tc>
            </w:tr>
            <w:tr w14:paraId="38CD7F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3A7821D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2675" w:type="pct"/>
                  <w:tcBorders>
                    <w:tl2br w:val="nil"/>
                    <w:tr2bl w:val="nil"/>
                  </w:tcBorders>
                  <w:shd w:val="clear" w:color="auto" w:fill="auto"/>
                  <w:vAlign w:val="center"/>
                </w:tcPr>
                <w:p w14:paraId="48B1FD6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观察碘的升华凝华</w:t>
                  </w:r>
                </w:p>
              </w:tc>
              <w:tc>
                <w:tcPr>
                  <w:tcW w:w="1490" w:type="pct"/>
                  <w:tcBorders>
                    <w:tl2br w:val="nil"/>
                    <w:tr2bl w:val="nil"/>
                  </w:tcBorders>
                  <w:shd w:val="clear" w:color="auto" w:fill="auto"/>
                  <w:vAlign w:val="center"/>
                </w:tcPr>
                <w:p w14:paraId="67A1437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教师演示</w:t>
                  </w:r>
                </w:p>
              </w:tc>
            </w:tr>
            <w:tr w14:paraId="31DA35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4711894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w:t>
                  </w:r>
                </w:p>
              </w:tc>
              <w:tc>
                <w:tcPr>
                  <w:tcW w:w="2675" w:type="pct"/>
                  <w:tcBorders>
                    <w:tl2br w:val="nil"/>
                    <w:tr2bl w:val="nil"/>
                  </w:tcBorders>
                  <w:shd w:val="clear" w:color="auto" w:fill="auto"/>
                  <w:vAlign w:val="center"/>
                </w:tcPr>
                <w:p w14:paraId="7268CB4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天平的使用</w:t>
                  </w:r>
                </w:p>
              </w:tc>
              <w:tc>
                <w:tcPr>
                  <w:tcW w:w="1490" w:type="pct"/>
                  <w:tcBorders>
                    <w:tl2br w:val="nil"/>
                    <w:tr2bl w:val="nil"/>
                  </w:tcBorders>
                  <w:shd w:val="clear" w:color="auto" w:fill="auto"/>
                  <w:vAlign w:val="center"/>
                </w:tcPr>
                <w:p w14:paraId="0D7A4E7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教师演示</w:t>
                  </w:r>
                </w:p>
              </w:tc>
            </w:tr>
            <w:tr w14:paraId="73EAA0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322C87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c>
                <w:tcPr>
                  <w:tcW w:w="2675" w:type="pct"/>
                  <w:tcBorders>
                    <w:tl2br w:val="nil"/>
                    <w:tr2bl w:val="nil"/>
                  </w:tcBorders>
                  <w:shd w:val="clear" w:color="auto" w:fill="auto"/>
                  <w:vAlign w:val="center"/>
                </w:tcPr>
                <w:p w14:paraId="07BA152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天平测量固体液体质量</w:t>
                  </w:r>
                </w:p>
              </w:tc>
              <w:tc>
                <w:tcPr>
                  <w:tcW w:w="1490" w:type="pct"/>
                  <w:tcBorders>
                    <w:tl2br w:val="nil"/>
                    <w:tr2bl w:val="nil"/>
                  </w:tcBorders>
                  <w:shd w:val="clear" w:color="auto" w:fill="auto"/>
                  <w:vAlign w:val="center"/>
                </w:tcPr>
                <w:p w14:paraId="1DF8F5B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学生操作</w:t>
                  </w:r>
                </w:p>
              </w:tc>
            </w:tr>
            <w:tr w14:paraId="558F54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2A720F6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c>
                <w:tcPr>
                  <w:tcW w:w="2675" w:type="pct"/>
                  <w:tcBorders>
                    <w:tl2br w:val="nil"/>
                    <w:tr2bl w:val="nil"/>
                  </w:tcBorders>
                  <w:shd w:val="clear" w:color="auto" w:fill="auto"/>
                  <w:vAlign w:val="center"/>
                </w:tcPr>
                <w:p w14:paraId="1A5017A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9"/>
                      <w:sz w:val="21"/>
                      <w:szCs w:val="21"/>
                    </w:rPr>
                    <w:t>探究同种物质的质量与体积关系</w:t>
                  </w:r>
                </w:p>
              </w:tc>
              <w:tc>
                <w:tcPr>
                  <w:tcW w:w="1490" w:type="pct"/>
                  <w:tcBorders>
                    <w:tl2br w:val="nil"/>
                    <w:tr2bl w:val="nil"/>
                  </w:tcBorders>
                  <w:shd w:val="clear" w:color="auto" w:fill="auto"/>
                  <w:vAlign w:val="center"/>
                </w:tcPr>
                <w:p w14:paraId="1698B06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教师演示</w:t>
                  </w:r>
                </w:p>
              </w:tc>
            </w:tr>
            <w:tr w14:paraId="44FE94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38939C7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9</w:t>
                  </w:r>
                </w:p>
              </w:tc>
              <w:tc>
                <w:tcPr>
                  <w:tcW w:w="2675" w:type="pct"/>
                  <w:tcBorders>
                    <w:tl2br w:val="nil"/>
                    <w:tr2bl w:val="nil"/>
                  </w:tcBorders>
                  <w:shd w:val="clear" w:color="auto" w:fill="auto"/>
                  <w:vAlign w:val="center"/>
                </w:tcPr>
                <w:p w14:paraId="6E8F06A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量筒的使用</w:t>
                  </w:r>
                </w:p>
              </w:tc>
              <w:tc>
                <w:tcPr>
                  <w:tcW w:w="1490" w:type="pct"/>
                  <w:tcBorders>
                    <w:tl2br w:val="nil"/>
                    <w:tr2bl w:val="nil"/>
                  </w:tcBorders>
                  <w:shd w:val="clear" w:color="auto" w:fill="auto"/>
                  <w:vAlign w:val="center"/>
                </w:tcPr>
                <w:p w14:paraId="27EEF7B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教师演示</w:t>
                  </w:r>
                </w:p>
              </w:tc>
            </w:tr>
            <w:tr w14:paraId="680044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4359CAF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10</w:t>
                  </w:r>
                </w:p>
              </w:tc>
              <w:tc>
                <w:tcPr>
                  <w:tcW w:w="2675" w:type="pct"/>
                  <w:tcBorders>
                    <w:tl2br w:val="nil"/>
                    <w:tr2bl w:val="nil"/>
                  </w:tcBorders>
                  <w:shd w:val="clear" w:color="auto" w:fill="auto"/>
                  <w:vAlign w:val="center"/>
                </w:tcPr>
                <w:p w14:paraId="0060D4A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测量固体和液体的密度</w:t>
                  </w:r>
                </w:p>
              </w:tc>
              <w:tc>
                <w:tcPr>
                  <w:tcW w:w="1490" w:type="pct"/>
                  <w:tcBorders>
                    <w:tl2br w:val="nil"/>
                    <w:tr2bl w:val="nil"/>
                  </w:tcBorders>
                  <w:shd w:val="clear" w:color="auto" w:fill="auto"/>
                  <w:vAlign w:val="center"/>
                </w:tcPr>
                <w:p w14:paraId="768B924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学生操作</w:t>
                  </w:r>
                </w:p>
              </w:tc>
            </w:tr>
            <w:tr w14:paraId="4C4522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0B742A0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0"/>
                      <w:sz w:val="21"/>
                      <w:szCs w:val="21"/>
                    </w:rPr>
                    <w:t>11</w:t>
                  </w:r>
                </w:p>
              </w:tc>
              <w:tc>
                <w:tcPr>
                  <w:tcW w:w="2675" w:type="pct"/>
                  <w:tcBorders>
                    <w:tl2br w:val="nil"/>
                    <w:tr2bl w:val="nil"/>
                  </w:tcBorders>
                  <w:shd w:val="clear" w:color="auto" w:fill="auto"/>
                  <w:vAlign w:val="center"/>
                </w:tcPr>
                <w:p w14:paraId="6338DBB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用刻度尺测量长度</w:t>
                  </w:r>
                </w:p>
              </w:tc>
              <w:tc>
                <w:tcPr>
                  <w:tcW w:w="1490" w:type="pct"/>
                  <w:tcBorders>
                    <w:tl2br w:val="nil"/>
                    <w:tr2bl w:val="nil"/>
                  </w:tcBorders>
                  <w:shd w:val="clear" w:color="auto" w:fill="auto"/>
                  <w:vAlign w:val="center"/>
                </w:tcPr>
                <w:p w14:paraId="0FB0EAD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教师演示</w:t>
                  </w:r>
                  <w:r>
                    <w:rPr>
                      <w:rFonts w:ascii="Times New Roman" w:hAnsi="Times New Roman" w:eastAsia="Times New Roman" w:cs="Times New Roman"/>
                      <w:color w:val="auto"/>
                      <w:spacing w:val="7"/>
                      <w:sz w:val="21"/>
                      <w:szCs w:val="21"/>
                    </w:rPr>
                    <w:t>+</w:t>
                  </w:r>
                  <w:r>
                    <w:rPr>
                      <w:rFonts w:ascii="宋体" w:hAnsi="宋体" w:eastAsia="宋体" w:cs="宋体"/>
                      <w:color w:val="auto"/>
                      <w:spacing w:val="7"/>
                      <w:sz w:val="21"/>
                      <w:szCs w:val="21"/>
                    </w:rPr>
                    <w:t>学生操作</w:t>
                  </w:r>
                </w:p>
              </w:tc>
            </w:tr>
            <w:tr w14:paraId="11B09B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292B0D1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12</w:t>
                  </w:r>
                </w:p>
              </w:tc>
              <w:tc>
                <w:tcPr>
                  <w:tcW w:w="2675" w:type="pct"/>
                  <w:tcBorders>
                    <w:tl2br w:val="nil"/>
                    <w:tr2bl w:val="nil"/>
                  </w:tcBorders>
                  <w:shd w:val="clear" w:color="auto" w:fill="auto"/>
                  <w:vAlign w:val="center"/>
                </w:tcPr>
                <w:p w14:paraId="292F50B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9"/>
                      <w:sz w:val="21"/>
                      <w:szCs w:val="21"/>
                    </w:rPr>
                    <w:t>测量小车运动的平均速度</w:t>
                  </w:r>
                </w:p>
              </w:tc>
              <w:tc>
                <w:tcPr>
                  <w:tcW w:w="1490" w:type="pct"/>
                  <w:tcBorders>
                    <w:tl2br w:val="nil"/>
                    <w:tr2bl w:val="nil"/>
                  </w:tcBorders>
                  <w:shd w:val="clear" w:color="auto" w:fill="auto"/>
                  <w:vAlign w:val="center"/>
                </w:tcPr>
                <w:p w14:paraId="3879B3B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学生操作</w:t>
                  </w:r>
                </w:p>
              </w:tc>
            </w:tr>
            <w:tr w14:paraId="2AEF7D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766B5CE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13</w:t>
                  </w:r>
                </w:p>
              </w:tc>
              <w:tc>
                <w:tcPr>
                  <w:tcW w:w="2675" w:type="pct"/>
                  <w:tcBorders>
                    <w:tl2br w:val="nil"/>
                    <w:tr2bl w:val="nil"/>
                  </w:tcBorders>
                  <w:shd w:val="clear" w:color="auto" w:fill="auto"/>
                  <w:vAlign w:val="center"/>
                </w:tcPr>
                <w:p w14:paraId="7948360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力可以改变物体的形状</w:t>
                  </w:r>
                </w:p>
              </w:tc>
              <w:tc>
                <w:tcPr>
                  <w:tcW w:w="1490" w:type="pct"/>
                  <w:tcBorders>
                    <w:tl2br w:val="nil"/>
                    <w:tr2bl w:val="nil"/>
                  </w:tcBorders>
                  <w:shd w:val="clear" w:color="auto" w:fill="auto"/>
                  <w:vAlign w:val="center"/>
                </w:tcPr>
                <w:p w14:paraId="0840F25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教师演示</w:t>
                  </w:r>
                </w:p>
              </w:tc>
            </w:tr>
            <w:tr w14:paraId="5FB666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10BC94D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14</w:t>
                  </w:r>
                </w:p>
              </w:tc>
              <w:tc>
                <w:tcPr>
                  <w:tcW w:w="2675" w:type="pct"/>
                  <w:tcBorders>
                    <w:tl2br w:val="nil"/>
                    <w:tr2bl w:val="nil"/>
                  </w:tcBorders>
                  <w:shd w:val="clear" w:color="auto" w:fill="auto"/>
                  <w:vAlign w:val="center"/>
                </w:tcPr>
                <w:p w14:paraId="260D7C1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力可以改变物体的运动状态</w:t>
                  </w:r>
                </w:p>
              </w:tc>
              <w:tc>
                <w:tcPr>
                  <w:tcW w:w="1490" w:type="pct"/>
                  <w:tcBorders>
                    <w:tl2br w:val="nil"/>
                    <w:tr2bl w:val="nil"/>
                  </w:tcBorders>
                  <w:shd w:val="clear" w:color="auto" w:fill="auto"/>
                  <w:vAlign w:val="center"/>
                </w:tcPr>
                <w:p w14:paraId="6660B10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教师演示</w:t>
                  </w:r>
                </w:p>
              </w:tc>
            </w:tr>
            <w:tr w14:paraId="518258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7ECC430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15</w:t>
                  </w:r>
                </w:p>
              </w:tc>
              <w:tc>
                <w:tcPr>
                  <w:tcW w:w="2675" w:type="pct"/>
                  <w:tcBorders>
                    <w:tl2br w:val="nil"/>
                    <w:tr2bl w:val="nil"/>
                  </w:tcBorders>
                  <w:shd w:val="clear" w:color="auto" w:fill="auto"/>
                  <w:vAlign w:val="center"/>
                </w:tcPr>
                <w:p w14:paraId="794E723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力的作用效果是相互的</w:t>
                  </w:r>
                </w:p>
              </w:tc>
              <w:tc>
                <w:tcPr>
                  <w:tcW w:w="1490" w:type="pct"/>
                  <w:tcBorders>
                    <w:tl2br w:val="nil"/>
                    <w:tr2bl w:val="nil"/>
                  </w:tcBorders>
                  <w:shd w:val="clear" w:color="auto" w:fill="auto"/>
                  <w:vAlign w:val="center"/>
                </w:tcPr>
                <w:p w14:paraId="204398F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教师演示</w:t>
                  </w:r>
                </w:p>
              </w:tc>
            </w:tr>
            <w:tr w14:paraId="574A36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5580311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16</w:t>
                  </w:r>
                </w:p>
              </w:tc>
              <w:tc>
                <w:tcPr>
                  <w:tcW w:w="2675" w:type="pct"/>
                  <w:tcBorders>
                    <w:tl2br w:val="nil"/>
                    <w:tr2bl w:val="nil"/>
                  </w:tcBorders>
                  <w:shd w:val="clear" w:color="auto" w:fill="auto"/>
                  <w:vAlign w:val="center"/>
                </w:tcPr>
                <w:p w14:paraId="213C2D0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演示力的三要素</w:t>
                  </w:r>
                </w:p>
              </w:tc>
              <w:tc>
                <w:tcPr>
                  <w:tcW w:w="1490" w:type="pct"/>
                  <w:tcBorders>
                    <w:tl2br w:val="nil"/>
                    <w:tr2bl w:val="nil"/>
                  </w:tcBorders>
                  <w:shd w:val="clear" w:color="auto" w:fill="auto"/>
                  <w:vAlign w:val="center"/>
                </w:tcPr>
                <w:p w14:paraId="3006D7C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教师演示</w:t>
                  </w:r>
                </w:p>
              </w:tc>
            </w:tr>
            <w:tr w14:paraId="0BB5A8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403CF33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17</w:t>
                  </w:r>
                </w:p>
              </w:tc>
              <w:tc>
                <w:tcPr>
                  <w:tcW w:w="2675" w:type="pct"/>
                  <w:tcBorders>
                    <w:tl2br w:val="nil"/>
                    <w:tr2bl w:val="nil"/>
                  </w:tcBorders>
                  <w:shd w:val="clear" w:color="auto" w:fill="auto"/>
                  <w:vAlign w:val="center"/>
                </w:tcPr>
                <w:p w14:paraId="23B298F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9"/>
                      <w:sz w:val="21"/>
                      <w:szCs w:val="21"/>
                    </w:rPr>
                    <w:t>探究重力的大小跟质量的关系</w:t>
                  </w:r>
                </w:p>
              </w:tc>
              <w:tc>
                <w:tcPr>
                  <w:tcW w:w="1490" w:type="pct"/>
                  <w:tcBorders>
                    <w:tl2br w:val="nil"/>
                    <w:tr2bl w:val="nil"/>
                  </w:tcBorders>
                  <w:shd w:val="clear" w:color="auto" w:fill="auto"/>
                  <w:vAlign w:val="center"/>
                </w:tcPr>
                <w:p w14:paraId="271BD91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学生操作</w:t>
                  </w:r>
                </w:p>
              </w:tc>
            </w:tr>
            <w:tr w14:paraId="3E2D75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63E0026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18</w:t>
                  </w:r>
                </w:p>
              </w:tc>
              <w:tc>
                <w:tcPr>
                  <w:tcW w:w="2675" w:type="pct"/>
                  <w:tcBorders>
                    <w:tl2br w:val="nil"/>
                    <w:tr2bl w:val="nil"/>
                  </w:tcBorders>
                  <w:shd w:val="clear" w:color="auto" w:fill="auto"/>
                  <w:vAlign w:val="center"/>
                </w:tcPr>
                <w:p w14:paraId="6445D36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测量滑动摩擦力的大小</w:t>
                  </w:r>
                </w:p>
              </w:tc>
              <w:tc>
                <w:tcPr>
                  <w:tcW w:w="1490" w:type="pct"/>
                  <w:tcBorders>
                    <w:tl2br w:val="nil"/>
                    <w:tr2bl w:val="nil"/>
                  </w:tcBorders>
                  <w:shd w:val="clear" w:color="auto" w:fill="auto"/>
                  <w:vAlign w:val="center"/>
                </w:tcPr>
                <w:p w14:paraId="1A50EEA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教师演示</w:t>
                  </w:r>
                </w:p>
              </w:tc>
            </w:tr>
            <w:tr w14:paraId="67FF40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25FA867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19</w:t>
                  </w:r>
                </w:p>
              </w:tc>
              <w:tc>
                <w:tcPr>
                  <w:tcW w:w="2675" w:type="pct"/>
                  <w:tcBorders>
                    <w:tl2br w:val="nil"/>
                    <w:tr2bl w:val="nil"/>
                  </w:tcBorders>
                  <w:shd w:val="clear" w:color="auto" w:fill="auto"/>
                  <w:vAlign w:val="center"/>
                </w:tcPr>
                <w:p w14:paraId="25EE01A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9"/>
                      <w:sz w:val="21"/>
                      <w:szCs w:val="21"/>
                    </w:rPr>
                    <w:t>探究影响滑动摩擦力的大小的因素</w:t>
                  </w:r>
                </w:p>
              </w:tc>
              <w:tc>
                <w:tcPr>
                  <w:tcW w:w="1490" w:type="pct"/>
                  <w:tcBorders>
                    <w:tl2br w:val="nil"/>
                    <w:tr2bl w:val="nil"/>
                  </w:tcBorders>
                  <w:shd w:val="clear" w:color="auto" w:fill="auto"/>
                  <w:vAlign w:val="center"/>
                </w:tcPr>
                <w:p w14:paraId="3271C93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学生操作</w:t>
                  </w:r>
                </w:p>
              </w:tc>
            </w:tr>
            <w:tr w14:paraId="54EE7E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000DAC0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20</w:t>
                  </w:r>
                </w:p>
              </w:tc>
              <w:tc>
                <w:tcPr>
                  <w:tcW w:w="2675" w:type="pct"/>
                  <w:tcBorders>
                    <w:tl2br w:val="nil"/>
                    <w:tr2bl w:val="nil"/>
                  </w:tcBorders>
                  <w:shd w:val="clear" w:color="auto" w:fill="auto"/>
                  <w:vAlign w:val="center"/>
                </w:tcPr>
                <w:p w14:paraId="130A049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9"/>
                      <w:sz w:val="21"/>
                      <w:szCs w:val="21"/>
                    </w:rPr>
                    <w:t>用弹簧测力计测力的大小</w:t>
                  </w:r>
                </w:p>
              </w:tc>
              <w:tc>
                <w:tcPr>
                  <w:tcW w:w="1490" w:type="pct"/>
                  <w:tcBorders>
                    <w:tl2br w:val="nil"/>
                    <w:tr2bl w:val="nil"/>
                  </w:tcBorders>
                  <w:shd w:val="clear" w:color="auto" w:fill="auto"/>
                  <w:vAlign w:val="center"/>
                </w:tcPr>
                <w:p w14:paraId="188A9D0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学生操作</w:t>
                  </w:r>
                </w:p>
              </w:tc>
            </w:tr>
            <w:tr w14:paraId="6BE14B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833" w:type="pct"/>
                  <w:tcBorders>
                    <w:tl2br w:val="nil"/>
                    <w:tr2bl w:val="nil"/>
                  </w:tcBorders>
                  <w:shd w:val="clear" w:color="auto" w:fill="auto"/>
                  <w:vAlign w:val="center"/>
                </w:tcPr>
                <w:p w14:paraId="7C9B2B0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21</w:t>
                  </w:r>
                </w:p>
              </w:tc>
              <w:tc>
                <w:tcPr>
                  <w:tcW w:w="2675" w:type="pct"/>
                  <w:tcBorders>
                    <w:tl2br w:val="nil"/>
                    <w:tr2bl w:val="nil"/>
                  </w:tcBorders>
                  <w:shd w:val="clear" w:color="auto" w:fill="auto"/>
                  <w:vAlign w:val="center"/>
                </w:tcPr>
                <w:p w14:paraId="536854D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探究二力平衡条件</w:t>
                  </w:r>
                </w:p>
              </w:tc>
              <w:tc>
                <w:tcPr>
                  <w:tcW w:w="1490" w:type="pct"/>
                  <w:tcBorders>
                    <w:tl2br w:val="nil"/>
                    <w:tr2bl w:val="nil"/>
                  </w:tcBorders>
                  <w:shd w:val="clear" w:color="auto" w:fill="auto"/>
                  <w:vAlign w:val="center"/>
                </w:tcPr>
                <w:p w14:paraId="65E16F1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教师演示</w:t>
                  </w:r>
                </w:p>
              </w:tc>
            </w:tr>
            <w:tr w14:paraId="0CD0A9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7111122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22</w:t>
                  </w:r>
                </w:p>
              </w:tc>
              <w:tc>
                <w:tcPr>
                  <w:tcW w:w="2675" w:type="pct"/>
                  <w:tcBorders>
                    <w:tl2br w:val="nil"/>
                    <w:tr2bl w:val="nil"/>
                  </w:tcBorders>
                  <w:shd w:val="clear" w:color="auto" w:fill="auto"/>
                  <w:vAlign w:val="center"/>
                </w:tcPr>
                <w:p w14:paraId="2B08EAB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9"/>
                      <w:sz w:val="21"/>
                      <w:szCs w:val="21"/>
                    </w:rPr>
                    <w:t>探究阻力对物体运动的影响</w:t>
                  </w:r>
                </w:p>
              </w:tc>
              <w:tc>
                <w:tcPr>
                  <w:tcW w:w="1490" w:type="pct"/>
                  <w:tcBorders>
                    <w:tl2br w:val="nil"/>
                    <w:tr2bl w:val="nil"/>
                  </w:tcBorders>
                  <w:shd w:val="clear" w:color="auto" w:fill="auto"/>
                  <w:vAlign w:val="center"/>
                </w:tcPr>
                <w:p w14:paraId="02F7D55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教师演示</w:t>
                  </w:r>
                </w:p>
              </w:tc>
            </w:tr>
            <w:tr w14:paraId="5FD6A5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7FBAE22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23</w:t>
                  </w:r>
                </w:p>
              </w:tc>
              <w:tc>
                <w:tcPr>
                  <w:tcW w:w="2675" w:type="pct"/>
                  <w:tcBorders>
                    <w:tl2br w:val="nil"/>
                    <w:tr2bl w:val="nil"/>
                  </w:tcBorders>
                  <w:shd w:val="clear" w:color="auto" w:fill="auto"/>
                  <w:vAlign w:val="center"/>
                </w:tcPr>
                <w:p w14:paraId="0022BD8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演示小球的惯性</w:t>
                  </w:r>
                </w:p>
              </w:tc>
              <w:tc>
                <w:tcPr>
                  <w:tcW w:w="1490" w:type="pct"/>
                  <w:tcBorders>
                    <w:tl2br w:val="nil"/>
                    <w:tr2bl w:val="nil"/>
                  </w:tcBorders>
                  <w:shd w:val="clear" w:color="auto" w:fill="auto"/>
                  <w:vAlign w:val="center"/>
                </w:tcPr>
                <w:p w14:paraId="7DD41F1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教师演示</w:t>
                  </w:r>
                </w:p>
              </w:tc>
            </w:tr>
            <w:tr w14:paraId="1DD81F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0B0CED9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24</w:t>
                  </w:r>
                </w:p>
              </w:tc>
              <w:tc>
                <w:tcPr>
                  <w:tcW w:w="2675" w:type="pct"/>
                  <w:tcBorders>
                    <w:tl2br w:val="nil"/>
                    <w:tr2bl w:val="nil"/>
                  </w:tcBorders>
                  <w:shd w:val="clear" w:color="auto" w:fill="auto"/>
                  <w:vAlign w:val="center"/>
                </w:tcPr>
                <w:p w14:paraId="31FBF59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9"/>
                      <w:sz w:val="21"/>
                      <w:szCs w:val="21"/>
                    </w:rPr>
                    <w:t>研究定滑轮和动滑轮的特点</w:t>
                  </w:r>
                </w:p>
              </w:tc>
              <w:tc>
                <w:tcPr>
                  <w:tcW w:w="1490" w:type="pct"/>
                  <w:tcBorders>
                    <w:tl2br w:val="nil"/>
                    <w:tr2bl w:val="nil"/>
                  </w:tcBorders>
                  <w:shd w:val="clear" w:color="auto" w:fill="auto"/>
                  <w:vAlign w:val="center"/>
                </w:tcPr>
                <w:p w14:paraId="28EFE75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教师演示</w:t>
                  </w:r>
                </w:p>
              </w:tc>
            </w:tr>
            <w:tr w14:paraId="4CECAE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833" w:type="pct"/>
                  <w:tcBorders>
                    <w:tl2br w:val="nil"/>
                    <w:tr2bl w:val="nil"/>
                  </w:tcBorders>
                  <w:shd w:val="clear" w:color="auto" w:fill="auto"/>
                  <w:vAlign w:val="center"/>
                </w:tcPr>
                <w:p w14:paraId="029C275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25</w:t>
                  </w:r>
                </w:p>
              </w:tc>
              <w:tc>
                <w:tcPr>
                  <w:tcW w:w="2675" w:type="pct"/>
                  <w:tcBorders>
                    <w:tl2br w:val="nil"/>
                    <w:tr2bl w:val="nil"/>
                  </w:tcBorders>
                  <w:shd w:val="clear" w:color="auto" w:fill="auto"/>
                  <w:vAlign w:val="center"/>
                </w:tcPr>
                <w:p w14:paraId="79B9BDF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研究滑轮组的特点</w:t>
                  </w:r>
                </w:p>
              </w:tc>
              <w:tc>
                <w:tcPr>
                  <w:tcW w:w="1490" w:type="pct"/>
                  <w:tcBorders>
                    <w:tl2br w:val="nil"/>
                    <w:tr2bl w:val="nil"/>
                  </w:tcBorders>
                  <w:shd w:val="clear" w:color="auto" w:fill="auto"/>
                  <w:vAlign w:val="center"/>
                </w:tcPr>
                <w:p w14:paraId="304ABF3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教师演示</w:t>
                  </w:r>
                </w:p>
              </w:tc>
            </w:tr>
            <w:tr w14:paraId="4CBC60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74BBFAD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26</w:t>
                  </w:r>
                </w:p>
              </w:tc>
              <w:tc>
                <w:tcPr>
                  <w:tcW w:w="2675" w:type="pct"/>
                  <w:tcBorders>
                    <w:tl2br w:val="nil"/>
                    <w:tr2bl w:val="nil"/>
                  </w:tcBorders>
                  <w:shd w:val="clear" w:color="auto" w:fill="auto"/>
                  <w:vAlign w:val="center"/>
                </w:tcPr>
                <w:p w14:paraId="6255CE5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9"/>
                      <w:sz w:val="21"/>
                      <w:szCs w:val="21"/>
                    </w:rPr>
                    <w:t>探究杠杆的平衡条件</w:t>
                  </w:r>
                </w:p>
              </w:tc>
              <w:tc>
                <w:tcPr>
                  <w:tcW w:w="1490" w:type="pct"/>
                  <w:tcBorders>
                    <w:tl2br w:val="nil"/>
                    <w:tr2bl w:val="nil"/>
                  </w:tcBorders>
                  <w:shd w:val="clear" w:color="auto" w:fill="auto"/>
                  <w:vAlign w:val="center"/>
                </w:tcPr>
                <w:p w14:paraId="20F8DB0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学生操作</w:t>
                  </w:r>
                </w:p>
              </w:tc>
            </w:tr>
            <w:tr w14:paraId="45F34C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159E9BE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2"/>
                      <w:sz w:val="21"/>
                      <w:szCs w:val="21"/>
                    </w:rPr>
                    <w:t>27</w:t>
                  </w:r>
                </w:p>
              </w:tc>
              <w:tc>
                <w:tcPr>
                  <w:tcW w:w="2675" w:type="pct"/>
                  <w:tcBorders>
                    <w:tl2br w:val="nil"/>
                    <w:tr2bl w:val="nil"/>
                  </w:tcBorders>
                  <w:shd w:val="clear" w:color="auto" w:fill="auto"/>
                  <w:vAlign w:val="center"/>
                </w:tcPr>
                <w:p w14:paraId="1A21899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探究影响压力的作用效果的因素</w:t>
                  </w:r>
                </w:p>
              </w:tc>
              <w:tc>
                <w:tcPr>
                  <w:tcW w:w="1490" w:type="pct"/>
                  <w:tcBorders>
                    <w:tl2br w:val="nil"/>
                    <w:tr2bl w:val="nil"/>
                  </w:tcBorders>
                  <w:shd w:val="clear" w:color="auto" w:fill="auto"/>
                  <w:vAlign w:val="center"/>
                </w:tcPr>
                <w:p w14:paraId="37BFD0C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3BDAFC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29306FD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2"/>
                      <w:sz w:val="21"/>
                      <w:szCs w:val="21"/>
                    </w:rPr>
                    <w:t>28</w:t>
                  </w:r>
                </w:p>
              </w:tc>
              <w:tc>
                <w:tcPr>
                  <w:tcW w:w="2675" w:type="pct"/>
                  <w:tcBorders>
                    <w:tl2br w:val="nil"/>
                    <w:tr2bl w:val="nil"/>
                  </w:tcBorders>
                  <w:shd w:val="clear" w:color="auto" w:fill="auto"/>
                  <w:vAlign w:val="center"/>
                </w:tcPr>
                <w:p w14:paraId="2EC0F27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演示液体对容器底和侧壁的压强</w:t>
                  </w:r>
                </w:p>
              </w:tc>
              <w:tc>
                <w:tcPr>
                  <w:tcW w:w="1490" w:type="pct"/>
                  <w:tcBorders>
                    <w:tl2br w:val="nil"/>
                    <w:tr2bl w:val="nil"/>
                  </w:tcBorders>
                  <w:shd w:val="clear" w:color="auto" w:fill="auto"/>
                  <w:vAlign w:val="center"/>
                </w:tcPr>
                <w:p w14:paraId="13E383B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4FBD37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1E59020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2"/>
                      <w:sz w:val="21"/>
                      <w:szCs w:val="21"/>
                    </w:rPr>
                    <w:t>29</w:t>
                  </w:r>
                </w:p>
              </w:tc>
              <w:tc>
                <w:tcPr>
                  <w:tcW w:w="2675" w:type="pct"/>
                  <w:tcBorders>
                    <w:tl2br w:val="nil"/>
                    <w:tr2bl w:val="nil"/>
                  </w:tcBorders>
                  <w:shd w:val="clear" w:color="auto" w:fill="auto"/>
                  <w:vAlign w:val="center"/>
                </w:tcPr>
                <w:p w14:paraId="05BBA46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研究液体内部的压强特点</w:t>
                  </w:r>
                </w:p>
              </w:tc>
              <w:tc>
                <w:tcPr>
                  <w:tcW w:w="1490" w:type="pct"/>
                  <w:tcBorders>
                    <w:tl2br w:val="nil"/>
                    <w:tr2bl w:val="nil"/>
                  </w:tcBorders>
                  <w:shd w:val="clear" w:color="auto" w:fill="auto"/>
                  <w:vAlign w:val="center"/>
                </w:tcPr>
                <w:p w14:paraId="2C9083D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62CBB9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77E4343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30</w:t>
                  </w:r>
                </w:p>
              </w:tc>
              <w:tc>
                <w:tcPr>
                  <w:tcW w:w="2675" w:type="pct"/>
                  <w:tcBorders>
                    <w:tl2br w:val="nil"/>
                    <w:tr2bl w:val="nil"/>
                  </w:tcBorders>
                  <w:shd w:val="clear" w:color="auto" w:fill="auto"/>
                  <w:vAlign w:val="center"/>
                </w:tcPr>
                <w:p w14:paraId="48B724E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实验探究连通器原理</w:t>
                  </w:r>
                </w:p>
              </w:tc>
              <w:tc>
                <w:tcPr>
                  <w:tcW w:w="1490" w:type="pct"/>
                  <w:tcBorders>
                    <w:tl2br w:val="nil"/>
                    <w:tr2bl w:val="nil"/>
                  </w:tcBorders>
                  <w:shd w:val="clear" w:color="auto" w:fill="auto"/>
                  <w:vAlign w:val="center"/>
                </w:tcPr>
                <w:p w14:paraId="0814115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7E2654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7BE4B9B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31</w:t>
                  </w:r>
                </w:p>
              </w:tc>
              <w:tc>
                <w:tcPr>
                  <w:tcW w:w="2675" w:type="pct"/>
                  <w:tcBorders>
                    <w:tl2br w:val="nil"/>
                    <w:tr2bl w:val="nil"/>
                  </w:tcBorders>
                  <w:shd w:val="clear" w:color="auto" w:fill="auto"/>
                  <w:vAlign w:val="center"/>
                </w:tcPr>
                <w:p w14:paraId="0E7C0EC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证明大气压强存在的实验</w:t>
                  </w:r>
                </w:p>
              </w:tc>
              <w:tc>
                <w:tcPr>
                  <w:tcW w:w="1490" w:type="pct"/>
                  <w:tcBorders>
                    <w:tl2br w:val="nil"/>
                    <w:tr2bl w:val="nil"/>
                  </w:tcBorders>
                  <w:shd w:val="clear" w:color="auto" w:fill="auto"/>
                  <w:vAlign w:val="center"/>
                </w:tcPr>
                <w:p w14:paraId="6BEEDF8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1E730A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02A9CC3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32</w:t>
                  </w:r>
                </w:p>
              </w:tc>
              <w:tc>
                <w:tcPr>
                  <w:tcW w:w="2675" w:type="pct"/>
                  <w:tcBorders>
                    <w:tl2br w:val="nil"/>
                    <w:tr2bl w:val="nil"/>
                  </w:tcBorders>
                  <w:shd w:val="clear" w:color="auto" w:fill="auto"/>
                  <w:vAlign w:val="center"/>
                </w:tcPr>
                <w:p w14:paraId="0F290BC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流体压强与流速的关系实验</w:t>
                  </w:r>
                </w:p>
              </w:tc>
              <w:tc>
                <w:tcPr>
                  <w:tcW w:w="1490" w:type="pct"/>
                  <w:tcBorders>
                    <w:tl2br w:val="nil"/>
                    <w:tr2bl w:val="nil"/>
                  </w:tcBorders>
                  <w:shd w:val="clear" w:color="auto" w:fill="auto"/>
                  <w:vAlign w:val="center"/>
                </w:tcPr>
                <w:p w14:paraId="053D5BE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1A45DD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04D2305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33</w:t>
                  </w:r>
                </w:p>
              </w:tc>
              <w:tc>
                <w:tcPr>
                  <w:tcW w:w="2675" w:type="pct"/>
                  <w:tcBorders>
                    <w:tl2br w:val="nil"/>
                    <w:tr2bl w:val="nil"/>
                  </w:tcBorders>
                  <w:shd w:val="clear" w:color="auto" w:fill="auto"/>
                  <w:vAlign w:val="center"/>
                </w:tcPr>
                <w:p w14:paraId="0E4CFE9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用弹簧测力计测浮力</w:t>
                  </w:r>
                </w:p>
              </w:tc>
              <w:tc>
                <w:tcPr>
                  <w:tcW w:w="1490" w:type="pct"/>
                  <w:tcBorders>
                    <w:tl2br w:val="nil"/>
                    <w:tr2bl w:val="nil"/>
                  </w:tcBorders>
                  <w:shd w:val="clear" w:color="auto" w:fill="auto"/>
                  <w:vAlign w:val="center"/>
                </w:tcPr>
                <w:p w14:paraId="3BE7C03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78BAA6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4F86FDD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34</w:t>
                  </w:r>
                </w:p>
              </w:tc>
              <w:tc>
                <w:tcPr>
                  <w:tcW w:w="2675" w:type="pct"/>
                  <w:tcBorders>
                    <w:tl2br w:val="nil"/>
                    <w:tr2bl w:val="nil"/>
                  </w:tcBorders>
                  <w:shd w:val="clear" w:color="auto" w:fill="auto"/>
                  <w:vAlign w:val="center"/>
                </w:tcPr>
                <w:p w14:paraId="0852B54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研究浮力产生的原因</w:t>
                  </w:r>
                </w:p>
              </w:tc>
              <w:tc>
                <w:tcPr>
                  <w:tcW w:w="1490" w:type="pct"/>
                  <w:tcBorders>
                    <w:tl2br w:val="nil"/>
                    <w:tr2bl w:val="nil"/>
                  </w:tcBorders>
                  <w:shd w:val="clear" w:color="auto" w:fill="auto"/>
                  <w:vAlign w:val="center"/>
                </w:tcPr>
                <w:p w14:paraId="7DAEF9D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1EAB49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43BACDB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35</w:t>
                  </w:r>
                </w:p>
              </w:tc>
              <w:tc>
                <w:tcPr>
                  <w:tcW w:w="2675" w:type="pct"/>
                  <w:tcBorders>
                    <w:tl2br w:val="nil"/>
                    <w:tr2bl w:val="nil"/>
                  </w:tcBorders>
                  <w:shd w:val="clear" w:color="auto" w:fill="auto"/>
                  <w:vAlign w:val="center"/>
                </w:tcPr>
                <w:p w14:paraId="301252C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探究浮力的大小跟什么因素有关</w:t>
                  </w:r>
                </w:p>
              </w:tc>
              <w:tc>
                <w:tcPr>
                  <w:tcW w:w="1490" w:type="pct"/>
                  <w:tcBorders>
                    <w:tl2br w:val="nil"/>
                    <w:tr2bl w:val="nil"/>
                  </w:tcBorders>
                  <w:shd w:val="clear" w:color="auto" w:fill="auto"/>
                  <w:vAlign w:val="center"/>
                </w:tcPr>
                <w:p w14:paraId="732F026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369B58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7609854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36</w:t>
                  </w:r>
                </w:p>
              </w:tc>
              <w:tc>
                <w:tcPr>
                  <w:tcW w:w="2675" w:type="pct"/>
                  <w:tcBorders>
                    <w:tl2br w:val="nil"/>
                    <w:tr2bl w:val="nil"/>
                  </w:tcBorders>
                  <w:shd w:val="clear" w:color="auto" w:fill="auto"/>
                  <w:vAlign w:val="center"/>
                </w:tcPr>
                <w:p w14:paraId="4638539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探究浮力的大小跟排开液体所受重力的关系</w:t>
                  </w:r>
                </w:p>
              </w:tc>
              <w:tc>
                <w:tcPr>
                  <w:tcW w:w="1490" w:type="pct"/>
                  <w:tcBorders>
                    <w:tl2br w:val="nil"/>
                    <w:tr2bl w:val="nil"/>
                  </w:tcBorders>
                  <w:shd w:val="clear" w:color="auto" w:fill="auto"/>
                  <w:vAlign w:val="center"/>
                </w:tcPr>
                <w:p w14:paraId="62F2B69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学生操作</w:t>
                  </w:r>
                </w:p>
              </w:tc>
            </w:tr>
            <w:tr w14:paraId="5EFAF8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50B10DE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37</w:t>
                  </w:r>
                </w:p>
              </w:tc>
              <w:tc>
                <w:tcPr>
                  <w:tcW w:w="2675" w:type="pct"/>
                  <w:tcBorders>
                    <w:tl2br w:val="nil"/>
                    <w:tr2bl w:val="nil"/>
                  </w:tcBorders>
                  <w:shd w:val="clear" w:color="auto" w:fill="auto"/>
                  <w:vAlign w:val="center"/>
                </w:tcPr>
                <w:p w14:paraId="4C29A4B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演示声音的产生</w:t>
                  </w:r>
                </w:p>
              </w:tc>
              <w:tc>
                <w:tcPr>
                  <w:tcW w:w="1490" w:type="pct"/>
                  <w:tcBorders>
                    <w:tl2br w:val="nil"/>
                    <w:tr2bl w:val="nil"/>
                  </w:tcBorders>
                  <w:shd w:val="clear" w:color="auto" w:fill="auto"/>
                  <w:vAlign w:val="center"/>
                </w:tcPr>
                <w:p w14:paraId="7C0E6F2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0D50E9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2AE056D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38</w:t>
                  </w:r>
                </w:p>
              </w:tc>
              <w:tc>
                <w:tcPr>
                  <w:tcW w:w="2675" w:type="pct"/>
                  <w:tcBorders>
                    <w:tl2br w:val="nil"/>
                    <w:tr2bl w:val="nil"/>
                  </w:tcBorders>
                  <w:shd w:val="clear" w:color="auto" w:fill="auto"/>
                  <w:vAlign w:val="center"/>
                </w:tcPr>
                <w:p w14:paraId="19F0C7D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演示真空不能传声</w:t>
                  </w:r>
                </w:p>
              </w:tc>
              <w:tc>
                <w:tcPr>
                  <w:tcW w:w="1490" w:type="pct"/>
                  <w:tcBorders>
                    <w:tl2br w:val="nil"/>
                    <w:tr2bl w:val="nil"/>
                  </w:tcBorders>
                  <w:shd w:val="clear" w:color="auto" w:fill="auto"/>
                  <w:vAlign w:val="center"/>
                </w:tcPr>
                <w:p w14:paraId="4E0CC94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285C41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65C1B1F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39</w:t>
                  </w:r>
                </w:p>
              </w:tc>
              <w:tc>
                <w:tcPr>
                  <w:tcW w:w="2675" w:type="pct"/>
                  <w:tcBorders>
                    <w:tl2br w:val="nil"/>
                    <w:tr2bl w:val="nil"/>
                  </w:tcBorders>
                  <w:shd w:val="clear" w:color="auto" w:fill="auto"/>
                  <w:vAlign w:val="center"/>
                </w:tcPr>
                <w:p w14:paraId="3287099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探究音调与频率的关系</w:t>
                  </w:r>
                </w:p>
              </w:tc>
              <w:tc>
                <w:tcPr>
                  <w:tcW w:w="1490" w:type="pct"/>
                  <w:tcBorders>
                    <w:tl2br w:val="nil"/>
                    <w:tr2bl w:val="nil"/>
                  </w:tcBorders>
                  <w:shd w:val="clear" w:color="auto" w:fill="auto"/>
                  <w:vAlign w:val="center"/>
                </w:tcPr>
                <w:p w14:paraId="10A7B46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6ACE46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2ED5875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3"/>
                      <w:sz w:val="21"/>
                      <w:szCs w:val="21"/>
                    </w:rPr>
                    <w:t>40</w:t>
                  </w:r>
                </w:p>
              </w:tc>
              <w:tc>
                <w:tcPr>
                  <w:tcW w:w="2675" w:type="pct"/>
                  <w:tcBorders>
                    <w:tl2br w:val="nil"/>
                    <w:tr2bl w:val="nil"/>
                  </w:tcBorders>
                  <w:shd w:val="clear" w:color="auto" w:fill="auto"/>
                  <w:vAlign w:val="center"/>
                </w:tcPr>
                <w:p w14:paraId="241EFD6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探究响度与振幅的关系</w:t>
                  </w:r>
                </w:p>
              </w:tc>
              <w:tc>
                <w:tcPr>
                  <w:tcW w:w="1490" w:type="pct"/>
                  <w:tcBorders>
                    <w:tl2br w:val="nil"/>
                    <w:tr2bl w:val="nil"/>
                  </w:tcBorders>
                  <w:shd w:val="clear" w:color="auto" w:fill="auto"/>
                  <w:vAlign w:val="center"/>
                </w:tcPr>
                <w:p w14:paraId="6FEE903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2A4CBC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4D06810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3"/>
                      <w:sz w:val="21"/>
                      <w:szCs w:val="21"/>
                    </w:rPr>
                    <w:t>41</w:t>
                  </w:r>
                </w:p>
              </w:tc>
              <w:tc>
                <w:tcPr>
                  <w:tcW w:w="2675" w:type="pct"/>
                  <w:tcBorders>
                    <w:tl2br w:val="nil"/>
                    <w:tr2bl w:val="nil"/>
                  </w:tcBorders>
                  <w:shd w:val="clear" w:color="auto" w:fill="auto"/>
                  <w:vAlign w:val="center"/>
                </w:tcPr>
                <w:p w14:paraId="43B274F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演示声可传递能量</w:t>
                  </w:r>
                </w:p>
              </w:tc>
              <w:tc>
                <w:tcPr>
                  <w:tcW w:w="1490" w:type="pct"/>
                  <w:tcBorders>
                    <w:tl2br w:val="nil"/>
                    <w:tr2bl w:val="nil"/>
                  </w:tcBorders>
                  <w:shd w:val="clear" w:color="auto" w:fill="auto"/>
                  <w:vAlign w:val="center"/>
                </w:tcPr>
                <w:p w14:paraId="353524D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2F0B8C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3E39B73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3"/>
                      <w:sz w:val="21"/>
                      <w:szCs w:val="21"/>
                    </w:rPr>
                    <w:t>42</w:t>
                  </w:r>
                </w:p>
              </w:tc>
              <w:tc>
                <w:tcPr>
                  <w:tcW w:w="2675" w:type="pct"/>
                  <w:tcBorders>
                    <w:tl2br w:val="nil"/>
                    <w:tr2bl w:val="nil"/>
                  </w:tcBorders>
                  <w:shd w:val="clear" w:color="auto" w:fill="auto"/>
                  <w:vAlign w:val="center"/>
                </w:tcPr>
                <w:p w14:paraId="365D42C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探究光的反射规律</w:t>
                  </w:r>
                </w:p>
              </w:tc>
              <w:tc>
                <w:tcPr>
                  <w:tcW w:w="1490" w:type="pct"/>
                  <w:tcBorders>
                    <w:tl2br w:val="nil"/>
                    <w:tr2bl w:val="nil"/>
                  </w:tcBorders>
                  <w:shd w:val="clear" w:color="auto" w:fill="auto"/>
                  <w:vAlign w:val="center"/>
                </w:tcPr>
                <w:p w14:paraId="6E6C226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1C7EB6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40DC0E7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3"/>
                      <w:sz w:val="21"/>
                      <w:szCs w:val="21"/>
                    </w:rPr>
                    <w:t>43</w:t>
                  </w:r>
                </w:p>
              </w:tc>
              <w:tc>
                <w:tcPr>
                  <w:tcW w:w="2675" w:type="pct"/>
                  <w:tcBorders>
                    <w:tl2br w:val="nil"/>
                    <w:tr2bl w:val="nil"/>
                  </w:tcBorders>
                  <w:shd w:val="clear" w:color="auto" w:fill="auto"/>
                  <w:vAlign w:val="center"/>
                </w:tcPr>
                <w:p w14:paraId="2BDD038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观察镜面反射和漫反射</w:t>
                  </w:r>
                </w:p>
              </w:tc>
              <w:tc>
                <w:tcPr>
                  <w:tcW w:w="1490" w:type="pct"/>
                  <w:tcBorders>
                    <w:tl2br w:val="nil"/>
                    <w:tr2bl w:val="nil"/>
                  </w:tcBorders>
                  <w:shd w:val="clear" w:color="auto" w:fill="auto"/>
                  <w:vAlign w:val="center"/>
                </w:tcPr>
                <w:p w14:paraId="44CFF61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622312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0C9ACBE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3"/>
                      <w:sz w:val="21"/>
                      <w:szCs w:val="21"/>
                    </w:rPr>
                    <w:t>44</w:t>
                  </w:r>
                </w:p>
              </w:tc>
              <w:tc>
                <w:tcPr>
                  <w:tcW w:w="2675" w:type="pct"/>
                  <w:tcBorders>
                    <w:tl2br w:val="nil"/>
                    <w:tr2bl w:val="nil"/>
                  </w:tcBorders>
                  <w:shd w:val="clear" w:color="auto" w:fill="auto"/>
                  <w:vAlign w:val="center"/>
                </w:tcPr>
                <w:p w14:paraId="6718ED8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探究光的折射时的特点</w:t>
                  </w:r>
                </w:p>
              </w:tc>
              <w:tc>
                <w:tcPr>
                  <w:tcW w:w="1490" w:type="pct"/>
                  <w:tcBorders>
                    <w:tl2br w:val="nil"/>
                    <w:tr2bl w:val="nil"/>
                  </w:tcBorders>
                  <w:shd w:val="clear" w:color="auto" w:fill="auto"/>
                  <w:vAlign w:val="center"/>
                </w:tcPr>
                <w:p w14:paraId="4046C48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5EC856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62F6A79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3"/>
                      <w:sz w:val="21"/>
                      <w:szCs w:val="21"/>
                    </w:rPr>
                    <w:t>45</w:t>
                  </w:r>
                </w:p>
              </w:tc>
              <w:tc>
                <w:tcPr>
                  <w:tcW w:w="2675" w:type="pct"/>
                  <w:tcBorders>
                    <w:tl2br w:val="nil"/>
                    <w:tr2bl w:val="nil"/>
                  </w:tcBorders>
                  <w:shd w:val="clear" w:color="auto" w:fill="auto"/>
                  <w:vAlign w:val="center"/>
                </w:tcPr>
                <w:p w14:paraId="538F409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探究平面镜成像的特点</w:t>
                  </w:r>
                </w:p>
              </w:tc>
              <w:tc>
                <w:tcPr>
                  <w:tcW w:w="1490" w:type="pct"/>
                  <w:tcBorders>
                    <w:tl2br w:val="nil"/>
                    <w:tr2bl w:val="nil"/>
                  </w:tcBorders>
                  <w:shd w:val="clear" w:color="auto" w:fill="auto"/>
                  <w:vAlign w:val="center"/>
                </w:tcPr>
                <w:p w14:paraId="742F379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2C5CB9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559ABFD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3"/>
                      <w:sz w:val="21"/>
                      <w:szCs w:val="21"/>
                    </w:rPr>
                    <w:t>46</w:t>
                  </w:r>
                </w:p>
              </w:tc>
              <w:tc>
                <w:tcPr>
                  <w:tcW w:w="2675" w:type="pct"/>
                  <w:tcBorders>
                    <w:tl2br w:val="nil"/>
                    <w:tr2bl w:val="nil"/>
                  </w:tcBorders>
                  <w:shd w:val="clear" w:color="auto" w:fill="auto"/>
                  <w:vAlign w:val="center"/>
                </w:tcPr>
                <w:p w14:paraId="610D353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7"/>
                      <w:sz w:val="21"/>
                      <w:szCs w:val="21"/>
                    </w:rPr>
                    <w:t>区别凸透镜、凹透镜</w:t>
                  </w:r>
                </w:p>
              </w:tc>
              <w:tc>
                <w:tcPr>
                  <w:tcW w:w="1490" w:type="pct"/>
                  <w:tcBorders>
                    <w:tl2br w:val="nil"/>
                    <w:tr2bl w:val="nil"/>
                  </w:tcBorders>
                  <w:shd w:val="clear" w:color="auto" w:fill="auto"/>
                  <w:vAlign w:val="center"/>
                </w:tcPr>
                <w:p w14:paraId="108D566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54310A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4A17A74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3"/>
                      <w:sz w:val="21"/>
                      <w:szCs w:val="21"/>
                    </w:rPr>
                    <w:t>47</w:t>
                  </w:r>
                </w:p>
              </w:tc>
              <w:tc>
                <w:tcPr>
                  <w:tcW w:w="2675" w:type="pct"/>
                  <w:tcBorders>
                    <w:tl2br w:val="nil"/>
                    <w:tr2bl w:val="nil"/>
                  </w:tcBorders>
                  <w:shd w:val="clear" w:color="auto" w:fill="auto"/>
                  <w:vAlign w:val="center"/>
                </w:tcPr>
                <w:p w14:paraId="183BFC6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6"/>
                      <w:sz w:val="21"/>
                      <w:szCs w:val="21"/>
                    </w:rPr>
                    <w:t>凸透镜对光的作用</w:t>
                  </w:r>
                </w:p>
              </w:tc>
              <w:tc>
                <w:tcPr>
                  <w:tcW w:w="1490" w:type="pct"/>
                  <w:tcBorders>
                    <w:tl2br w:val="nil"/>
                    <w:tr2bl w:val="nil"/>
                  </w:tcBorders>
                  <w:shd w:val="clear" w:color="auto" w:fill="auto"/>
                  <w:vAlign w:val="center"/>
                </w:tcPr>
                <w:p w14:paraId="362808B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43843D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0896AF4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3"/>
                      <w:sz w:val="21"/>
                      <w:szCs w:val="21"/>
                    </w:rPr>
                    <w:t>48</w:t>
                  </w:r>
                </w:p>
              </w:tc>
              <w:tc>
                <w:tcPr>
                  <w:tcW w:w="2675" w:type="pct"/>
                  <w:tcBorders>
                    <w:tl2br w:val="nil"/>
                    <w:tr2bl w:val="nil"/>
                  </w:tcBorders>
                  <w:shd w:val="clear" w:color="auto" w:fill="auto"/>
                  <w:vAlign w:val="center"/>
                </w:tcPr>
                <w:p w14:paraId="40D9AE5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测凸透镜的焦距</w:t>
                  </w:r>
                </w:p>
              </w:tc>
              <w:tc>
                <w:tcPr>
                  <w:tcW w:w="1490" w:type="pct"/>
                  <w:tcBorders>
                    <w:tl2br w:val="nil"/>
                    <w:tr2bl w:val="nil"/>
                  </w:tcBorders>
                  <w:shd w:val="clear" w:color="auto" w:fill="auto"/>
                  <w:vAlign w:val="center"/>
                </w:tcPr>
                <w:p w14:paraId="5D9BBC2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072977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3CA6EE5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3"/>
                      <w:sz w:val="21"/>
                      <w:szCs w:val="21"/>
                    </w:rPr>
                    <w:t>49</w:t>
                  </w:r>
                </w:p>
              </w:tc>
              <w:tc>
                <w:tcPr>
                  <w:tcW w:w="2675" w:type="pct"/>
                  <w:tcBorders>
                    <w:tl2br w:val="nil"/>
                    <w:tr2bl w:val="nil"/>
                  </w:tcBorders>
                  <w:shd w:val="clear" w:color="auto" w:fill="auto"/>
                  <w:vAlign w:val="center"/>
                </w:tcPr>
                <w:p w14:paraId="2FE6709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6"/>
                      <w:sz w:val="21"/>
                      <w:szCs w:val="21"/>
                    </w:rPr>
                    <w:t>凹透镜对光的作用</w:t>
                  </w:r>
                </w:p>
              </w:tc>
              <w:tc>
                <w:tcPr>
                  <w:tcW w:w="1490" w:type="pct"/>
                  <w:tcBorders>
                    <w:tl2br w:val="nil"/>
                    <w:tr2bl w:val="nil"/>
                  </w:tcBorders>
                  <w:shd w:val="clear" w:color="auto" w:fill="auto"/>
                  <w:vAlign w:val="center"/>
                </w:tcPr>
                <w:p w14:paraId="32ACC40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36EE78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2023CFC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50</w:t>
                  </w:r>
                </w:p>
              </w:tc>
              <w:tc>
                <w:tcPr>
                  <w:tcW w:w="2675" w:type="pct"/>
                  <w:tcBorders>
                    <w:tl2br w:val="nil"/>
                    <w:tr2bl w:val="nil"/>
                  </w:tcBorders>
                  <w:shd w:val="clear" w:color="auto" w:fill="auto"/>
                  <w:vAlign w:val="center"/>
                </w:tcPr>
                <w:p w14:paraId="6FE8FF1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探究凸透镜成像规律</w:t>
                  </w:r>
                </w:p>
              </w:tc>
              <w:tc>
                <w:tcPr>
                  <w:tcW w:w="1490" w:type="pct"/>
                  <w:tcBorders>
                    <w:tl2br w:val="nil"/>
                    <w:tr2bl w:val="nil"/>
                  </w:tcBorders>
                  <w:shd w:val="clear" w:color="auto" w:fill="auto"/>
                  <w:vAlign w:val="center"/>
                </w:tcPr>
                <w:p w14:paraId="0CC1998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25F6AB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199DD8D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51</w:t>
                  </w:r>
                </w:p>
              </w:tc>
              <w:tc>
                <w:tcPr>
                  <w:tcW w:w="2675" w:type="pct"/>
                  <w:tcBorders>
                    <w:tl2br w:val="nil"/>
                    <w:tr2bl w:val="nil"/>
                  </w:tcBorders>
                  <w:shd w:val="clear" w:color="auto" w:fill="auto"/>
                  <w:vAlign w:val="center"/>
                </w:tcPr>
                <w:p w14:paraId="08B45C7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观察摩擦起电现象</w:t>
                  </w:r>
                </w:p>
              </w:tc>
              <w:tc>
                <w:tcPr>
                  <w:tcW w:w="1490" w:type="pct"/>
                  <w:tcBorders>
                    <w:tl2br w:val="nil"/>
                    <w:tr2bl w:val="nil"/>
                  </w:tcBorders>
                  <w:shd w:val="clear" w:color="auto" w:fill="auto"/>
                  <w:vAlign w:val="center"/>
                </w:tcPr>
                <w:p w14:paraId="44D65BB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60DD27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6D88998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52</w:t>
                  </w:r>
                </w:p>
              </w:tc>
              <w:tc>
                <w:tcPr>
                  <w:tcW w:w="2675" w:type="pct"/>
                  <w:tcBorders>
                    <w:tl2br w:val="nil"/>
                    <w:tr2bl w:val="nil"/>
                  </w:tcBorders>
                  <w:shd w:val="clear" w:color="auto" w:fill="auto"/>
                  <w:vAlign w:val="center"/>
                </w:tcPr>
                <w:p w14:paraId="40C1465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探究电荷间的相互作用</w:t>
                  </w:r>
                </w:p>
              </w:tc>
              <w:tc>
                <w:tcPr>
                  <w:tcW w:w="1490" w:type="pct"/>
                  <w:tcBorders>
                    <w:tl2br w:val="nil"/>
                    <w:tr2bl w:val="nil"/>
                  </w:tcBorders>
                  <w:shd w:val="clear" w:color="auto" w:fill="auto"/>
                  <w:vAlign w:val="center"/>
                </w:tcPr>
                <w:p w14:paraId="53019F9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611DF6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6F51AC0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53</w:t>
                  </w:r>
                </w:p>
              </w:tc>
              <w:tc>
                <w:tcPr>
                  <w:tcW w:w="2675" w:type="pct"/>
                  <w:tcBorders>
                    <w:tl2br w:val="nil"/>
                    <w:tr2bl w:val="nil"/>
                  </w:tcBorders>
                  <w:shd w:val="clear" w:color="auto" w:fill="auto"/>
                  <w:vAlign w:val="center"/>
                </w:tcPr>
                <w:p w14:paraId="67D894C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观察使用验电器</w:t>
                  </w:r>
                </w:p>
              </w:tc>
              <w:tc>
                <w:tcPr>
                  <w:tcW w:w="1490" w:type="pct"/>
                  <w:tcBorders>
                    <w:tl2br w:val="nil"/>
                    <w:tr2bl w:val="nil"/>
                  </w:tcBorders>
                  <w:shd w:val="clear" w:color="auto" w:fill="auto"/>
                  <w:vAlign w:val="center"/>
                </w:tcPr>
                <w:p w14:paraId="3F34D73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0E1DEC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305A8BB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54</w:t>
                  </w:r>
                </w:p>
              </w:tc>
              <w:tc>
                <w:tcPr>
                  <w:tcW w:w="2675" w:type="pct"/>
                  <w:tcBorders>
                    <w:tl2br w:val="nil"/>
                    <w:tr2bl w:val="nil"/>
                  </w:tcBorders>
                  <w:shd w:val="clear" w:color="auto" w:fill="auto"/>
                  <w:vAlign w:val="center"/>
                </w:tcPr>
                <w:p w14:paraId="3661803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5"/>
                      <w:sz w:val="21"/>
                      <w:szCs w:val="21"/>
                    </w:rPr>
                    <w:t>了解磁性、磁极</w:t>
                  </w:r>
                </w:p>
              </w:tc>
              <w:tc>
                <w:tcPr>
                  <w:tcW w:w="1490" w:type="pct"/>
                  <w:tcBorders>
                    <w:tl2br w:val="nil"/>
                    <w:tr2bl w:val="nil"/>
                  </w:tcBorders>
                  <w:shd w:val="clear" w:color="auto" w:fill="auto"/>
                  <w:vAlign w:val="center"/>
                </w:tcPr>
                <w:p w14:paraId="3FF5801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79B247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32026EE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55</w:t>
                  </w:r>
                </w:p>
              </w:tc>
              <w:tc>
                <w:tcPr>
                  <w:tcW w:w="2675" w:type="pct"/>
                  <w:tcBorders>
                    <w:tl2br w:val="nil"/>
                    <w:tr2bl w:val="nil"/>
                  </w:tcBorders>
                  <w:shd w:val="clear" w:color="auto" w:fill="auto"/>
                  <w:vAlign w:val="center"/>
                </w:tcPr>
                <w:p w14:paraId="43B0059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研究磁场的方向</w:t>
                  </w:r>
                </w:p>
              </w:tc>
              <w:tc>
                <w:tcPr>
                  <w:tcW w:w="1490" w:type="pct"/>
                  <w:tcBorders>
                    <w:tl2br w:val="nil"/>
                    <w:tr2bl w:val="nil"/>
                  </w:tcBorders>
                  <w:shd w:val="clear" w:color="auto" w:fill="auto"/>
                  <w:vAlign w:val="center"/>
                </w:tcPr>
                <w:p w14:paraId="11E99AC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55B5C1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60A69C9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56</w:t>
                  </w:r>
                </w:p>
              </w:tc>
              <w:tc>
                <w:tcPr>
                  <w:tcW w:w="2675" w:type="pct"/>
                  <w:tcBorders>
                    <w:tl2br w:val="nil"/>
                    <w:tr2bl w:val="nil"/>
                  </w:tcBorders>
                  <w:shd w:val="clear" w:color="auto" w:fill="auto"/>
                  <w:vAlign w:val="center"/>
                </w:tcPr>
                <w:p w14:paraId="2E356D7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探究磁极间的相互作用</w:t>
                  </w:r>
                </w:p>
              </w:tc>
              <w:tc>
                <w:tcPr>
                  <w:tcW w:w="1490" w:type="pct"/>
                  <w:tcBorders>
                    <w:tl2br w:val="nil"/>
                    <w:tr2bl w:val="nil"/>
                  </w:tcBorders>
                  <w:shd w:val="clear" w:color="auto" w:fill="auto"/>
                  <w:vAlign w:val="center"/>
                </w:tcPr>
                <w:p w14:paraId="65999A2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2481EA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6F3CA9F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57</w:t>
                  </w:r>
                </w:p>
              </w:tc>
              <w:tc>
                <w:tcPr>
                  <w:tcW w:w="2675" w:type="pct"/>
                  <w:tcBorders>
                    <w:tl2br w:val="nil"/>
                    <w:tr2bl w:val="nil"/>
                  </w:tcBorders>
                  <w:shd w:val="clear" w:color="auto" w:fill="auto"/>
                  <w:vAlign w:val="center"/>
                </w:tcPr>
                <w:p w14:paraId="39250FB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演示条形磁体、蹄形磁体的磁场分</w:t>
                  </w:r>
                </w:p>
              </w:tc>
              <w:tc>
                <w:tcPr>
                  <w:tcW w:w="1490" w:type="pct"/>
                  <w:tcBorders>
                    <w:tl2br w:val="nil"/>
                    <w:tr2bl w:val="nil"/>
                  </w:tcBorders>
                  <w:shd w:val="clear" w:color="auto" w:fill="auto"/>
                  <w:vAlign w:val="center"/>
                </w:tcPr>
                <w:p w14:paraId="7B5D359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3C2957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122C6D6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58</w:t>
                  </w:r>
                </w:p>
              </w:tc>
              <w:tc>
                <w:tcPr>
                  <w:tcW w:w="2675" w:type="pct"/>
                  <w:tcBorders>
                    <w:tl2br w:val="nil"/>
                    <w:tr2bl w:val="nil"/>
                  </w:tcBorders>
                  <w:shd w:val="clear" w:color="auto" w:fill="auto"/>
                  <w:vAlign w:val="center"/>
                </w:tcPr>
                <w:p w14:paraId="5C721C1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6"/>
                      <w:sz w:val="21"/>
                      <w:szCs w:val="21"/>
                    </w:rPr>
                    <w:t>奥斯特实验</w:t>
                  </w:r>
                </w:p>
              </w:tc>
              <w:tc>
                <w:tcPr>
                  <w:tcW w:w="1490" w:type="pct"/>
                  <w:tcBorders>
                    <w:tl2br w:val="nil"/>
                    <w:tr2bl w:val="nil"/>
                  </w:tcBorders>
                  <w:shd w:val="clear" w:color="auto" w:fill="auto"/>
                  <w:vAlign w:val="center"/>
                </w:tcPr>
                <w:p w14:paraId="4E19E0C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2E903F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399E938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59</w:t>
                  </w:r>
                </w:p>
              </w:tc>
              <w:tc>
                <w:tcPr>
                  <w:tcW w:w="2675" w:type="pct"/>
                  <w:tcBorders>
                    <w:tl2br w:val="nil"/>
                    <w:tr2bl w:val="nil"/>
                  </w:tcBorders>
                  <w:shd w:val="clear" w:color="auto" w:fill="auto"/>
                  <w:vAlign w:val="center"/>
                </w:tcPr>
                <w:p w14:paraId="24EE967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演示通电螺线管的磁场</w:t>
                  </w:r>
                </w:p>
              </w:tc>
              <w:tc>
                <w:tcPr>
                  <w:tcW w:w="1490" w:type="pct"/>
                  <w:tcBorders>
                    <w:tl2br w:val="nil"/>
                    <w:tr2bl w:val="nil"/>
                  </w:tcBorders>
                  <w:shd w:val="clear" w:color="auto" w:fill="auto"/>
                  <w:vAlign w:val="center"/>
                </w:tcPr>
                <w:p w14:paraId="686782C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1FD85C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01ABBB3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60</w:t>
                  </w:r>
                </w:p>
              </w:tc>
              <w:tc>
                <w:tcPr>
                  <w:tcW w:w="2675" w:type="pct"/>
                  <w:tcBorders>
                    <w:tl2br w:val="nil"/>
                    <w:tr2bl w:val="nil"/>
                  </w:tcBorders>
                  <w:shd w:val="clear" w:color="auto" w:fill="auto"/>
                  <w:vAlign w:val="center"/>
                </w:tcPr>
                <w:p w14:paraId="61370B3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演示通电导体在磁场中要受到力的作用</w:t>
                  </w:r>
                </w:p>
              </w:tc>
              <w:tc>
                <w:tcPr>
                  <w:tcW w:w="1490" w:type="pct"/>
                  <w:tcBorders>
                    <w:tl2br w:val="nil"/>
                    <w:tr2bl w:val="nil"/>
                  </w:tcBorders>
                  <w:shd w:val="clear" w:color="auto" w:fill="auto"/>
                  <w:vAlign w:val="center"/>
                </w:tcPr>
                <w:p w14:paraId="4331301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054FCD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734FC78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61</w:t>
                  </w:r>
                </w:p>
              </w:tc>
              <w:tc>
                <w:tcPr>
                  <w:tcW w:w="2675" w:type="pct"/>
                  <w:tcBorders>
                    <w:tl2br w:val="nil"/>
                    <w:tr2bl w:val="nil"/>
                  </w:tcBorders>
                  <w:shd w:val="clear" w:color="auto" w:fill="auto"/>
                  <w:vAlign w:val="center"/>
                </w:tcPr>
                <w:p w14:paraId="1FD340B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探究磁场力的方向与哪些因素有关</w:t>
                  </w:r>
                </w:p>
              </w:tc>
              <w:tc>
                <w:tcPr>
                  <w:tcW w:w="1490" w:type="pct"/>
                  <w:tcBorders>
                    <w:tl2br w:val="nil"/>
                    <w:tr2bl w:val="nil"/>
                  </w:tcBorders>
                  <w:shd w:val="clear" w:color="auto" w:fill="auto"/>
                  <w:vAlign w:val="center"/>
                </w:tcPr>
                <w:p w14:paraId="4700ACC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192416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4974253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62</w:t>
                  </w:r>
                </w:p>
              </w:tc>
              <w:tc>
                <w:tcPr>
                  <w:tcW w:w="2675" w:type="pct"/>
                  <w:tcBorders>
                    <w:tl2br w:val="nil"/>
                    <w:tr2bl w:val="nil"/>
                  </w:tcBorders>
                  <w:shd w:val="clear" w:color="auto" w:fill="auto"/>
                  <w:vAlign w:val="center"/>
                </w:tcPr>
                <w:p w14:paraId="2689C41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探究什么情况下磁可以生电</w:t>
                  </w:r>
                </w:p>
              </w:tc>
              <w:tc>
                <w:tcPr>
                  <w:tcW w:w="1490" w:type="pct"/>
                  <w:tcBorders>
                    <w:tl2br w:val="nil"/>
                    <w:tr2bl w:val="nil"/>
                  </w:tcBorders>
                  <w:shd w:val="clear" w:color="auto" w:fill="auto"/>
                  <w:vAlign w:val="center"/>
                </w:tcPr>
                <w:p w14:paraId="79F4CFC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5C6D4F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6E264CF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63</w:t>
                  </w:r>
                </w:p>
              </w:tc>
              <w:tc>
                <w:tcPr>
                  <w:tcW w:w="2675" w:type="pct"/>
                  <w:tcBorders>
                    <w:tl2br w:val="nil"/>
                    <w:tr2bl w:val="nil"/>
                  </w:tcBorders>
                  <w:shd w:val="clear" w:color="auto" w:fill="auto"/>
                  <w:vAlign w:val="center"/>
                </w:tcPr>
                <w:p w14:paraId="0B13868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演示空气压缩时内能增大</w:t>
                  </w:r>
                </w:p>
              </w:tc>
              <w:tc>
                <w:tcPr>
                  <w:tcW w:w="1490" w:type="pct"/>
                  <w:tcBorders>
                    <w:tl2br w:val="nil"/>
                    <w:tr2bl w:val="nil"/>
                  </w:tcBorders>
                  <w:shd w:val="clear" w:color="auto" w:fill="auto"/>
                  <w:vAlign w:val="center"/>
                </w:tcPr>
                <w:p w14:paraId="5E6424F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15177C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64392A6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64</w:t>
                  </w:r>
                </w:p>
              </w:tc>
              <w:tc>
                <w:tcPr>
                  <w:tcW w:w="2675" w:type="pct"/>
                  <w:tcBorders>
                    <w:tl2br w:val="nil"/>
                    <w:tr2bl w:val="nil"/>
                  </w:tcBorders>
                  <w:shd w:val="clear" w:color="auto" w:fill="auto"/>
                  <w:vAlign w:val="center"/>
                </w:tcPr>
                <w:p w14:paraId="0917B66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演示空气推动塞子时内能减少</w:t>
                  </w:r>
                </w:p>
              </w:tc>
              <w:tc>
                <w:tcPr>
                  <w:tcW w:w="1490" w:type="pct"/>
                  <w:tcBorders>
                    <w:tl2br w:val="nil"/>
                    <w:tr2bl w:val="nil"/>
                  </w:tcBorders>
                  <w:shd w:val="clear" w:color="auto" w:fill="auto"/>
                  <w:vAlign w:val="center"/>
                </w:tcPr>
                <w:p w14:paraId="1032165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75DB20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355FB5F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65</w:t>
                  </w:r>
                </w:p>
              </w:tc>
              <w:tc>
                <w:tcPr>
                  <w:tcW w:w="2675" w:type="pct"/>
                  <w:tcBorders>
                    <w:tl2br w:val="nil"/>
                    <w:tr2bl w:val="nil"/>
                  </w:tcBorders>
                  <w:shd w:val="clear" w:color="auto" w:fill="auto"/>
                  <w:vAlign w:val="center"/>
                </w:tcPr>
                <w:p w14:paraId="76B1280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探究动能的大小跟什么因素有关</w:t>
                  </w:r>
                </w:p>
              </w:tc>
              <w:tc>
                <w:tcPr>
                  <w:tcW w:w="1490" w:type="pct"/>
                  <w:tcBorders>
                    <w:tl2br w:val="nil"/>
                    <w:tr2bl w:val="nil"/>
                  </w:tcBorders>
                  <w:shd w:val="clear" w:color="auto" w:fill="auto"/>
                  <w:vAlign w:val="center"/>
                </w:tcPr>
                <w:p w14:paraId="11CE592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22FE53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6484B0B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66</w:t>
                  </w:r>
                </w:p>
              </w:tc>
              <w:tc>
                <w:tcPr>
                  <w:tcW w:w="2675" w:type="pct"/>
                  <w:tcBorders>
                    <w:tl2br w:val="nil"/>
                    <w:tr2bl w:val="nil"/>
                  </w:tcBorders>
                  <w:shd w:val="clear" w:color="auto" w:fill="auto"/>
                  <w:vAlign w:val="center"/>
                </w:tcPr>
                <w:p w14:paraId="4C26778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探究重力势能的大小跟什么因素有关</w:t>
                  </w:r>
                </w:p>
              </w:tc>
              <w:tc>
                <w:tcPr>
                  <w:tcW w:w="1490" w:type="pct"/>
                  <w:tcBorders>
                    <w:tl2br w:val="nil"/>
                    <w:tr2bl w:val="nil"/>
                  </w:tcBorders>
                  <w:shd w:val="clear" w:color="auto" w:fill="auto"/>
                  <w:vAlign w:val="center"/>
                </w:tcPr>
                <w:p w14:paraId="77E01B7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4D38F8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4E51D18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67</w:t>
                  </w:r>
                </w:p>
              </w:tc>
              <w:tc>
                <w:tcPr>
                  <w:tcW w:w="2675" w:type="pct"/>
                  <w:tcBorders>
                    <w:tl2br w:val="nil"/>
                    <w:tr2bl w:val="nil"/>
                  </w:tcBorders>
                  <w:shd w:val="clear" w:color="auto" w:fill="auto"/>
                  <w:vAlign w:val="center"/>
                </w:tcPr>
                <w:p w14:paraId="7356930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机械能转化实验</w:t>
                  </w:r>
                </w:p>
              </w:tc>
              <w:tc>
                <w:tcPr>
                  <w:tcW w:w="1490" w:type="pct"/>
                  <w:tcBorders>
                    <w:tl2br w:val="nil"/>
                    <w:tr2bl w:val="nil"/>
                  </w:tcBorders>
                  <w:shd w:val="clear" w:color="auto" w:fill="auto"/>
                  <w:vAlign w:val="center"/>
                </w:tcPr>
                <w:p w14:paraId="2ABD49A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2641FE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6220205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68</w:t>
                  </w:r>
                </w:p>
              </w:tc>
              <w:tc>
                <w:tcPr>
                  <w:tcW w:w="2675" w:type="pct"/>
                  <w:tcBorders>
                    <w:tl2br w:val="nil"/>
                    <w:tr2bl w:val="nil"/>
                  </w:tcBorders>
                  <w:shd w:val="clear" w:color="auto" w:fill="auto"/>
                  <w:vAlign w:val="center"/>
                </w:tcPr>
                <w:p w14:paraId="1602276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测滑轮组的机械效率</w:t>
                  </w:r>
                </w:p>
              </w:tc>
              <w:tc>
                <w:tcPr>
                  <w:tcW w:w="1490" w:type="pct"/>
                  <w:tcBorders>
                    <w:tl2br w:val="nil"/>
                    <w:tr2bl w:val="nil"/>
                  </w:tcBorders>
                  <w:shd w:val="clear" w:color="auto" w:fill="auto"/>
                  <w:vAlign w:val="center"/>
                </w:tcPr>
                <w:p w14:paraId="3521979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315090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259DE0C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69</w:t>
                  </w:r>
                </w:p>
              </w:tc>
              <w:tc>
                <w:tcPr>
                  <w:tcW w:w="2675" w:type="pct"/>
                  <w:tcBorders>
                    <w:tl2br w:val="nil"/>
                    <w:tr2bl w:val="nil"/>
                  </w:tcBorders>
                  <w:shd w:val="clear" w:color="auto" w:fill="auto"/>
                  <w:vAlign w:val="center"/>
                </w:tcPr>
                <w:p w14:paraId="5F70B73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7"/>
                      <w:sz w:val="21"/>
                      <w:szCs w:val="21"/>
                    </w:rPr>
                    <w:t>比较不同物质的吸热的情况</w:t>
                  </w:r>
                </w:p>
              </w:tc>
              <w:tc>
                <w:tcPr>
                  <w:tcW w:w="1490" w:type="pct"/>
                  <w:tcBorders>
                    <w:tl2br w:val="nil"/>
                    <w:tr2bl w:val="nil"/>
                  </w:tcBorders>
                  <w:shd w:val="clear" w:color="auto" w:fill="auto"/>
                  <w:vAlign w:val="center"/>
                </w:tcPr>
                <w:p w14:paraId="09D3BB0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4A2AB1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763BF70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1"/>
                      <w:sz w:val="21"/>
                      <w:szCs w:val="21"/>
                    </w:rPr>
                    <w:t>70</w:t>
                  </w:r>
                </w:p>
              </w:tc>
              <w:tc>
                <w:tcPr>
                  <w:tcW w:w="2675" w:type="pct"/>
                  <w:tcBorders>
                    <w:tl2br w:val="nil"/>
                    <w:tr2bl w:val="nil"/>
                  </w:tcBorders>
                  <w:shd w:val="clear" w:color="auto" w:fill="auto"/>
                  <w:vAlign w:val="center"/>
                </w:tcPr>
                <w:p w14:paraId="4BD26EF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组成简单电路实验</w:t>
                  </w:r>
                </w:p>
              </w:tc>
              <w:tc>
                <w:tcPr>
                  <w:tcW w:w="1490" w:type="pct"/>
                  <w:tcBorders>
                    <w:tl2br w:val="nil"/>
                    <w:tr2bl w:val="nil"/>
                  </w:tcBorders>
                  <w:shd w:val="clear" w:color="auto" w:fill="auto"/>
                  <w:vAlign w:val="center"/>
                </w:tcPr>
                <w:p w14:paraId="3787CEE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6146BC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6C7D01A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1"/>
                      <w:sz w:val="21"/>
                      <w:szCs w:val="21"/>
                    </w:rPr>
                    <w:t>71</w:t>
                  </w:r>
                </w:p>
              </w:tc>
              <w:tc>
                <w:tcPr>
                  <w:tcW w:w="2675" w:type="pct"/>
                  <w:tcBorders>
                    <w:tl2br w:val="nil"/>
                    <w:tr2bl w:val="nil"/>
                  </w:tcBorders>
                  <w:shd w:val="clear" w:color="auto" w:fill="auto"/>
                  <w:vAlign w:val="center"/>
                </w:tcPr>
                <w:p w14:paraId="256531A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探究电流的方向</w:t>
                  </w:r>
                </w:p>
              </w:tc>
              <w:tc>
                <w:tcPr>
                  <w:tcW w:w="1490" w:type="pct"/>
                  <w:tcBorders>
                    <w:tl2br w:val="nil"/>
                    <w:tr2bl w:val="nil"/>
                  </w:tcBorders>
                  <w:shd w:val="clear" w:color="auto" w:fill="auto"/>
                  <w:vAlign w:val="center"/>
                </w:tcPr>
                <w:p w14:paraId="102701D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140737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6CBCCA2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1"/>
                      <w:sz w:val="21"/>
                      <w:szCs w:val="21"/>
                    </w:rPr>
                    <w:t>72</w:t>
                  </w:r>
                </w:p>
              </w:tc>
              <w:tc>
                <w:tcPr>
                  <w:tcW w:w="2675" w:type="pct"/>
                  <w:tcBorders>
                    <w:tl2br w:val="nil"/>
                    <w:tr2bl w:val="nil"/>
                  </w:tcBorders>
                  <w:shd w:val="clear" w:color="auto" w:fill="auto"/>
                  <w:vAlign w:val="center"/>
                </w:tcPr>
                <w:p w14:paraId="5B3CC35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7"/>
                      <w:sz w:val="21"/>
                      <w:szCs w:val="21"/>
                    </w:rPr>
                    <w:t>短路实验研究</w:t>
                  </w:r>
                </w:p>
              </w:tc>
              <w:tc>
                <w:tcPr>
                  <w:tcW w:w="1490" w:type="pct"/>
                  <w:tcBorders>
                    <w:tl2br w:val="nil"/>
                    <w:tr2bl w:val="nil"/>
                  </w:tcBorders>
                  <w:shd w:val="clear" w:color="auto" w:fill="auto"/>
                  <w:vAlign w:val="center"/>
                </w:tcPr>
                <w:p w14:paraId="2D1E2ED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7AE81B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0B4D209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1"/>
                      <w:sz w:val="21"/>
                      <w:szCs w:val="21"/>
                    </w:rPr>
                    <w:t>73</w:t>
                  </w:r>
                </w:p>
              </w:tc>
              <w:tc>
                <w:tcPr>
                  <w:tcW w:w="2675" w:type="pct"/>
                  <w:tcBorders>
                    <w:tl2br w:val="nil"/>
                    <w:tr2bl w:val="nil"/>
                  </w:tcBorders>
                  <w:shd w:val="clear" w:color="auto" w:fill="auto"/>
                  <w:vAlign w:val="center"/>
                </w:tcPr>
                <w:p w14:paraId="37C6B25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使用滑动变阻器改变小灯泡亮度</w:t>
                  </w:r>
                </w:p>
              </w:tc>
              <w:tc>
                <w:tcPr>
                  <w:tcW w:w="1490" w:type="pct"/>
                  <w:tcBorders>
                    <w:tl2br w:val="nil"/>
                    <w:tr2bl w:val="nil"/>
                  </w:tcBorders>
                  <w:shd w:val="clear" w:color="auto" w:fill="auto"/>
                  <w:vAlign w:val="center"/>
                </w:tcPr>
                <w:p w14:paraId="09A2513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学生操作</w:t>
                  </w:r>
                </w:p>
              </w:tc>
            </w:tr>
            <w:tr w14:paraId="64992B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4354CF5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1"/>
                      <w:sz w:val="21"/>
                      <w:szCs w:val="21"/>
                    </w:rPr>
                    <w:t>74</w:t>
                  </w:r>
                </w:p>
              </w:tc>
              <w:tc>
                <w:tcPr>
                  <w:tcW w:w="2675" w:type="pct"/>
                  <w:tcBorders>
                    <w:tl2br w:val="nil"/>
                    <w:tr2bl w:val="nil"/>
                  </w:tcBorders>
                  <w:shd w:val="clear" w:color="auto" w:fill="auto"/>
                  <w:vAlign w:val="center"/>
                </w:tcPr>
                <w:p w14:paraId="48127A8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使用滑动变阻器控制电阻两端的电压</w:t>
                  </w:r>
                </w:p>
              </w:tc>
              <w:tc>
                <w:tcPr>
                  <w:tcW w:w="1490" w:type="pct"/>
                  <w:tcBorders>
                    <w:tl2br w:val="nil"/>
                    <w:tr2bl w:val="nil"/>
                  </w:tcBorders>
                  <w:shd w:val="clear" w:color="auto" w:fill="auto"/>
                  <w:vAlign w:val="center"/>
                </w:tcPr>
                <w:p w14:paraId="2DDF84D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4AC5B7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7BE152C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1"/>
                      <w:sz w:val="21"/>
                      <w:szCs w:val="21"/>
                    </w:rPr>
                    <w:t>75</w:t>
                  </w:r>
                </w:p>
              </w:tc>
              <w:tc>
                <w:tcPr>
                  <w:tcW w:w="2675" w:type="pct"/>
                  <w:tcBorders>
                    <w:tl2br w:val="nil"/>
                    <w:tr2bl w:val="nil"/>
                  </w:tcBorders>
                  <w:shd w:val="clear" w:color="auto" w:fill="auto"/>
                  <w:vAlign w:val="center"/>
                </w:tcPr>
                <w:p w14:paraId="736E920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探究影响导体电阻大小的因素</w:t>
                  </w:r>
                </w:p>
              </w:tc>
              <w:tc>
                <w:tcPr>
                  <w:tcW w:w="1490" w:type="pct"/>
                  <w:tcBorders>
                    <w:tl2br w:val="nil"/>
                    <w:tr2bl w:val="nil"/>
                  </w:tcBorders>
                  <w:shd w:val="clear" w:color="auto" w:fill="auto"/>
                  <w:vAlign w:val="center"/>
                </w:tcPr>
                <w:p w14:paraId="7799E8C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50843A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221AE12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1"/>
                      <w:sz w:val="21"/>
                      <w:szCs w:val="21"/>
                    </w:rPr>
                    <w:t>76</w:t>
                  </w:r>
                </w:p>
              </w:tc>
              <w:tc>
                <w:tcPr>
                  <w:tcW w:w="2675" w:type="pct"/>
                  <w:tcBorders>
                    <w:tl2br w:val="nil"/>
                    <w:tr2bl w:val="nil"/>
                  </w:tcBorders>
                  <w:shd w:val="clear" w:color="auto" w:fill="auto"/>
                  <w:vAlign w:val="center"/>
                </w:tcPr>
                <w:p w14:paraId="4DFA9C5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探究电流跟电压的关系</w:t>
                  </w:r>
                </w:p>
              </w:tc>
              <w:tc>
                <w:tcPr>
                  <w:tcW w:w="1490" w:type="pct"/>
                  <w:tcBorders>
                    <w:tl2br w:val="nil"/>
                    <w:tr2bl w:val="nil"/>
                  </w:tcBorders>
                  <w:shd w:val="clear" w:color="auto" w:fill="auto"/>
                  <w:vAlign w:val="center"/>
                </w:tcPr>
                <w:p w14:paraId="4F467CB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学生操作</w:t>
                  </w:r>
                </w:p>
              </w:tc>
            </w:tr>
            <w:tr w14:paraId="03D932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300C2DC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1"/>
                      <w:sz w:val="21"/>
                      <w:szCs w:val="21"/>
                    </w:rPr>
                    <w:t>77</w:t>
                  </w:r>
                </w:p>
              </w:tc>
              <w:tc>
                <w:tcPr>
                  <w:tcW w:w="2675" w:type="pct"/>
                  <w:tcBorders>
                    <w:tl2br w:val="nil"/>
                    <w:tr2bl w:val="nil"/>
                  </w:tcBorders>
                  <w:shd w:val="clear" w:color="auto" w:fill="auto"/>
                  <w:vAlign w:val="center"/>
                </w:tcPr>
                <w:p w14:paraId="3B2BB9D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探究电流跟电阻的关系</w:t>
                  </w:r>
                </w:p>
              </w:tc>
              <w:tc>
                <w:tcPr>
                  <w:tcW w:w="1490" w:type="pct"/>
                  <w:tcBorders>
                    <w:tl2br w:val="nil"/>
                    <w:tr2bl w:val="nil"/>
                  </w:tcBorders>
                  <w:shd w:val="clear" w:color="auto" w:fill="auto"/>
                  <w:vAlign w:val="center"/>
                </w:tcPr>
                <w:p w14:paraId="1AA7660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学生操作</w:t>
                  </w:r>
                </w:p>
              </w:tc>
            </w:tr>
            <w:tr w14:paraId="3CB39F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5A6498F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1"/>
                      <w:sz w:val="21"/>
                      <w:szCs w:val="21"/>
                    </w:rPr>
                    <w:t>78</w:t>
                  </w:r>
                </w:p>
              </w:tc>
              <w:tc>
                <w:tcPr>
                  <w:tcW w:w="2675" w:type="pct"/>
                  <w:tcBorders>
                    <w:tl2br w:val="nil"/>
                    <w:tr2bl w:val="nil"/>
                  </w:tcBorders>
                  <w:shd w:val="clear" w:color="auto" w:fill="auto"/>
                  <w:vAlign w:val="center"/>
                </w:tcPr>
                <w:p w14:paraId="52D5B61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测量定值电阻和小灯泡的电阻</w:t>
                  </w:r>
                </w:p>
              </w:tc>
              <w:tc>
                <w:tcPr>
                  <w:tcW w:w="1490" w:type="pct"/>
                  <w:tcBorders>
                    <w:tl2br w:val="nil"/>
                    <w:tr2bl w:val="nil"/>
                  </w:tcBorders>
                  <w:shd w:val="clear" w:color="auto" w:fill="auto"/>
                  <w:vAlign w:val="center"/>
                </w:tcPr>
                <w:p w14:paraId="7F97AAC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学生操作</w:t>
                  </w:r>
                </w:p>
              </w:tc>
            </w:tr>
            <w:tr w14:paraId="61DE46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254C396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1"/>
                      <w:sz w:val="21"/>
                      <w:szCs w:val="21"/>
                    </w:rPr>
                    <w:t>79</w:t>
                  </w:r>
                </w:p>
              </w:tc>
              <w:tc>
                <w:tcPr>
                  <w:tcW w:w="2675" w:type="pct"/>
                  <w:tcBorders>
                    <w:tl2br w:val="nil"/>
                    <w:tr2bl w:val="nil"/>
                  </w:tcBorders>
                  <w:shd w:val="clear" w:color="auto" w:fill="auto"/>
                  <w:vAlign w:val="center"/>
                </w:tcPr>
                <w:p w14:paraId="1D4BF4E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组成串联电路及特点</w:t>
                  </w:r>
                </w:p>
              </w:tc>
              <w:tc>
                <w:tcPr>
                  <w:tcW w:w="1490" w:type="pct"/>
                  <w:tcBorders>
                    <w:tl2br w:val="nil"/>
                    <w:tr2bl w:val="nil"/>
                  </w:tcBorders>
                  <w:shd w:val="clear" w:color="auto" w:fill="auto"/>
                  <w:vAlign w:val="center"/>
                </w:tcPr>
                <w:p w14:paraId="20AF442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7"/>
                      <w:sz w:val="21"/>
                      <w:szCs w:val="21"/>
                    </w:rPr>
                    <w:t>教师演示</w:t>
                  </w:r>
                  <w:r>
                    <w:rPr>
                      <w:rFonts w:ascii="Times New Roman" w:hAnsi="Times New Roman" w:eastAsia="Times New Roman" w:cs="Times New Roman"/>
                      <w:color w:val="auto"/>
                      <w:spacing w:val="7"/>
                      <w:sz w:val="21"/>
                      <w:szCs w:val="21"/>
                    </w:rPr>
                    <w:t>+</w:t>
                  </w:r>
                  <w:r>
                    <w:rPr>
                      <w:rFonts w:ascii="宋体" w:hAnsi="宋体" w:eastAsia="宋体" w:cs="宋体"/>
                      <w:color w:val="auto"/>
                      <w:spacing w:val="7"/>
                      <w:sz w:val="21"/>
                      <w:szCs w:val="21"/>
                    </w:rPr>
                    <w:t>学生操作</w:t>
                  </w:r>
                </w:p>
              </w:tc>
            </w:tr>
            <w:tr w14:paraId="025406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17F9273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2"/>
                      <w:sz w:val="21"/>
                      <w:szCs w:val="21"/>
                    </w:rPr>
                    <w:t>80</w:t>
                  </w:r>
                </w:p>
              </w:tc>
              <w:tc>
                <w:tcPr>
                  <w:tcW w:w="2675" w:type="pct"/>
                  <w:tcBorders>
                    <w:tl2br w:val="nil"/>
                    <w:tr2bl w:val="nil"/>
                  </w:tcBorders>
                  <w:shd w:val="clear" w:color="auto" w:fill="auto"/>
                  <w:vAlign w:val="center"/>
                </w:tcPr>
                <w:p w14:paraId="52AE92A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组成并联电路及特点</w:t>
                  </w:r>
                </w:p>
              </w:tc>
              <w:tc>
                <w:tcPr>
                  <w:tcW w:w="1490" w:type="pct"/>
                  <w:tcBorders>
                    <w:tl2br w:val="nil"/>
                    <w:tr2bl w:val="nil"/>
                  </w:tcBorders>
                  <w:shd w:val="clear" w:color="auto" w:fill="auto"/>
                  <w:vAlign w:val="center"/>
                </w:tcPr>
                <w:p w14:paraId="289BCE8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7"/>
                      <w:sz w:val="21"/>
                      <w:szCs w:val="21"/>
                    </w:rPr>
                    <w:t>教师演示</w:t>
                  </w:r>
                  <w:r>
                    <w:rPr>
                      <w:rFonts w:ascii="Times New Roman" w:hAnsi="Times New Roman" w:eastAsia="Times New Roman" w:cs="Times New Roman"/>
                      <w:color w:val="auto"/>
                      <w:spacing w:val="7"/>
                      <w:sz w:val="21"/>
                      <w:szCs w:val="21"/>
                    </w:rPr>
                    <w:t>+</w:t>
                  </w:r>
                  <w:r>
                    <w:rPr>
                      <w:rFonts w:ascii="宋体" w:hAnsi="宋体" w:eastAsia="宋体" w:cs="宋体"/>
                      <w:color w:val="auto"/>
                      <w:spacing w:val="7"/>
                      <w:sz w:val="21"/>
                      <w:szCs w:val="21"/>
                    </w:rPr>
                    <w:t>学生操作</w:t>
                  </w:r>
                </w:p>
              </w:tc>
            </w:tr>
            <w:tr w14:paraId="04797A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33F941A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2"/>
                      <w:sz w:val="21"/>
                      <w:szCs w:val="21"/>
                    </w:rPr>
                    <w:t>81</w:t>
                  </w:r>
                </w:p>
              </w:tc>
              <w:tc>
                <w:tcPr>
                  <w:tcW w:w="2675" w:type="pct"/>
                  <w:tcBorders>
                    <w:tl2br w:val="nil"/>
                    <w:tr2bl w:val="nil"/>
                  </w:tcBorders>
                  <w:shd w:val="clear" w:color="auto" w:fill="auto"/>
                  <w:vAlign w:val="center"/>
                </w:tcPr>
                <w:p w14:paraId="0A586E1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探究串、并联电路电流的规律</w:t>
                  </w:r>
                </w:p>
              </w:tc>
              <w:tc>
                <w:tcPr>
                  <w:tcW w:w="1490" w:type="pct"/>
                  <w:tcBorders>
                    <w:tl2br w:val="nil"/>
                    <w:tr2bl w:val="nil"/>
                  </w:tcBorders>
                  <w:shd w:val="clear" w:color="auto" w:fill="auto"/>
                  <w:vAlign w:val="center"/>
                </w:tcPr>
                <w:p w14:paraId="5A4CB43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学生操作</w:t>
                  </w:r>
                </w:p>
              </w:tc>
            </w:tr>
            <w:tr w14:paraId="1B3683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65748C5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2"/>
                      <w:sz w:val="21"/>
                      <w:szCs w:val="21"/>
                    </w:rPr>
                    <w:t>82</w:t>
                  </w:r>
                </w:p>
              </w:tc>
              <w:tc>
                <w:tcPr>
                  <w:tcW w:w="2675" w:type="pct"/>
                  <w:tcBorders>
                    <w:tl2br w:val="nil"/>
                    <w:tr2bl w:val="nil"/>
                  </w:tcBorders>
                  <w:shd w:val="clear" w:color="auto" w:fill="auto"/>
                  <w:vAlign w:val="center"/>
                </w:tcPr>
                <w:p w14:paraId="464A198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9"/>
                      <w:sz w:val="21"/>
                      <w:szCs w:val="21"/>
                    </w:rPr>
                    <w:t>探究串、并联电路电压的规律</w:t>
                  </w:r>
                </w:p>
              </w:tc>
              <w:tc>
                <w:tcPr>
                  <w:tcW w:w="1490" w:type="pct"/>
                  <w:tcBorders>
                    <w:tl2br w:val="nil"/>
                    <w:tr2bl w:val="nil"/>
                  </w:tcBorders>
                  <w:shd w:val="clear" w:color="auto" w:fill="auto"/>
                  <w:vAlign w:val="center"/>
                </w:tcPr>
                <w:p w14:paraId="0F02F6F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学生操作</w:t>
                  </w:r>
                </w:p>
              </w:tc>
            </w:tr>
            <w:tr w14:paraId="7588E8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0845173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2"/>
                      <w:sz w:val="21"/>
                      <w:szCs w:val="21"/>
                    </w:rPr>
                    <w:t>83</w:t>
                  </w:r>
                </w:p>
              </w:tc>
              <w:tc>
                <w:tcPr>
                  <w:tcW w:w="2675" w:type="pct"/>
                  <w:tcBorders>
                    <w:tl2br w:val="nil"/>
                    <w:tr2bl w:val="nil"/>
                  </w:tcBorders>
                  <w:shd w:val="clear" w:color="auto" w:fill="auto"/>
                  <w:vAlign w:val="center"/>
                </w:tcPr>
                <w:p w14:paraId="0F87319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4"/>
                      <w:sz w:val="21"/>
                      <w:szCs w:val="21"/>
                    </w:rPr>
                    <w:t>电流表的使用</w:t>
                  </w:r>
                </w:p>
              </w:tc>
              <w:tc>
                <w:tcPr>
                  <w:tcW w:w="1490" w:type="pct"/>
                  <w:tcBorders>
                    <w:tl2br w:val="nil"/>
                    <w:tr2bl w:val="nil"/>
                  </w:tcBorders>
                  <w:shd w:val="clear" w:color="auto" w:fill="auto"/>
                  <w:vAlign w:val="center"/>
                </w:tcPr>
                <w:p w14:paraId="1ED2E31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7"/>
                      <w:sz w:val="21"/>
                      <w:szCs w:val="21"/>
                    </w:rPr>
                    <w:t>教师演示</w:t>
                  </w:r>
                  <w:r>
                    <w:rPr>
                      <w:rFonts w:ascii="Times New Roman" w:hAnsi="Times New Roman" w:eastAsia="Times New Roman" w:cs="Times New Roman"/>
                      <w:color w:val="auto"/>
                      <w:spacing w:val="7"/>
                      <w:sz w:val="21"/>
                      <w:szCs w:val="21"/>
                    </w:rPr>
                    <w:t>+</w:t>
                  </w:r>
                  <w:r>
                    <w:rPr>
                      <w:rFonts w:ascii="宋体" w:hAnsi="宋体" w:eastAsia="宋体" w:cs="宋体"/>
                      <w:color w:val="auto"/>
                      <w:spacing w:val="7"/>
                      <w:sz w:val="21"/>
                      <w:szCs w:val="21"/>
                    </w:rPr>
                    <w:t>学生操作</w:t>
                  </w:r>
                </w:p>
              </w:tc>
            </w:tr>
            <w:tr w14:paraId="42CFDE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657E66D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2"/>
                      <w:sz w:val="21"/>
                      <w:szCs w:val="21"/>
                    </w:rPr>
                    <w:t>84</w:t>
                  </w:r>
                </w:p>
              </w:tc>
              <w:tc>
                <w:tcPr>
                  <w:tcW w:w="2675" w:type="pct"/>
                  <w:tcBorders>
                    <w:tl2br w:val="nil"/>
                    <w:tr2bl w:val="nil"/>
                  </w:tcBorders>
                  <w:shd w:val="clear" w:color="auto" w:fill="auto"/>
                  <w:vAlign w:val="center"/>
                </w:tcPr>
                <w:p w14:paraId="00CAAE9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4"/>
                      <w:sz w:val="21"/>
                      <w:szCs w:val="21"/>
                    </w:rPr>
                    <w:t>电压表的使用</w:t>
                  </w:r>
                </w:p>
              </w:tc>
              <w:tc>
                <w:tcPr>
                  <w:tcW w:w="1490" w:type="pct"/>
                  <w:tcBorders>
                    <w:tl2br w:val="nil"/>
                    <w:tr2bl w:val="nil"/>
                  </w:tcBorders>
                  <w:shd w:val="clear" w:color="auto" w:fill="auto"/>
                  <w:vAlign w:val="center"/>
                </w:tcPr>
                <w:p w14:paraId="3FA492E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7"/>
                      <w:sz w:val="21"/>
                      <w:szCs w:val="21"/>
                    </w:rPr>
                    <w:t>教师演示</w:t>
                  </w:r>
                  <w:r>
                    <w:rPr>
                      <w:rFonts w:ascii="Times New Roman" w:hAnsi="Times New Roman" w:eastAsia="Times New Roman" w:cs="Times New Roman"/>
                      <w:color w:val="auto"/>
                      <w:spacing w:val="7"/>
                      <w:sz w:val="21"/>
                      <w:szCs w:val="21"/>
                    </w:rPr>
                    <w:t>+</w:t>
                  </w:r>
                  <w:r>
                    <w:rPr>
                      <w:rFonts w:ascii="宋体" w:hAnsi="宋体" w:eastAsia="宋体" w:cs="宋体"/>
                      <w:color w:val="auto"/>
                      <w:spacing w:val="7"/>
                      <w:sz w:val="21"/>
                      <w:szCs w:val="21"/>
                    </w:rPr>
                    <w:t>学生操作</w:t>
                  </w:r>
                </w:p>
              </w:tc>
            </w:tr>
            <w:tr w14:paraId="1CB8D8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7A430F3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2"/>
                      <w:sz w:val="21"/>
                      <w:szCs w:val="21"/>
                    </w:rPr>
                    <w:t>85</w:t>
                  </w:r>
                </w:p>
              </w:tc>
              <w:tc>
                <w:tcPr>
                  <w:tcW w:w="2675" w:type="pct"/>
                  <w:tcBorders>
                    <w:tl2br w:val="nil"/>
                    <w:tr2bl w:val="nil"/>
                  </w:tcBorders>
                  <w:shd w:val="clear" w:color="auto" w:fill="auto"/>
                  <w:vAlign w:val="center"/>
                </w:tcPr>
                <w:p w14:paraId="74E27E1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观察电能表</w:t>
                  </w:r>
                </w:p>
              </w:tc>
              <w:tc>
                <w:tcPr>
                  <w:tcW w:w="1490" w:type="pct"/>
                  <w:tcBorders>
                    <w:tl2br w:val="nil"/>
                    <w:tr2bl w:val="nil"/>
                  </w:tcBorders>
                  <w:shd w:val="clear" w:color="auto" w:fill="auto"/>
                  <w:vAlign w:val="center"/>
                </w:tcPr>
                <w:p w14:paraId="6D1039D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7"/>
                      <w:sz w:val="21"/>
                      <w:szCs w:val="21"/>
                    </w:rPr>
                    <w:t>教师演示</w:t>
                  </w:r>
                  <w:r>
                    <w:rPr>
                      <w:rFonts w:ascii="Times New Roman" w:hAnsi="Times New Roman" w:eastAsia="Times New Roman" w:cs="Times New Roman"/>
                      <w:color w:val="auto"/>
                      <w:spacing w:val="7"/>
                      <w:sz w:val="21"/>
                      <w:szCs w:val="21"/>
                    </w:rPr>
                    <w:t>+</w:t>
                  </w:r>
                  <w:r>
                    <w:rPr>
                      <w:rFonts w:ascii="宋体" w:hAnsi="宋体" w:eastAsia="宋体" w:cs="宋体"/>
                      <w:color w:val="auto"/>
                      <w:spacing w:val="7"/>
                      <w:sz w:val="21"/>
                      <w:szCs w:val="21"/>
                    </w:rPr>
                    <w:t>学生操作</w:t>
                  </w:r>
                </w:p>
              </w:tc>
            </w:tr>
            <w:tr w14:paraId="63A614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71FB774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2"/>
                      <w:sz w:val="21"/>
                      <w:szCs w:val="21"/>
                    </w:rPr>
                    <w:t>86</w:t>
                  </w:r>
                </w:p>
              </w:tc>
              <w:tc>
                <w:tcPr>
                  <w:tcW w:w="2675" w:type="pct"/>
                  <w:tcBorders>
                    <w:tl2br w:val="nil"/>
                    <w:tr2bl w:val="nil"/>
                  </w:tcBorders>
                  <w:shd w:val="clear" w:color="auto" w:fill="auto"/>
                  <w:vAlign w:val="center"/>
                </w:tcPr>
                <w:p w14:paraId="5199058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观察电器铭牌</w:t>
                  </w:r>
                </w:p>
              </w:tc>
              <w:tc>
                <w:tcPr>
                  <w:tcW w:w="1490" w:type="pct"/>
                  <w:tcBorders>
                    <w:tl2br w:val="nil"/>
                    <w:tr2bl w:val="nil"/>
                  </w:tcBorders>
                  <w:shd w:val="clear" w:color="auto" w:fill="auto"/>
                  <w:vAlign w:val="center"/>
                </w:tcPr>
                <w:p w14:paraId="324EAC7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7"/>
                      <w:sz w:val="21"/>
                      <w:szCs w:val="21"/>
                    </w:rPr>
                    <w:t>教师演示</w:t>
                  </w:r>
                  <w:r>
                    <w:rPr>
                      <w:rFonts w:ascii="Times New Roman" w:hAnsi="Times New Roman" w:eastAsia="Times New Roman" w:cs="Times New Roman"/>
                      <w:color w:val="auto"/>
                      <w:spacing w:val="7"/>
                      <w:sz w:val="21"/>
                      <w:szCs w:val="21"/>
                    </w:rPr>
                    <w:t>+</w:t>
                  </w:r>
                  <w:r>
                    <w:rPr>
                      <w:rFonts w:ascii="宋体" w:hAnsi="宋体" w:eastAsia="宋体" w:cs="宋体"/>
                      <w:color w:val="auto"/>
                      <w:spacing w:val="7"/>
                      <w:sz w:val="21"/>
                      <w:szCs w:val="21"/>
                    </w:rPr>
                    <w:t>学生操作</w:t>
                  </w:r>
                </w:p>
              </w:tc>
            </w:tr>
            <w:tr w14:paraId="229EBD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48ECA23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2"/>
                      <w:sz w:val="21"/>
                      <w:szCs w:val="21"/>
                    </w:rPr>
                    <w:t>87</w:t>
                  </w:r>
                </w:p>
              </w:tc>
              <w:tc>
                <w:tcPr>
                  <w:tcW w:w="2675" w:type="pct"/>
                  <w:tcBorders>
                    <w:tl2br w:val="nil"/>
                    <w:tr2bl w:val="nil"/>
                  </w:tcBorders>
                  <w:shd w:val="clear" w:color="auto" w:fill="auto"/>
                  <w:vAlign w:val="center"/>
                </w:tcPr>
                <w:p w14:paraId="317ED08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测量小灯泡的电功率</w:t>
                  </w:r>
                </w:p>
              </w:tc>
              <w:tc>
                <w:tcPr>
                  <w:tcW w:w="1490" w:type="pct"/>
                  <w:tcBorders>
                    <w:tl2br w:val="nil"/>
                    <w:tr2bl w:val="nil"/>
                  </w:tcBorders>
                  <w:shd w:val="clear" w:color="auto" w:fill="auto"/>
                  <w:vAlign w:val="center"/>
                </w:tcPr>
                <w:p w14:paraId="2422C67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学生操作</w:t>
                  </w:r>
                </w:p>
              </w:tc>
            </w:tr>
            <w:tr w14:paraId="13BCA9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4FB4A2C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2"/>
                      <w:sz w:val="21"/>
                      <w:szCs w:val="21"/>
                    </w:rPr>
                    <w:t>88</w:t>
                  </w:r>
                </w:p>
              </w:tc>
              <w:tc>
                <w:tcPr>
                  <w:tcW w:w="2675" w:type="pct"/>
                  <w:tcBorders>
                    <w:tl2br w:val="nil"/>
                    <w:tr2bl w:val="nil"/>
                  </w:tcBorders>
                  <w:shd w:val="clear" w:color="auto" w:fill="auto"/>
                  <w:vAlign w:val="center"/>
                </w:tcPr>
                <w:p w14:paraId="7D0C760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电流通过导体产生热量跟什么因素有关</w:t>
                  </w:r>
                </w:p>
              </w:tc>
              <w:tc>
                <w:tcPr>
                  <w:tcW w:w="1490" w:type="pct"/>
                  <w:tcBorders>
                    <w:tl2br w:val="nil"/>
                    <w:tr2bl w:val="nil"/>
                  </w:tcBorders>
                  <w:shd w:val="clear" w:color="auto" w:fill="auto"/>
                  <w:vAlign w:val="center"/>
                </w:tcPr>
                <w:p w14:paraId="2F17193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4BED9D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29DEB13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pacing w:val="-2"/>
                      <w:sz w:val="21"/>
                      <w:szCs w:val="21"/>
                    </w:rPr>
                    <w:t>89</w:t>
                  </w:r>
                </w:p>
              </w:tc>
              <w:tc>
                <w:tcPr>
                  <w:tcW w:w="2675" w:type="pct"/>
                  <w:tcBorders>
                    <w:tl2br w:val="nil"/>
                    <w:tr2bl w:val="nil"/>
                  </w:tcBorders>
                  <w:shd w:val="clear" w:color="auto" w:fill="auto"/>
                  <w:vAlign w:val="center"/>
                </w:tcPr>
                <w:p w14:paraId="33AF916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家庭电路的组成</w:t>
                  </w:r>
                </w:p>
              </w:tc>
              <w:tc>
                <w:tcPr>
                  <w:tcW w:w="1490" w:type="pct"/>
                  <w:tcBorders>
                    <w:tl2br w:val="nil"/>
                    <w:tr2bl w:val="nil"/>
                  </w:tcBorders>
                  <w:shd w:val="clear" w:color="auto" w:fill="auto"/>
                  <w:vAlign w:val="center"/>
                </w:tcPr>
                <w:p w14:paraId="1027394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0CBDE7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4ECA3F9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90</w:t>
                  </w:r>
                </w:p>
              </w:tc>
              <w:tc>
                <w:tcPr>
                  <w:tcW w:w="2675" w:type="pct"/>
                  <w:tcBorders>
                    <w:tl2br w:val="nil"/>
                    <w:tr2bl w:val="nil"/>
                  </w:tcBorders>
                  <w:shd w:val="clear" w:color="auto" w:fill="auto"/>
                  <w:vAlign w:val="center"/>
                </w:tcPr>
                <w:p w14:paraId="5C01B25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试电笔的使用</w:t>
                  </w:r>
                </w:p>
              </w:tc>
              <w:tc>
                <w:tcPr>
                  <w:tcW w:w="1490" w:type="pct"/>
                  <w:tcBorders>
                    <w:tl2br w:val="nil"/>
                    <w:tr2bl w:val="nil"/>
                  </w:tcBorders>
                  <w:shd w:val="clear" w:color="auto" w:fill="auto"/>
                  <w:vAlign w:val="center"/>
                </w:tcPr>
                <w:p w14:paraId="4AA47F8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r w14:paraId="3A3E43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9" w:hRule="atLeast"/>
                <w:jc w:val="center"/>
              </w:trPr>
              <w:tc>
                <w:tcPr>
                  <w:tcW w:w="833" w:type="pct"/>
                  <w:tcBorders>
                    <w:tl2br w:val="nil"/>
                    <w:tr2bl w:val="nil"/>
                  </w:tcBorders>
                  <w:shd w:val="clear" w:color="auto" w:fill="auto"/>
                  <w:vAlign w:val="center"/>
                </w:tcPr>
                <w:p w14:paraId="3AD9C89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spacing w:val="2"/>
                      <w:sz w:val="21"/>
                      <w:szCs w:val="21"/>
                    </w:rPr>
                  </w:pPr>
                  <w:r>
                    <w:rPr>
                      <w:rFonts w:ascii="Times New Roman" w:hAnsi="Times New Roman" w:eastAsia="Times New Roman" w:cs="Times New Roman"/>
                      <w:color w:val="auto"/>
                      <w:sz w:val="21"/>
                      <w:szCs w:val="21"/>
                    </w:rPr>
                    <w:t>91</w:t>
                  </w:r>
                </w:p>
              </w:tc>
              <w:tc>
                <w:tcPr>
                  <w:tcW w:w="2675" w:type="pct"/>
                  <w:tcBorders>
                    <w:tl2br w:val="nil"/>
                    <w:tr2bl w:val="nil"/>
                  </w:tcBorders>
                  <w:shd w:val="clear" w:color="auto" w:fill="auto"/>
                  <w:vAlign w:val="center"/>
                </w:tcPr>
                <w:p w14:paraId="6952D7F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9"/>
                      <w:sz w:val="21"/>
                      <w:szCs w:val="21"/>
                    </w:rPr>
                  </w:pPr>
                  <w:r>
                    <w:rPr>
                      <w:rFonts w:ascii="宋体" w:hAnsi="宋体" w:eastAsia="宋体" w:cs="宋体"/>
                      <w:color w:val="auto"/>
                      <w:spacing w:val="8"/>
                      <w:sz w:val="21"/>
                      <w:szCs w:val="21"/>
                    </w:rPr>
                    <w:t>三孔插座和三角插头</w:t>
                  </w:r>
                </w:p>
              </w:tc>
              <w:tc>
                <w:tcPr>
                  <w:tcW w:w="1490" w:type="pct"/>
                  <w:tcBorders>
                    <w:tl2br w:val="nil"/>
                    <w:tr2bl w:val="nil"/>
                  </w:tcBorders>
                  <w:shd w:val="clear" w:color="auto" w:fill="auto"/>
                  <w:vAlign w:val="center"/>
                </w:tcPr>
                <w:p w14:paraId="4E123D9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教师演示</w:t>
                  </w:r>
                </w:p>
              </w:tc>
            </w:tr>
          </w:tbl>
          <w:p w14:paraId="37F77CD9">
            <w:pPr>
              <w:spacing w:line="360" w:lineRule="auto"/>
              <w:ind w:firstLine="480"/>
              <w:rPr>
                <w:rFonts w:ascii="Times New Roman" w:hAnsi="Times New Roman" w:cs="Times New Roman"/>
                <w:color w:val="auto"/>
                <w:sz w:val="24"/>
                <w:szCs w:val="24"/>
                <w:highlight w:val="none"/>
              </w:rPr>
            </w:pPr>
            <w:r>
              <w:rPr>
                <w:rFonts w:ascii="宋体" w:hAnsi="宋体" w:eastAsia="宋体" w:cs="宋体"/>
                <w:color w:val="auto"/>
                <w:sz w:val="24"/>
                <w:szCs w:val="24"/>
              </w:rPr>
              <w:t>根据上表可知，学校物理实验课程不涉及使</w:t>
            </w:r>
            <w:r>
              <w:rPr>
                <w:rFonts w:ascii="宋体" w:hAnsi="宋体" w:eastAsia="宋体" w:cs="宋体"/>
                <w:color w:val="auto"/>
                <w:spacing w:val="-1"/>
                <w:sz w:val="24"/>
                <w:szCs w:val="24"/>
              </w:rPr>
              <w:t>用化学试剂，主要使用游</w:t>
            </w:r>
            <w:r>
              <w:rPr>
                <w:rFonts w:ascii="宋体" w:hAnsi="宋体" w:eastAsia="宋体" w:cs="宋体"/>
                <w:color w:val="auto"/>
                <w:sz w:val="24"/>
                <w:szCs w:val="24"/>
              </w:rPr>
              <w:t>标卡尺、螺旋测微器、弹簧测力计、天平、秒</w:t>
            </w:r>
            <w:r>
              <w:rPr>
                <w:rFonts w:ascii="宋体" w:hAnsi="宋体" w:eastAsia="宋体" w:cs="宋体"/>
                <w:color w:val="auto"/>
                <w:spacing w:val="-1"/>
                <w:sz w:val="24"/>
                <w:szCs w:val="24"/>
              </w:rPr>
              <w:t>表、玻璃、光等作为实验道</w:t>
            </w:r>
            <w:r>
              <w:rPr>
                <w:rFonts w:ascii="宋体" w:hAnsi="宋体" w:eastAsia="宋体" w:cs="宋体"/>
                <w:color w:val="auto"/>
                <w:sz w:val="24"/>
                <w:szCs w:val="24"/>
              </w:rPr>
              <w:t>具。</w:t>
            </w:r>
            <w:r>
              <w:rPr>
                <w:rFonts w:ascii="宋体" w:hAnsi="宋体" w:eastAsia="宋体" w:cs="宋体"/>
                <w:color w:val="auto"/>
                <w:sz w:val="24"/>
                <w:szCs w:val="24"/>
                <w:u w:val="single" w:color="auto"/>
              </w:rPr>
              <w:t>物理实验主要教师课堂演示实验，同时有</w:t>
            </w:r>
            <w:r>
              <w:rPr>
                <w:rFonts w:ascii="宋体" w:hAnsi="宋体" w:eastAsia="宋体" w:cs="宋体"/>
                <w:color w:val="auto"/>
                <w:spacing w:val="-1"/>
                <w:sz w:val="24"/>
                <w:szCs w:val="24"/>
                <w:u w:val="single" w:color="auto"/>
              </w:rPr>
              <w:t>部分为学生操作实验，物理</w:t>
            </w:r>
            <w:r>
              <w:rPr>
                <w:rFonts w:ascii="宋体" w:hAnsi="宋体" w:eastAsia="宋体" w:cs="宋体"/>
                <w:color w:val="auto"/>
                <w:spacing w:val="1"/>
                <w:sz w:val="24"/>
                <w:szCs w:val="24"/>
                <w:u w:val="single" w:color="auto"/>
              </w:rPr>
              <w:t>实验过程会有极少量干电池产生。</w:t>
            </w:r>
          </w:p>
          <w:p w14:paraId="1F845FE8">
            <w:pPr>
              <w:spacing w:line="217" w:lineRule="auto"/>
              <w:ind w:left="586"/>
              <w:rPr>
                <w:rFonts w:ascii="宋体" w:hAnsi="宋体" w:eastAsia="宋体" w:cs="宋体"/>
                <w:color w:val="auto"/>
                <w:sz w:val="24"/>
                <w:szCs w:val="24"/>
              </w:rPr>
            </w:pPr>
            <w:r>
              <w:rPr>
                <w:rFonts w:ascii="宋体" w:hAnsi="宋体" w:eastAsia="宋体" w:cs="宋体"/>
                <w:b/>
                <w:bCs/>
                <w:color w:val="auto"/>
                <w:spacing w:val="-4"/>
                <w:sz w:val="24"/>
                <w:szCs w:val="24"/>
              </w:rPr>
              <w:t>②化学实验</w:t>
            </w:r>
          </w:p>
          <w:p w14:paraId="1978876E">
            <w:pPr>
              <w:spacing w:before="183" w:line="354" w:lineRule="auto"/>
              <w:ind w:left="113" w:right="102" w:firstLine="475"/>
              <w:rPr>
                <w:rFonts w:hint="eastAsia" w:ascii="宋体" w:hAnsi="宋体" w:eastAsia="宋体" w:cs="宋体"/>
                <w:color w:val="auto"/>
                <w:sz w:val="24"/>
                <w:szCs w:val="24"/>
                <w:lang w:eastAsia="zh-CN"/>
              </w:rPr>
            </w:pPr>
            <w:r>
              <w:rPr>
                <w:rFonts w:ascii="宋体" w:hAnsi="宋体" w:eastAsia="宋体" w:cs="宋体"/>
                <w:color w:val="auto"/>
                <w:spacing w:val="-2"/>
                <w:sz w:val="24"/>
                <w:szCs w:val="24"/>
              </w:rPr>
              <w:t>根据《四川省中小学教学实验目录》（</w:t>
            </w:r>
            <w:r>
              <w:rPr>
                <w:rFonts w:ascii="宋体" w:hAnsi="宋体" w:eastAsia="宋体" w:cs="宋体"/>
                <w:color w:val="auto"/>
                <w:spacing w:val="-1"/>
                <w:sz w:val="24"/>
                <w:szCs w:val="24"/>
              </w:rPr>
              <w:t>川教</w:t>
            </w:r>
            <w:r>
              <w:rPr>
                <w:rFonts w:ascii="宋体" w:hAnsi="宋体" w:eastAsia="宋体" w:cs="宋体"/>
                <w:color w:val="auto"/>
                <w:spacing w:val="-2"/>
                <w:sz w:val="24"/>
                <w:szCs w:val="24"/>
              </w:rPr>
              <w:t>函</w:t>
            </w:r>
            <w:r>
              <w:rPr>
                <w:rFonts w:hint="eastAsia"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2015</w:t>
            </w:r>
            <w:r>
              <w:rPr>
                <w:rFonts w:hint="eastAsia"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306</w:t>
            </w:r>
            <w:r>
              <w:rPr>
                <w:rFonts w:ascii="宋体" w:hAnsi="宋体" w:eastAsia="宋体" w:cs="宋体"/>
                <w:color w:val="auto"/>
                <w:spacing w:val="-2"/>
                <w:sz w:val="24"/>
                <w:szCs w:val="24"/>
              </w:rPr>
              <w:t>号</w:t>
            </w:r>
            <w:r>
              <w:rPr>
                <w:rFonts w:ascii="宋体" w:hAnsi="宋体" w:eastAsia="宋体" w:cs="宋体"/>
                <w:color w:val="auto"/>
                <w:spacing w:val="-5"/>
                <w:sz w:val="24"/>
                <w:szCs w:val="24"/>
              </w:rPr>
              <w:t>），</w:t>
            </w:r>
            <w:r>
              <w:rPr>
                <w:rFonts w:ascii="宋体" w:hAnsi="宋体" w:eastAsia="宋体" w:cs="宋体"/>
                <w:color w:val="auto"/>
                <w:spacing w:val="-2"/>
                <w:sz w:val="24"/>
                <w:szCs w:val="24"/>
              </w:rPr>
              <w:t>初中化学教学实验主要内容如下</w:t>
            </w:r>
            <w:r>
              <w:rPr>
                <w:rFonts w:hint="eastAsia" w:ascii="宋体" w:hAnsi="宋体" w:eastAsia="宋体" w:cs="宋体"/>
                <w:color w:val="auto"/>
                <w:spacing w:val="-2"/>
                <w:sz w:val="24"/>
                <w:szCs w:val="24"/>
                <w:lang w:eastAsia="zh-CN"/>
              </w:rPr>
              <w:t>：</w:t>
            </w:r>
          </w:p>
          <w:p w14:paraId="2F1516DC">
            <w:pPr>
              <w:pStyle w:val="114"/>
              <w:bidi w:val="0"/>
              <w:rPr>
                <w:color w:val="auto"/>
              </w:rPr>
            </w:pPr>
            <w:r>
              <w:rPr>
                <w:color w:val="auto"/>
              </w:rPr>
              <w:t>初中化学实验项目及化学实验药品一览表</w:t>
            </w:r>
          </w:p>
          <w:tbl>
            <w:tblPr>
              <w:tblStyle w:val="123"/>
              <w:tblW w:w="893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83"/>
              <w:gridCol w:w="2"/>
              <w:gridCol w:w="1021"/>
              <w:gridCol w:w="4590"/>
              <w:gridCol w:w="4"/>
              <w:gridCol w:w="910"/>
              <w:gridCol w:w="5"/>
              <w:gridCol w:w="928"/>
              <w:gridCol w:w="7"/>
              <w:gridCol w:w="767"/>
              <w:gridCol w:w="19"/>
            </w:tblGrid>
            <w:tr w14:paraId="5B398A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shd w:val="clear" w:color="auto" w:fill="auto"/>
                  <w:vAlign w:val="center"/>
                </w:tcPr>
                <w:p w14:paraId="3DEB52B8">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571" w:type="pct"/>
                  <w:tcBorders>
                    <w:tl2br w:val="nil"/>
                    <w:tr2bl w:val="nil"/>
                  </w:tcBorders>
                  <w:shd w:val="clear" w:color="auto" w:fill="auto"/>
                  <w:vAlign w:val="center"/>
                </w:tcPr>
                <w:p w14:paraId="45A1E88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实验</w:t>
                  </w:r>
                </w:p>
                <w:p w14:paraId="0DE44D3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2569" w:type="pct"/>
                  <w:gridSpan w:val="2"/>
                  <w:tcBorders>
                    <w:tl2br w:val="nil"/>
                    <w:tr2bl w:val="nil"/>
                  </w:tcBorders>
                  <w:shd w:val="clear" w:color="auto" w:fill="auto"/>
                  <w:vAlign w:val="center"/>
                </w:tcPr>
                <w:p w14:paraId="15D912E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主要实验内容</w:t>
                  </w:r>
                </w:p>
              </w:tc>
              <w:tc>
                <w:tcPr>
                  <w:tcW w:w="512" w:type="pct"/>
                  <w:gridSpan w:val="2"/>
                  <w:tcBorders>
                    <w:tl2br w:val="nil"/>
                    <w:tr2bl w:val="nil"/>
                  </w:tcBorders>
                  <w:shd w:val="clear" w:color="auto" w:fill="auto"/>
                  <w:vAlign w:val="center"/>
                </w:tcPr>
                <w:p w14:paraId="2219BD8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实验</w:t>
                  </w:r>
                </w:p>
                <w:p w14:paraId="665A59C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用具</w:t>
                  </w:r>
                </w:p>
              </w:tc>
              <w:tc>
                <w:tcPr>
                  <w:tcW w:w="523" w:type="pct"/>
                  <w:gridSpan w:val="2"/>
                  <w:tcBorders>
                    <w:tl2br w:val="nil"/>
                    <w:tr2bl w:val="nil"/>
                  </w:tcBorders>
                  <w:shd w:val="clear" w:color="auto" w:fill="auto"/>
                  <w:vAlign w:val="center"/>
                </w:tcPr>
                <w:p w14:paraId="6F66CDF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实验</w:t>
                  </w:r>
                </w:p>
                <w:p w14:paraId="50F39DA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试剂</w:t>
                  </w:r>
                </w:p>
              </w:tc>
              <w:tc>
                <w:tcPr>
                  <w:tcW w:w="439" w:type="pct"/>
                  <w:gridSpan w:val="2"/>
                  <w:tcBorders>
                    <w:tl2br w:val="nil"/>
                    <w:tr2bl w:val="nil"/>
                  </w:tcBorders>
                  <w:shd w:val="clear" w:color="auto" w:fill="auto"/>
                  <w:vAlign w:val="center"/>
                </w:tcPr>
                <w:p w14:paraId="1742F3C2">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14:paraId="325A12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1193CC7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71" w:type="pct"/>
                  <w:tcBorders>
                    <w:tl2br w:val="nil"/>
                    <w:tr2bl w:val="nil"/>
                  </w:tcBorders>
                  <w:vAlign w:val="center"/>
                </w:tcPr>
                <w:p w14:paraId="2B4240F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探究蜡烛燃烧的奥秘</w:t>
                  </w:r>
                </w:p>
              </w:tc>
              <w:tc>
                <w:tcPr>
                  <w:tcW w:w="2569" w:type="pct"/>
                  <w:gridSpan w:val="2"/>
                  <w:tcBorders>
                    <w:tl2br w:val="nil"/>
                    <w:tr2bl w:val="nil"/>
                  </w:tcBorders>
                  <w:vAlign w:val="center"/>
                </w:tcPr>
                <w:p w14:paraId="6C8BA7B3">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1.点燃蜡烛：首先，点燃蜡烛，确保蜡烛稳定燃烧。</w:t>
                  </w:r>
                </w:p>
                <w:p w14:paraId="5E10ECFB">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2.观察火焰分层：蜡烛的火焰分为焰心、内焰和外焰三层。外层火焰最明亮，焰心处最暗。取一根火柴梗平放在火焰中约</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秒后取出，会看到处于外焰的部分最先变黑，说明外焰温度最高。</w:t>
                  </w:r>
                </w:p>
                <w:p w14:paraId="4E02E75F">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3.收集生成物证据：在火焰上方罩一个冷而干燥的小烧杯，烧杯内壁会出现水雾，说明蜡烛燃烧生成了水。随后迅速倒转烧杯，加入澄清的石灰水并振荡，观察到石灰水变浑浊，说明蜡烛燃烧还生成了二氧化碳。</w:t>
                  </w:r>
                </w:p>
                <w:p w14:paraId="588DE5FD">
                  <w:pPr>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4.熄灭蜡烛：吹灭蜡烛后，立即用一个内壁涂有澄清石灰水的烧杯罩住白烟，观察到石灰水变浑浊，说明白烟中含有二氧化碳</w:t>
                  </w:r>
                  <w:r>
                    <w:rPr>
                      <w:rFonts w:hint="default" w:ascii="Times New Roman" w:hAnsi="Times New Roman" w:eastAsia="宋体" w:cs="Times New Roman"/>
                      <w:color w:val="auto"/>
                      <w:sz w:val="21"/>
                      <w:szCs w:val="21"/>
                      <w:lang w:eastAsia="zh-CN"/>
                    </w:rPr>
                    <w:t>。</w:t>
                  </w:r>
                </w:p>
              </w:tc>
              <w:tc>
                <w:tcPr>
                  <w:tcW w:w="512" w:type="pct"/>
                  <w:gridSpan w:val="2"/>
                  <w:tcBorders>
                    <w:tl2br w:val="nil"/>
                    <w:tr2bl w:val="nil"/>
                  </w:tcBorders>
                  <w:vAlign w:val="center"/>
                </w:tcPr>
                <w:p w14:paraId="641D41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蜡烛、烧杯</w:t>
                  </w:r>
                </w:p>
              </w:tc>
              <w:tc>
                <w:tcPr>
                  <w:tcW w:w="523" w:type="pct"/>
                  <w:gridSpan w:val="2"/>
                  <w:tcBorders>
                    <w:tl2br w:val="nil"/>
                    <w:tr2bl w:val="nil"/>
                  </w:tcBorders>
                  <w:vAlign w:val="center"/>
                </w:tcPr>
                <w:p w14:paraId="085C7A3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澄清石灰水</w:t>
                  </w:r>
                </w:p>
              </w:tc>
              <w:tc>
                <w:tcPr>
                  <w:tcW w:w="439" w:type="pct"/>
                  <w:gridSpan w:val="2"/>
                  <w:tcBorders>
                    <w:tl2br w:val="nil"/>
                    <w:tr2bl w:val="nil"/>
                  </w:tcBorders>
                  <w:vAlign w:val="center"/>
                </w:tcPr>
                <w:p w14:paraId="0F5C1DF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学生操作</w:t>
                  </w:r>
                </w:p>
              </w:tc>
            </w:tr>
            <w:tr w14:paraId="0A94C6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0E17BF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71" w:type="pct"/>
                  <w:tcBorders>
                    <w:tl2br w:val="nil"/>
                    <w:tr2bl w:val="nil"/>
                  </w:tcBorders>
                  <w:vAlign w:val="center"/>
                </w:tcPr>
                <w:p w14:paraId="312DCB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固体、液体药品的取用</w:t>
                  </w:r>
                </w:p>
              </w:tc>
              <w:tc>
                <w:tcPr>
                  <w:tcW w:w="2569" w:type="pct"/>
                  <w:gridSpan w:val="2"/>
                  <w:tcBorders>
                    <w:tl2br w:val="nil"/>
                    <w:tr2bl w:val="nil"/>
                  </w:tcBorders>
                  <w:vAlign w:val="center"/>
                </w:tcPr>
                <w:p w14:paraId="53A4ECA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固体药品的取用粉末状药品的取用：使用药匙或纸槽。将药匙或纸槽插入试剂瓶中，取出药品后直接装入试管。对于干燥试管，可以直接使用药匙；对于湿润试管，使用纸槽更为合适。将试管倾斜，使药匙或纸槽送至试管底部，然后使试管直立，药品自然滑入试管。取出药匙或纸槽。</w:t>
                  </w:r>
                </w:p>
                <w:p w14:paraId="4B29EDEA">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块状药品的取用：</w:t>
                  </w:r>
                </w:p>
                <w:p w14:paraId="41E0B1F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使用镊子或药匙。左手持试管，右手用镊子或药匙取药品放在试管口处。慢慢将试管直立，使药品滑落到试管底部。注意不要让药品破裂或溅出。</w:t>
                  </w:r>
                </w:p>
                <w:p w14:paraId="77DE1A6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2.液体药品的取用</w:t>
                  </w:r>
                </w:p>
                <w:p w14:paraId="1E706B61">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定量取用液体药品：选择合适的量筒，倾倒液体接近所需体积的刻度线。将量筒平放在桌面上，使用胶头滴管滴加液体至所需刻度线。读数时，量筒必须放平，视线与量筒内液体凹液面的最低处保持水平。注意俯视或仰视读数会影响测量结果的准确性。</w:t>
                  </w:r>
                </w:p>
              </w:tc>
              <w:tc>
                <w:tcPr>
                  <w:tcW w:w="512" w:type="pct"/>
                  <w:gridSpan w:val="2"/>
                  <w:tcBorders>
                    <w:tl2br w:val="nil"/>
                    <w:tr2bl w:val="nil"/>
                  </w:tcBorders>
                  <w:vAlign w:val="center"/>
                </w:tcPr>
                <w:p w14:paraId="5D651F6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药匙、纸、镊子、量筒、试管</w:t>
                  </w:r>
                </w:p>
              </w:tc>
              <w:tc>
                <w:tcPr>
                  <w:tcW w:w="523" w:type="pct"/>
                  <w:gridSpan w:val="2"/>
                  <w:tcBorders>
                    <w:tl2br w:val="nil"/>
                    <w:tr2bl w:val="nil"/>
                  </w:tcBorders>
                  <w:vAlign w:val="center"/>
                </w:tcPr>
                <w:p w14:paraId="40E14FB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39" w:type="pct"/>
                  <w:gridSpan w:val="2"/>
                  <w:tcBorders>
                    <w:tl2br w:val="nil"/>
                    <w:tr2bl w:val="nil"/>
                  </w:tcBorders>
                  <w:vAlign w:val="center"/>
                </w:tcPr>
                <w:p w14:paraId="04DD85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5AAD65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12739F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571" w:type="pct"/>
                  <w:tcBorders>
                    <w:tl2br w:val="nil"/>
                    <w:tr2bl w:val="nil"/>
                  </w:tcBorders>
                  <w:vAlign w:val="center"/>
                </w:tcPr>
                <w:p w14:paraId="5015DA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闻气体的味道</w:t>
                  </w:r>
                </w:p>
              </w:tc>
              <w:tc>
                <w:tcPr>
                  <w:tcW w:w="2569" w:type="pct"/>
                  <w:gridSpan w:val="2"/>
                  <w:tcBorders>
                    <w:tl2br w:val="nil"/>
                    <w:tr2bl w:val="nil"/>
                  </w:tcBorders>
                  <w:vAlign w:val="center"/>
                </w:tcPr>
                <w:p w14:paraId="33A24F34">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1.准备阶段：确保气体样品安全，避免有毒或刺激性气体直接接触鼻腔。</w:t>
                  </w:r>
                </w:p>
                <w:p w14:paraId="75D6A7C4">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扇动操作：用手在瓶口轻轻扇动，使少量气体飘入鼻孔。这一步骤的关键是控制气体的量，避免直接吸入大量气体。注意事项：在扇动过程中，注意气体的性质和气味，如有不适立即停止操作。通过以上步骤，可以安全有效地闻气体气味，同时遵守实验室安全规范。</w:t>
                  </w:r>
                </w:p>
              </w:tc>
              <w:tc>
                <w:tcPr>
                  <w:tcW w:w="512" w:type="pct"/>
                  <w:gridSpan w:val="2"/>
                  <w:tcBorders>
                    <w:tl2br w:val="nil"/>
                    <w:tr2bl w:val="nil"/>
                  </w:tcBorders>
                  <w:vAlign w:val="center"/>
                </w:tcPr>
                <w:p w14:paraId="11EC20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23" w:type="pct"/>
                  <w:gridSpan w:val="2"/>
                  <w:tcBorders>
                    <w:tl2br w:val="nil"/>
                    <w:tr2bl w:val="nil"/>
                  </w:tcBorders>
                  <w:vAlign w:val="center"/>
                </w:tcPr>
                <w:p w14:paraId="536FCA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氨水</w:t>
                  </w:r>
                </w:p>
              </w:tc>
              <w:tc>
                <w:tcPr>
                  <w:tcW w:w="439" w:type="pct"/>
                  <w:gridSpan w:val="2"/>
                  <w:tcBorders>
                    <w:tl2br w:val="nil"/>
                    <w:tr2bl w:val="nil"/>
                  </w:tcBorders>
                  <w:vAlign w:val="center"/>
                </w:tcPr>
                <w:p w14:paraId="53FBF23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421CCC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7EA5163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71" w:type="pct"/>
                  <w:tcBorders>
                    <w:tl2br w:val="nil"/>
                    <w:tr2bl w:val="nil"/>
                  </w:tcBorders>
                  <w:vAlign w:val="center"/>
                </w:tcPr>
                <w:p w14:paraId="5920478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检查装置的气密性</w:t>
                  </w:r>
                </w:p>
              </w:tc>
              <w:tc>
                <w:tcPr>
                  <w:tcW w:w="2569" w:type="pct"/>
                  <w:gridSpan w:val="2"/>
                  <w:tcBorders>
                    <w:tl2br w:val="nil"/>
                    <w:tr2bl w:val="nil"/>
                  </w:tcBorders>
                  <w:vAlign w:val="center"/>
                </w:tcPr>
                <w:p w14:paraId="474F32D0">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将导管的一端放入水中：确保导管的另一端与装置连接。</w:t>
                  </w:r>
                </w:p>
                <w:p w14:paraId="60DDD30B">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用手捂住试管一会儿：使试管内的气体受热膨胀。</w:t>
                  </w:r>
                </w:p>
                <w:p w14:paraId="4B0791F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观察现象：如果导管口有气泡冒出，且松开手后导管内形成一段稳定的水柱，则表明装置气密性良好。</w:t>
                  </w:r>
                </w:p>
              </w:tc>
              <w:tc>
                <w:tcPr>
                  <w:tcW w:w="512" w:type="pct"/>
                  <w:gridSpan w:val="2"/>
                  <w:tcBorders>
                    <w:tl2br w:val="nil"/>
                    <w:tr2bl w:val="nil"/>
                  </w:tcBorders>
                  <w:vAlign w:val="center"/>
                </w:tcPr>
                <w:p w14:paraId="78ADD13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试管、导管、烧杯</w:t>
                  </w:r>
                </w:p>
              </w:tc>
              <w:tc>
                <w:tcPr>
                  <w:tcW w:w="523" w:type="pct"/>
                  <w:gridSpan w:val="2"/>
                  <w:tcBorders>
                    <w:tl2br w:val="nil"/>
                    <w:tr2bl w:val="nil"/>
                  </w:tcBorders>
                  <w:vAlign w:val="center"/>
                </w:tcPr>
                <w:p w14:paraId="0108937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39" w:type="pct"/>
                  <w:gridSpan w:val="2"/>
                  <w:tcBorders>
                    <w:tl2br w:val="nil"/>
                    <w:tr2bl w:val="nil"/>
                  </w:tcBorders>
                  <w:vAlign w:val="center"/>
                </w:tcPr>
                <w:p w14:paraId="0EEE2D5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1B4AFE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7C303DF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571" w:type="pct"/>
                  <w:tcBorders>
                    <w:tl2br w:val="nil"/>
                    <w:tr2bl w:val="nil"/>
                  </w:tcBorders>
                  <w:vAlign w:val="center"/>
                </w:tcPr>
                <w:p w14:paraId="6031248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仪器的连接和玻璃仪器的洗涤</w:t>
                  </w:r>
                </w:p>
              </w:tc>
              <w:tc>
                <w:tcPr>
                  <w:tcW w:w="2569" w:type="pct"/>
                  <w:gridSpan w:val="2"/>
                  <w:tcBorders>
                    <w:tl2br w:val="nil"/>
                    <w:tr2bl w:val="nil"/>
                  </w:tcBorders>
                  <w:vAlign w:val="center"/>
                </w:tcPr>
                <w:p w14:paraId="6A90FFDF">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1.仪器的连接</w:t>
                  </w:r>
                </w:p>
                <w:p w14:paraId="3C2A1D6A">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连接仪器装置的顺序：通常从左到右，从下到上进行连接。</w:t>
                  </w:r>
                </w:p>
                <w:p w14:paraId="00E5EED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具体操作步骤：把玻璃管插入带孔橡胶塞：先把玻璃管口用水润湿，然后对准橡胶塞上的孔稍稍用力转动，将其插入。连接玻璃管和胶皮管：先把玻璃管口用水润湿，然后稍稍用力把玻璃管插入胶皮管。</w:t>
                  </w:r>
                </w:p>
                <w:p w14:paraId="1DC64B9A">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在容器口塞橡胶塞：把橡胶塞慢慢转动着塞进容器口，不可把容器放在桌上再使劲塞进塞子，以免压破容器。</w:t>
                  </w:r>
                </w:p>
                <w:p w14:paraId="7FD7D8E3">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检查装置的气密性</w:t>
                  </w:r>
                </w:p>
                <w:p w14:paraId="534BEA17">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方法：将导管的一端放入水中，用手握住导管，若导管口出现气泡，或松开手后导管内有一段水柱，则说明装置不漏气。</w:t>
                  </w:r>
                </w:p>
                <w:p w14:paraId="3F984CFF">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2.玻璃仪器的洗涤</w:t>
                  </w:r>
                </w:p>
                <w:p w14:paraId="07F798C7">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洗涤方法：倾倒废液。</w:t>
                  </w:r>
                </w:p>
                <w:p w14:paraId="6E2FF090">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注入半试管水振荡洗涤（或用试管刷刷洗），然后用自来水冲洗。</w:t>
                  </w:r>
                </w:p>
                <w:p w14:paraId="5D5593F0">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洗净标准：内壁附着的水既不聚成水滴，也不成股流下。</w:t>
                  </w:r>
                </w:p>
                <w:p w14:paraId="093E626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洗干净的试管要倒放在试管架上晾干。</w:t>
                  </w:r>
                </w:p>
              </w:tc>
              <w:tc>
                <w:tcPr>
                  <w:tcW w:w="512" w:type="pct"/>
                  <w:gridSpan w:val="2"/>
                  <w:tcBorders>
                    <w:tl2br w:val="nil"/>
                    <w:tr2bl w:val="nil"/>
                  </w:tcBorders>
                  <w:vAlign w:val="center"/>
                </w:tcPr>
                <w:p w14:paraId="7F565D3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试管、导管、烧杯、橡皮塞</w:t>
                  </w:r>
                </w:p>
              </w:tc>
              <w:tc>
                <w:tcPr>
                  <w:tcW w:w="523" w:type="pct"/>
                  <w:gridSpan w:val="2"/>
                  <w:tcBorders>
                    <w:tl2br w:val="nil"/>
                    <w:tr2bl w:val="nil"/>
                  </w:tcBorders>
                  <w:vAlign w:val="center"/>
                </w:tcPr>
                <w:p w14:paraId="71A350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39" w:type="pct"/>
                  <w:gridSpan w:val="2"/>
                  <w:tcBorders>
                    <w:tl2br w:val="nil"/>
                    <w:tr2bl w:val="nil"/>
                  </w:tcBorders>
                  <w:vAlign w:val="center"/>
                </w:tcPr>
                <w:p w14:paraId="1BEA405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5FBCD3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143FB1A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571" w:type="pct"/>
                  <w:tcBorders>
                    <w:tl2br w:val="nil"/>
                    <w:tr2bl w:val="nil"/>
                  </w:tcBorders>
                  <w:vAlign w:val="center"/>
                </w:tcPr>
                <w:p w14:paraId="07F15F3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物质的加热</w:t>
                  </w:r>
                </w:p>
              </w:tc>
              <w:tc>
                <w:tcPr>
                  <w:tcW w:w="2569" w:type="pct"/>
                  <w:gridSpan w:val="2"/>
                  <w:tcBorders>
                    <w:tl2br w:val="nil"/>
                    <w:tr2bl w:val="nil"/>
                  </w:tcBorders>
                  <w:vAlign w:val="center"/>
                </w:tcPr>
                <w:p w14:paraId="78D2F262">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1、给液体加热的操作步骤</w:t>
                  </w:r>
                </w:p>
                <w:p w14:paraId="2940AC7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准备阶段：向试管中添加少量液体，液体的量不超过试管容积的1/3。将试管夹从试管底部套入，夹在试管的中上部（大约离试管口1/3处）。</w:t>
                  </w:r>
                </w:p>
                <w:p w14:paraId="208AF5C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加热过程：点燃酒精灯，将试管倾斜约45度角，用酒精灯的外焰预热试管。预热完成后，用外焰集中加热液体。注意，试管底部不能接触焰心，且试管口不能对着自己或他人。</w:t>
                  </w:r>
                </w:p>
                <w:p w14:paraId="6056744C">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完成加热：加热完毕后，先将试管从酒精灯上移开，冷却后再进行后续操作。</w:t>
                  </w:r>
                </w:p>
                <w:p w14:paraId="6357FEE3">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 、给固体加热的操作步骤</w:t>
                  </w:r>
                </w:p>
                <w:p w14:paraId="3907EACC">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准备阶段：将固体物质放入试管中，试管口稍微向下倾斜，以防冷凝水回流炸裂试管。</w:t>
                  </w:r>
                </w:p>
                <w:p w14:paraId="1F99BCC2">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加热过程：使用酒精灯的外焰加热试管，预热完成后，固定加热固体物质。注意，试管底部不能接触焰心，且试管口不能对着自己或他人。</w:t>
                  </w:r>
                </w:p>
                <w:p w14:paraId="70D7D9BC">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完成加热：加热完毕后，待试管冷却后再进行后续操作。</w:t>
                  </w:r>
                </w:p>
              </w:tc>
              <w:tc>
                <w:tcPr>
                  <w:tcW w:w="512" w:type="pct"/>
                  <w:gridSpan w:val="2"/>
                  <w:tcBorders>
                    <w:tl2br w:val="nil"/>
                    <w:tr2bl w:val="nil"/>
                  </w:tcBorders>
                  <w:vAlign w:val="center"/>
                </w:tcPr>
                <w:p w14:paraId="4DAD765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烧杯、试管、酒精灯</w:t>
                  </w:r>
                </w:p>
              </w:tc>
              <w:tc>
                <w:tcPr>
                  <w:tcW w:w="523" w:type="pct"/>
                  <w:gridSpan w:val="2"/>
                  <w:tcBorders>
                    <w:tl2br w:val="nil"/>
                    <w:tr2bl w:val="nil"/>
                  </w:tcBorders>
                  <w:vAlign w:val="center"/>
                </w:tcPr>
                <w:p w14:paraId="0B82CD3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氯化钠</w:t>
                  </w:r>
                </w:p>
              </w:tc>
              <w:tc>
                <w:tcPr>
                  <w:tcW w:w="439" w:type="pct"/>
                  <w:gridSpan w:val="2"/>
                  <w:tcBorders>
                    <w:tl2br w:val="nil"/>
                    <w:tr2bl w:val="nil"/>
                  </w:tcBorders>
                  <w:vAlign w:val="center"/>
                </w:tcPr>
                <w:p w14:paraId="25529F7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3228F8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272B053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571" w:type="pct"/>
                  <w:tcBorders>
                    <w:tl2br w:val="nil"/>
                    <w:tr2bl w:val="nil"/>
                  </w:tcBorders>
                  <w:vAlign w:val="center"/>
                </w:tcPr>
                <w:p w14:paraId="1E7656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物质的称量</w:t>
                  </w:r>
                </w:p>
              </w:tc>
              <w:tc>
                <w:tcPr>
                  <w:tcW w:w="2569" w:type="pct"/>
                  <w:gridSpan w:val="2"/>
                  <w:tcBorders>
                    <w:tl2br w:val="nil"/>
                    <w:tr2bl w:val="nil"/>
                  </w:tcBorders>
                  <w:vAlign w:val="center"/>
                </w:tcPr>
                <w:p w14:paraId="34F5EC2D">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准备容器：选择适当的容器，如表面皿或小烧杯，并确保其洁净、干燥。</w:t>
                  </w:r>
                </w:p>
                <w:p w14:paraId="2C5A765F">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初步称量：将容器放在台秤上粗略称量其质量，然后在分析天平上准确称量至所需精度。</w:t>
                  </w:r>
                </w:p>
                <w:p w14:paraId="4EEE4BD9">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添加物质：使用药匙逐渐添加物质，直到达到所需的精确质量。注意在接近目标质量时，要小心控制添加量，避免超过误差范围。</w:t>
                  </w:r>
                </w:p>
                <w:p w14:paraId="6DEF1359">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记录数据：准确记录每次添加物质后的质量，确保最终质量在允许的误差范围内。</w:t>
                  </w:r>
                </w:p>
              </w:tc>
              <w:tc>
                <w:tcPr>
                  <w:tcW w:w="512" w:type="pct"/>
                  <w:gridSpan w:val="2"/>
                  <w:tcBorders>
                    <w:tl2br w:val="nil"/>
                    <w:tr2bl w:val="nil"/>
                  </w:tcBorders>
                  <w:vAlign w:val="center"/>
                </w:tcPr>
                <w:p w14:paraId="522178F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台秤、分析</w:t>
                  </w:r>
                </w:p>
                <w:p w14:paraId="6367A24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天平、称量纸、药匙</w:t>
                  </w:r>
                </w:p>
              </w:tc>
              <w:tc>
                <w:tcPr>
                  <w:tcW w:w="523" w:type="pct"/>
                  <w:gridSpan w:val="2"/>
                  <w:tcBorders>
                    <w:tl2br w:val="nil"/>
                    <w:tr2bl w:val="nil"/>
                  </w:tcBorders>
                  <w:vAlign w:val="center"/>
                </w:tcPr>
                <w:p w14:paraId="4AA057A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39" w:type="pct"/>
                  <w:gridSpan w:val="2"/>
                  <w:tcBorders>
                    <w:tl2br w:val="nil"/>
                    <w:tr2bl w:val="nil"/>
                  </w:tcBorders>
                  <w:vAlign w:val="center"/>
                </w:tcPr>
                <w:p w14:paraId="54E2F37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38BE48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384445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571" w:type="pct"/>
                  <w:tcBorders>
                    <w:tl2br w:val="nil"/>
                    <w:tr2bl w:val="nil"/>
                  </w:tcBorders>
                  <w:vAlign w:val="center"/>
                </w:tcPr>
                <w:p w14:paraId="3110CDA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酒精灯火焰研究</w:t>
                  </w:r>
                </w:p>
              </w:tc>
              <w:tc>
                <w:tcPr>
                  <w:tcW w:w="2569" w:type="pct"/>
                  <w:gridSpan w:val="2"/>
                  <w:tcBorders>
                    <w:tl2br w:val="nil"/>
                    <w:tr2bl w:val="nil"/>
                  </w:tcBorders>
                  <w:vAlign w:val="center"/>
                </w:tcPr>
                <w:p w14:paraId="441202A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1.准备工作：检查酒精灯的灯芯是否平整，酒精体积应大于酒精灯容积的1/4，少于</w:t>
                  </w:r>
                  <w:r>
                    <w:rPr>
                      <w:rFonts w:hint="default" w:ascii="Times New Roman" w:hAnsi="Times New Roman" w:eastAsia="宋体" w:cs="Times New Roman"/>
                      <w:color w:val="auto"/>
                      <w:sz w:val="21"/>
                      <w:szCs w:val="21"/>
                      <w:lang w:val="en-US" w:eastAsia="zh-CN"/>
                    </w:rPr>
                    <w:t>2/3</w:t>
                  </w:r>
                  <w:r>
                    <w:rPr>
                      <w:rFonts w:hint="default" w:ascii="Times New Roman" w:hAnsi="Times New Roman" w:eastAsia="宋体" w:cs="Times New Roman"/>
                      <w:color w:val="auto"/>
                      <w:sz w:val="21"/>
                      <w:szCs w:val="21"/>
                    </w:rPr>
                    <w:t>。</w:t>
                  </w:r>
                </w:p>
                <w:p w14:paraId="7D36FFB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2.点燃酒精灯：使用燃着的火柴或木条引燃酒精灯，避免用酒精灯引烧另一盏酒精灯。</w:t>
                  </w:r>
                </w:p>
                <w:p w14:paraId="1FD73F59">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3.放置木条：将一根木条放在酒精灯火焰中1-2秒后取出，观察木条的变化，特别注意木条两端最先变黑的现象。</w:t>
                  </w:r>
                </w:p>
                <w:p w14:paraId="47E1672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观察火焰分层：酒精灯火焰分为外焰、内焰和焰心三部分，外焰温度最12。使用干冷烧杯和澄清石灰水：在火焰上方罩一个干冷烧杯，观察是否有水雾生成；然后取下烧杯，向烧杯内加入澄清石灰水，观察是否变浑浊。</w:t>
                  </w:r>
                </w:p>
                <w:p w14:paraId="44835EF2">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5.记录现象：干冷烧杯内壁出现水雾，说明有水生成；澄清石灰水变浑浊，说明有二氧化碳生成。</w:t>
                  </w:r>
                </w:p>
              </w:tc>
              <w:tc>
                <w:tcPr>
                  <w:tcW w:w="512" w:type="pct"/>
                  <w:gridSpan w:val="2"/>
                  <w:tcBorders>
                    <w:tl2br w:val="nil"/>
                    <w:tr2bl w:val="nil"/>
                  </w:tcBorders>
                  <w:vAlign w:val="center"/>
                </w:tcPr>
                <w:p w14:paraId="05D4AD2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酒精灯、木条、烧杯</w:t>
                  </w:r>
                </w:p>
              </w:tc>
              <w:tc>
                <w:tcPr>
                  <w:tcW w:w="523" w:type="pct"/>
                  <w:gridSpan w:val="2"/>
                  <w:tcBorders>
                    <w:tl2br w:val="nil"/>
                    <w:tr2bl w:val="nil"/>
                  </w:tcBorders>
                  <w:vAlign w:val="center"/>
                </w:tcPr>
                <w:p w14:paraId="3B1549B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澄清石灰水</w:t>
                  </w:r>
                </w:p>
              </w:tc>
              <w:tc>
                <w:tcPr>
                  <w:tcW w:w="439" w:type="pct"/>
                  <w:gridSpan w:val="2"/>
                  <w:tcBorders>
                    <w:tl2br w:val="nil"/>
                    <w:tr2bl w:val="nil"/>
                  </w:tcBorders>
                  <w:vAlign w:val="center"/>
                </w:tcPr>
                <w:p w14:paraId="630B1F1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2AA1C8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212881B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571" w:type="pct"/>
                  <w:tcBorders>
                    <w:tl2br w:val="nil"/>
                    <w:tr2bl w:val="nil"/>
                  </w:tcBorders>
                  <w:vAlign w:val="center"/>
                </w:tcPr>
                <w:p w14:paraId="77BC0F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粗盐中难溶性杂质的去除实验</w:t>
                  </w:r>
                </w:p>
              </w:tc>
              <w:tc>
                <w:tcPr>
                  <w:tcW w:w="2569" w:type="pct"/>
                  <w:gridSpan w:val="2"/>
                  <w:tcBorders>
                    <w:tl2br w:val="nil"/>
                    <w:tr2bl w:val="nil"/>
                  </w:tcBorders>
                  <w:vAlign w:val="center"/>
                </w:tcPr>
                <w:p w14:paraId="0A93961A">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1.溶解：使用托盘天平称取5.0g粗盐，将粗盐逐渐加入盛有10mL水的烧杯里，边加边用玻璃棒搅拌，直到粗盐不再溶解为止。观察并记录溶解的粗盐量和剩余粗盐量。</w:t>
                  </w:r>
                </w:p>
                <w:p w14:paraId="76671740">
                  <w:pPr>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2.过滤：制作过滤器，将烧杯中的液体沿玻璃棒倒入过滤器中，观察滤液是否澄清。如果滤液浑浊，则需要再过滤一次</w:t>
                  </w:r>
                  <w:r>
                    <w:rPr>
                      <w:rFonts w:hint="default" w:ascii="Times New Roman" w:hAnsi="Times New Roman" w:eastAsia="宋体" w:cs="Times New Roman"/>
                      <w:color w:val="auto"/>
                      <w:sz w:val="21"/>
                      <w:szCs w:val="21"/>
                      <w:lang w:eastAsia="zh-CN"/>
                    </w:rPr>
                    <w:t>；</w:t>
                  </w:r>
                </w:p>
                <w:p w14:paraId="19F14FC9">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3.蒸发：将澄清的滤液倒入蒸发皿，用酒精灯加热，并用玻璃棒不断搅拌，防止液滴飞溅。当蒸发皿中出现较多固体时，停止加热，利用蒸发皿的余热使滤液蒸干。</w:t>
                  </w:r>
                </w:p>
                <w:p w14:paraId="5F45F8CD">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4.计算产率：用玻璃棒把固体转移到纸上，称量并记录精盐的质量。比较提纯前后食盐状态并计算精盐的产率</w:t>
                  </w:r>
                </w:p>
              </w:tc>
              <w:tc>
                <w:tcPr>
                  <w:tcW w:w="512" w:type="pct"/>
                  <w:gridSpan w:val="2"/>
                  <w:tcBorders>
                    <w:tl2br w:val="nil"/>
                    <w:tr2bl w:val="nil"/>
                  </w:tcBorders>
                  <w:vAlign w:val="center"/>
                </w:tcPr>
                <w:p w14:paraId="5519CDF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托盘天平、烧杯、玻璃棒、滤纸、玻璃漏斗、蒸发皿、酒精灯</w:t>
                  </w:r>
                </w:p>
              </w:tc>
              <w:tc>
                <w:tcPr>
                  <w:tcW w:w="523" w:type="pct"/>
                  <w:gridSpan w:val="2"/>
                  <w:tcBorders>
                    <w:tl2br w:val="nil"/>
                    <w:tr2bl w:val="nil"/>
                  </w:tcBorders>
                  <w:vAlign w:val="center"/>
                </w:tcPr>
                <w:p w14:paraId="1CF6DF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粗盐</w:t>
                  </w:r>
                </w:p>
              </w:tc>
              <w:tc>
                <w:tcPr>
                  <w:tcW w:w="439" w:type="pct"/>
                  <w:gridSpan w:val="2"/>
                  <w:tcBorders>
                    <w:tl2br w:val="nil"/>
                    <w:tr2bl w:val="nil"/>
                  </w:tcBorders>
                  <w:vAlign w:val="center"/>
                </w:tcPr>
                <w:p w14:paraId="55F332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31FAA1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201459F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71" w:type="pct"/>
                  <w:tcBorders>
                    <w:tl2br w:val="nil"/>
                    <w:tr2bl w:val="nil"/>
                  </w:tcBorders>
                  <w:vAlign w:val="center"/>
                </w:tcPr>
                <w:p w14:paraId="54075E9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氧气的实验室制取与性质实验</w:t>
                  </w:r>
                </w:p>
              </w:tc>
              <w:tc>
                <w:tcPr>
                  <w:tcW w:w="2569" w:type="pct"/>
                  <w:gridSpan w:val="2"/>
                  <w:tcBorders>
                    <w:tl2br w:val="nil"/>
                    <w:tr2bl w:val="nil"/>
                  </w:tcBorders>
                  <w:vAlign w:val="center"/>
                </w:tcPr>
                <w:p w14:paraId="33D45713">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连接装置：取两支试管，各用一带有导管的橡皮塞塞紧。</w:t>
                  </w:r>
                </w:p>
                <w:p w14:paraId="63C718EA">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检查装置气密性：将导管的一端浸入水中，双手紧贴容器外壁，若导管口有气泡冒出，则气密性良好。</w:t>
                  </w:r>
                </w:p>
                <w:p w14:paraId="13455BA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装入药品：在试管中装入高锰酸钾或过氧化氢和催化剂（如二氧化锰）。固定装置：将试管固定在铁架台上，确保导管伸入水槽中。</w:t>
                  </w:r>
                </w:p>
                <w:p w14:paraId="0A320FDB">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加热：点燃酒精灯加热试管，注意先预热，使试管均匀受热，防止试管炸裂。</w:t>
                  </w:r>
                </w:p>
                <w:p w14:paraId="553BC464">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收集气体：根据所选的收集装置，使用排水法或向上排空气法收集氧气。</w:t>
                  </w:r>
                </w:p>
                <w:p w14:paraId="7DECB45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验满：用带火星的木条检验氧气是否收集满，木条复燃说明氧气已收集满。</w:t>
                  </w:r>
                </w:p>
              </w:tc>
              <w:tc>
                <w:tcPr>
                  <w:tcW w:w="512" w:type="pct"/>
                  <w:gridSpan w:val="2"/>
                  <w:tcBorders>
                    <w:tl2br w:val="nil"/>
                    <w:tr2bl w:val="nil"/>
                  </w:tcBorders>
                  <w:vAlign w:val="center"/>
                </w:tcPr>
                <w:p w14:paraId="4C97138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试管、烧杯、铁架台、导</w:t>
                  </w:r>
                </w:p>
                <w:p w14:paraId="16FC23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管、酒精灯、木条</w:t>
                  </w:r>
                </w:p>
              </w:tc>
              <w:tc>
                <w:tcPr>
                  <w:tcW w:w="523" w:type="pct"/>
                  <w:gridSpan w:val="2"/>
                  <w:tcBorders>
                    <w:tl2br w:val="nil"/>
                    <w:tr2bl w:val="nil"/>
                  </w:tcBorders>
                  <w:vAlign w:val="center"/>
                </w:tcPr>
                <w:p w14:paraId="4AA44D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高锰酸钾、过氧化氢、二氧</w:t>
                  </w:r>
                </w:p>
                <w:p w14:paraId="0E8A291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化锰</w:t>
                  </w:r>
                </w:p>
              </w:tc>
              <w:tc>
                <w:tcPr>
                  <w:tcW w:w="439" w:type="pct"/>
                  <w:gridSpan w:val="2"/>
                  <w:tcBorders>
                    <w:tl2br w:val="nil"/>
                    <w:tr2bl w:val="nil"/>
                  </w:tcBorders>
                  <w:vAlign w:val="center"/>
                </w:tcPr>
                <w:p w14:paraId="2B35E2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0E23BA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396A151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571" w:type="pct"/>
                  <w:tcBorders>
                    <w:tl2br w:val="nil"/>
                    <w:tr2bl w:val="nil"/>
                  </w:tcBorders>
                  <w:vAlign w:val="center"/>
                </w:tcPr>
                <w:p w14:paraId="26B4650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二氧化碳的实验室制取与性质实验</w:t>
                  </w:r>
                </w:p>
              </w:tc>
              <w:tc>
                <w:tcPr>
                  <w:tcW w:w="2569" w:type="pct"/>
                  <w:gridSpan w:val="2"/>
                  <w:tcBorders>
                    <w:tl2br w:val="nil"/>
                    <w:tr2bl w:val="nil"/>
                  </w:tcBorders>
                  <w:vAlign w:val="center"/>
                </w:tcPr>
                <w:p w14:paraId="63F0411A">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接仪器并检查气密性：首先，按照实验要求连接好所有仪器，包括烧杯、集气瓶、玻璃导管、胶皮管、单孔橡胶塞、铁架台等。然后，用弹簧夹夹住橡皮管，往长颈漏斗中加水，如果长颈漏斗中形成水柱且保持液面不下降，则说明装置气密性良好。</w:t>
                  </w:r>
                </w:p>
                <w:p w14:paraId="1C9765D0">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装入药品：将块状的大理石（或石灰石）放入试管里，再小心地注入15mL稀盐酸。大理石或石灰石与稀盐酸反应生成二氧化碳。</w:t>
                  </w:r>
                </w:p>
                <w:p w14:paraId="3E75B266">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收集气体：采用向上排空气法收集气体。过一会儿，用燃着的木条放在集气瓶口，如果火焰立刻熄灭，则说明二氧化碳已经收集满。</w:t>
                  </w:r>
                </w:p>
              </w:tc>
              <w:tc>
                <w:tcPr>
                  <w:tcW w:w="512" w:type="pct"/>
                  <w:gridSpan w:val="2"/>
                  <w:tcBorders>
                    <w:tl2br w:val="nil"/>
                    <w:tr2bl w:val="nil"/>
                  </w:tcBorders>
                  <w:vAlign w:val="center"/>
                </w:tcPr>
                <w:p w14:paraId="0ABED9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烧杯、集气瓶、玻璃导管、胶皮管、单孔橡胶塞、铁架台、长颈漏斗、木条</w:t>
                  </w:r>
                </w:p>
              </w:tc>
              <w:tc>
                <w:tcPr>
                  <w:tcW w:w="523" w:type="pct"/>
                  <w:gridSpan w:val="2"/>
                  <w:tcBorders>
                    <w:tl2br w:val="nil"/>
                    <w:tr2bl w:val="nil"/>
                  </w:tcBorders>
                  <w:vAlign w:val="center"/>
                </w:tcPr>
                <w:p w14:paraId="466386A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石灰石、稀盐酸</w:t>
                  </w:r>
                </w:p>
              </w:tc>
              <w:tc>
                <w:tcPr>
                  <w:tcW w:w="439" w:type="pct"/>
                  <w:gridSpan w:val="2"/>
                  <w:tcBorders>
                    <w:tl2br w:val="nil"/>
                    <w:tr2bl w:val="nil"/>
                  </w:tcBorders>
                  <w:vAlign w:val="center"/>
                </w:tcPr>
                <w:p w14:paraId="1DE21D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62FD79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25F623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71" w:type="pct"/>
                  <w:tcBorders>
                    <w:tl2br w:val="nil"/>
                    <w:tr2bl w:val="nil"/>
                  </w:tcBorders>
                  <w:vAlign w:val="center"/>
                </w:tcPr>
                <w:p w14:paraId="594C15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金属的物理性质和某些化学性质的探究实验</w:t>
                  </w:r>
                </w:p>
              </w:tc>
              <w:tc>
                <w:tcPr>
                  <w:tcW w:w="2569" w:type="pct"/>
                  <w:gridSpan w:val="2"/>
                  <w:tcBorders>
                    <w:tl2br w:val="nil"/>
                    <w:tr2bl w:val="nil"/>
                  </w:tcBorders>
                  <w:vAlign w:val="center"/>
                </w:tcPr>
                <w:p w14:paraId="475080AB">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用坩埚钳夹取一块铜片，放在酒精灯火焰上加热，观察其与氧气的反应。</w:t>
                  </w:r>
                </w:p>
                <w:p w14:paraId="287A48E0">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向试管中加入少量的镁条、锌粒、铝片、铁片和铜片，然后分别加入稀盐酸或稀硫酸，观察气泡的产生情况。</w:t>
                  </w:r>
                </w:p>
              </w:tc>
              <w:tc>
                <w:tcPr>
                  <w:tcW w:w="512" w:type="pct"/>
                  <w:gridSpan w:val="2"/>
                  <w:tcBorders>
                    <w:tl2br w:val="nil"/>
                    <w:tr2bl w:val="nil"/>
                  </w:tcBorders>
                  <w:vAlign w:val="center"/>
                </w:tcPr>
                <w:p w14:paraId="4530274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坩埚钳、酒精灯、试管</w:t>
                  </w:r>
                </w:p>
              </w:tc>
              <w:tc>
                <w:tcPr>
                  <w:tcW w:w="523" w:type="pct"/>
                  <w:gridSpan w:val="2"/>
                  <w:tcBorders>
                    <w:tl2br w:val="nil"/>
                    <w:tr2bl w:val="nil"/>
                  </w:tcBorders>
                  <w:vAlign w:val="center"/>
                </w:tcPr>
                <w:p w14:paraId="000A330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镁条、锌粒、铝片、</w:t>
                  </w:r>
                </w:p>
                <w:p w14:paraId="75351A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铁片、铜片、稀盐酸、稀硫酸</w:t>
                  </w:r>
                </w:p>
              </w:tc>
              <w:tc>
                <w:tcPr>
                  <w:tcW w:w="439" w:type="pct"/>
                  <w:gridSpan w:val="2"/>
                  <w:tcBorders>
                    <w:tl2br w:val="nil"/>
                    <w:tr2bl w:val="nil"/>
                  </w:tcBorders>
                  <w:vAlign w:val="center"/>
                </w:tcPr>
                <w:p w14:paraId="5A24C6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学生操作</w:t>
                  </w:r>
                </w:p>
              </w:tc>
            </w:tr>
            <w:tr w14:paraId="1768CD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7E48E43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571" w:type="pct"/>
                  <w:tcBorders>
                    <w:tl2br w:val="nil"/>
                    <w:tr2bl w:val="nil"/>
                  </w:tcBorders>
                  <w:vAlign w:val="center"/>
                </w:tcPr>
                <w:p w14:paraId="38706E5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探究燃烧的条件</w:t>
                  </w:r>
                </w:p>
              </w:tc>
              <w:tc>
                <w:tcPr>
                  <w:tcW w:w="2569" w:type="pct"/>
                  <w:gridSpan w:val="2"/>
                  <w:tcBorders>
                    <w:tl2br w:val="nil"/>
                    <w:tr2bl w:val="nil"/>
                  </w:tcBorders>
                  <w:vAlign w:val="center"/>
                </w:tcPr>
                <w:p w14:paraId="04542CA0">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1、用棉花分别蘸酒精和水，放到酒精灯火焰上加热，观察现象；</w:t>
                  </w:r>
                </w:p>
                <w:p w14:paraId="2F7293AC">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2、取一小块乒乓球碎片和滤纸碎片，分别用坩埚钳夹住，放在酒精灯火焰上加热，观察现象；</w:t>
                  </w:r>
                </w:p>
                <w:p w14:paraId="23DE2C1A">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3、取一小块乒乓球碎片和滤纸碎片（同样大小），分开放在一块薄铜片的两侧，用酒精灯加热铜片的中部，观察现象。</w:t>
                  </w:r>
                </w:p>
              </w:tc>
              <w:tc>
                <w:tcPr>
                  <w:tcW w:w="512" w:type="pct"/>
                  <w:gridSpan w:val="2"/>
                  <w:tcBorders>
                    <w:tl2br w:val="nil"/>
                    <w:tr2bl w:val="nil"/>
                  </w:tcBorders>
                  <w:vAlign w:val="center"/>
                </w:tcPr>
                <w:p w14:paraId="5D2FB3C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棉花、酒精灯、乒乓球碎片、滤纸碎片、坩埚钳</w:t>
                  </w:r>
                </w:p>
              </w:tc>
              <w:tc>
                <w:tcPr>
                  <w:tcW w:w="523" w:type="pct"/>
                  <w:gridSpan w:val="2"/>
                  <w:tcBorders>
                    <w:tl2br w:val="nil"/>
                    <w:tr2bl w:val="nil"/>
                  </w:tcBorders>
                  <w:vAlign w:val="center"/>
                </w:tcPr>
                <w:p w14:paraId="121DE03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酒精、铜片</w:t>
                  </w:r>
                </w:p>
              </w:tc>
              <w:tc>
                <w:tcPr>
                  <w:tcW w:w="439" w:type="pct"/>
                  <w:gridSpan w:val="2"/>
                  <w:tcBorders>
                    <w:tl2br w:val="nil"/>
                    <w:tr2bl w:val="nil"/>
                  </w:tcBorders>
                  <w:vAlign w:val="center"/>
                </w:tcPr>
                <w:p w14:paraId="416536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老师演示+学生操作</w:t>
                  </w:r>
                </w:p>
              </w:tc>
            </w:tr>
            <w:tr w14:paraId="1D065F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4CA267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571" w:type="pct"/>
                  <w:tcBorders>
                    <w:tl2br w:val="nil"/>
                    <w:tr2bl w:val="nil"/>
                  </w:tcBorders>
                  <w:vAlign w:val="center"/>
                </w:tcPr>
                <w:p w14:paraId="4520CA8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溶液酸碱性的检验实验</w:t>
                  </w:r>
                </w:p>
              </w:tc>
              <w:tc>
                <w:tcPr>
                  <w:tcW w:w="2569" w:type="pct"/>
                  <w:gridSpan w:val="2"/>
                  <w:tcBorders>
                    <w:tl2br w:val="nil"/>
                    <w:tr2bl w:val="nil"/>
                  </w:tcBorders>
                  <w:vAlign w:val="center"/>
                </w:tcPr>
                <w:p w14:paraId="0ED01EE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检查仪器和药品：确保所有仪器干净且完好。</w:t>
                  </w:r>
                </w:p>
                <w:p w14:paraId="217F8F0B">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取待测溶液：用玻璃棒蘸取少量待测液滴在干燥的 pH试纸上。</w:t>
                  </w:r>
                </w:p>
                <w:p w14:paraId="58232FC6">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颜色对比：将试纸显示的颜色与标准比色卡对比，读出pH值。</w:t>
                  </w:r>
                </w:p>
                <w:p w14:paraId="0EC7727B">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清洗仪器：实验结束后，清洗仪器，整理复位</w:t>
                  </w:r>
                </w:p>
              </w:tc>
              <w:tc>
                <w:tcPr>
                  <w:tcW w:w="512" w:type="pct"/>
                  <w:gridSpan w:val="2"/>
                  <w:tcBorders>
                    <w:tl2br w:val="nil"/>
                    <w:tr2bl w:val="nil"/>
                  </w:tcBorders>
                  <w:vAlign w:val="center"/>
                </w:tcPr>
                <w:p w14:paraId="3E2B1F3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玻璃棒、试纸、标准比色卡</w:t>
                  </w:r>
                </w:p>
              </w:tc>
              <w:tc>
                <w:tcPr>
                  <w:tcW w:w="523" w:type="pct"/>
                  <w:gridSpan w:val="2"/>
                  <w:tcBorders>
                    <w:tl2br w:val="nil"/>
                    <w:tr2bl w:val="nil"/>
                  </w:tcBorders>
                  <w:vAlign w:val="center"/>
                </w:tcPr>
                <w:p w14:paraId="1F24D74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盐酸溶液、硫酸溶液、氢氧化钠溶液</w:t>
                  </w:r>
                </w:p>
              </w:tc>
              <w:tc>
                <w:tcPr>
                  <w:tcW w:w="439" w:type="pct"/>
                  <w:gridSpan w:val="2"/>
                  <w:tcBorders>
                    <w:tl2br w:val="nil"/>
                    <w:tr2bl w:val="nil"/>
                  </w:tcBorders>
                  <w:vAlign w:val="center"/>
                </w:tcPr>
                <w:p w14:paraId="4DE104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学生操作</w:t>
                  </w:r>
                </w:p>
              </w:tc>
            </w:tr>
            <w:tr w14:paraId="6BED63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3F793D0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571" w:type="pct"/>
                  <w:tcBorders>
                    <w:tl2br w:val="nil"/>
                    <w:tr2bl w:val="nil"/>
                  </w:tcBorders>
                  <w:vAlign w:val="center"/>
                </w:tcPr>
                <w:p w14:paraId="4A33FF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探究酸和碱的化学性质</w:t>
                  </w:r>
                </w:p>
              </w:tc>
              <w:tc>
                <w:tcPr>
                  <w:tcW w:w="2569" w:type="pct"/>
                  <w:gridSpan w:val="2"/>
                  <w:tcBorders>
                    <w:tl2br w:val="nil"/>
                    <w:tr2bl w:val="nil"/>
                  </w:tcBorders>
                  <w:vAlign w:val="center"/>
                </w:tcPr>
                <w:p w14:paraId="08D70E76">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1.与酸碱指示剂的反应：向稀盐酸和稀硫酸中分别滴加紫色石蕊试液和酚酞试液。紫色石蕊试液遇酸变红色，无色酚酞试液遇酸不变色。</w:t>
                  </w:r>
                </w:p>
                <w:p w14:paraId="79C1EC96">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2.与酸碱指示剂的反应：向氢氧化钠溶液或氢氧化钙溶液中分别滴加紫色石蕊试液和酚酞试液。紫色石蕊试液遇碱变蓝色，无色酚酞试液遇碱变红色。</w:t>
                  </w:r>
                </w:p>
              </w:tc>
              <w:tc>
                <w:tcPr>
                  <w:tcW w:w="512" w:type="pct"/>
                  <w:gridSpan w:val="2"/>
                  <w:tcBorders>
                    <w:tl2br w:val="nil"/>
                    <w:tr2bl w:val="nil"/>
                  </w:tcBorders>
                  <w:vAlign w:val="center"/>
                </w:tcPr>
                <w:p w14:paraId="123C70B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试管、滴管</w:t>
                  </w:r>
                </w:p>
              </w:tc>
              <w:tc>
                <w:tcPr>
                  <w:tcW w:w="523" w:type="pct"/>
                  <w:gridSpan w:val="2"/>
                  <w:tcBorders>
                    <w:tl2br w:val="nil"/>
                    <w:tr2bl w:val="nil"/>
                  </w:tcBorders>
                  <w:vAlign w:val="center"/>
                </w:tcPr>
                <w:p w14:paraId="76AEC22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稀盐酸、稀</w:t>
                  </w:r>
                </w:p>
                <w:p w14:paraId="27F8D5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硫酸、石蕊试液、酚酞试液</w:t>
                  </w:r>
                </w:p>
              </w:tc>
              <w:tc>
                <w:tcPr>
                  <w:tcW w:w="439" w:type="pct"/>
                  <w:gridSpan w:val="2"/>
                  <w:tcBorders>
                    <w:tl2br w:val="nil"/>
                    <w:tr2bl w:val="nil"/>
                  </w:tcBorders>
                  <w:vAlign w:val="center"/>
                </w:tcPr>
                <w:p w14:paraId="52A484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学生操作</w:t>
                  </w:r>
                </w:p>
              </w:tc>
            </w:tr>
            <w:tr w14:paraId="215649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1DD8C84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571" w:type="pct"/>
                  <w:tcBorders>
                    <w:tl2br w:val="nil"/>
                    <w:tr2bl w:val="nil"/>
                  </w:tcBorders>
                  <w:vAlign w:val="center"/>
                </w:tcPr>
                <w:p w14:paraId="53BEC30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测定空气里氧气的含量</w:t>
                  </w:r>
                </w:p>
              </w:tc>
              <w:tc>
                <w:tcPr>
                  <w:tcW w:w="2569" w:type="pct"/>
                  <w:gridSpan w:val="2"/>
                  <w:tcBorders>
                    <w:tl2br w:val="nil"/>
                    <w:tr2bl w:val="nil"/>
                  </w:tcBorders>
                  <w:vAlign w:val="center"/>
                </w:tcPr>
                <w:p w14:paraId="2C2DF94D">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在集气瓶内加入少量水，并将水面上方空间分为5等份，做好标记。</w:t>
                  </w:r>
                </w:p>
                <w:p w14:paraId="57F88570">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检查装置的气密性，确保实验过程中气体不会泄漏。</w:t>
                  </w:r>
                </w:p>
                <w:p w14:paraId="2787D6A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用弹簧夹夹住乳胶管或止水夹加紧胶皮管。</w:t>
                  </w:r>
                </w:p>
                <w:p w14:paraId="53B9B050">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在燃烧匙内装入足量的红磷，点燃红磷后立即伸入集气瓶中并塞紧橡皮塞。</w:t>
                  </w:r>
                </w:p>
                <w:p w14:paraId="290EAED7">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待红磷熄灭并冷却至室温后，打开弹簧夹，观察集气瓶内水面变化情况。</w:t>
                  </w:r>
                </w:p>
              </w:tc>
              <w:tc>
                <w:tcPr>
                  <w:tcW w:w="512" w:type="pct"/>
                  <w:gridSpan w:val="2"/>
                  <w:tcBorders>
                    <w:tl2br w:val="nil"/>
                    <w:tr2bl w:val="nil"/>
                  </w:tcBorders>
                  <w:vAlign w:val="center"/>
                </w:tcPr>
                <w:p w14:paraId="79DE00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集气瓶、弹簧夹、乳胶管、燃烧匙</w:t>
                  </w:r>
                </w:p>
              </w:tc>
              <w:tc>
                <w:tcPr>
                  <w:tcW w:w="523" w:type="pct"/>
                  <w:gridSpan w:val="2"/>
                  <w:tcBorders>
                    <w:tl2br w:val="nil"/>
                    <w:tr2bl w:val="nil"/>
                  </w:tcBorders>
                  <w:vAlign w:val="center"/>
                </w:tcPr>
                <w:p w14:paraId="3FD6859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红磷</w:t>
                  </w:r>
                </w:p>
              </w:tc>
              <w:tc>
                <w:tcPr>
                  <w:tcW w:w="439" w:type="pct"/>
                  <w:gridSpan w:val="2"/>
                  <w:tcBorders>
                    <w:tl2br w:val="nil"/>
                    <w:tr2bl w:val="nil"/>
                  </w:tcBorders>
                  <w:vAlign w:val="center"/>
                </w:tcPr>
                <w:p w14:paraId="35D5CB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6E0A72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7FB24A6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571" w:type="pct"/>
                  <w:tcBorders>
                    <w:tl2br w:val="nil"/>
                    <w:tr2bl w:val="nil"/>
                  </w:tcBorders>
                  <w:vAlign w:val="center"/>
                </w:tcPr>
                <w:p w14:paraId="6A12A58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氧气可以使带有火星的木头复燃</w:t>
                  </w:r>
                </w:p>
              </w:tc>
              <w:tc>
                <w:tcPr>
                  <w:tcW w:w="2569" w:type="pct"/>
                  <w:gridSpan w:val="2"/>
                  <w:tcBorders>
                    <w:tl2br w:val="nil"/>
                    <w:tr2bl w:val="nil"/>
                  </w:tcBorders>
                  <w:vAlign w:val="center"/>
                </w:tcPr>
                <w:p w14:paraId="692134EB">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将带火星的木条伸入含有氧气的集气瓶中，观察现象。</w:t>
                  </w:r>
                </w:p>
              </w:tc>
              <w:tc>
                <w:tcPr>
                  <w:tcW w:w="512" w:type="pct"/>
                  <w:gridSpan w:val="2"/>
                  <w:tcBorders>
                    <w:tl2br w:val="nil"/>
                    <w:tr2bl w:val="nil"/>
                  </w:tcBorders>
                  <w:vAlign w:val="center"/>
                </w:tcPr>
                <w:p w14:paraId="0E0289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www.baidu.com/s?sa=re_dqa_generate&amp;wd=%E5%9D%A9%E5%9F%9A%E9%92%B3&amp;rsv_pq=94fb1c020078338f&amp;oq=%E5%88%9D%E4%B8%AD%E5%8C%96%E5%AD%A6%E6%9C%A8%E7%82%AD%E5%88%86%E5%88%AB%E5%9C%A8%E7%A9%BA%E6%B0%94%E9%87%8C%E5%92%8C%E6%B0%A7%E6%B0%94%E4%B8%AD%E7%87%83%E7%83%A7%E7%9A%84%E5%AE%9E%E9%AA%8C%E6%AD%A5%E9%AA%A4&amp;rsv_t=c38dy9rUugBKFlhzdZ+dqJ2/nbastG1HHWlQEQIO8HAZF1XSuLsbAeR9DXsqTF46walhIw&amp;tn=15007414_1_pg&amp;ie=utf-8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坩埚</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www.baidu.com/s?sa=re_dqa_generate&amp;wd=%E5%9D%A9%E5%9F%9A%E9%92%B3&amp;rsv_pq=94fb1c020078338f&amp;oq=%E5%88%9D%E4%B8%AD%E5%8C%96%E5%AD%A6%E6%9C%A8%E7%82%AD%E5%88%86%E5%88%AB%E5%9C%A8%E7%A9%BA%E6%B0%94%E9%87%8C%E5%92%8C%E6%B0%A7%E6%B0%94%E4%B8%AD%E7%87%83%E7%83%A7%E7%9A%84%E5%AE%9E%E9%AA%8C%E6%AD%A5%E9%AA%A4&amp;rsv_t=c38dy9rUugBKFlhzdZ+dqJ2/nbastG1HHWlQEQIO8HAZF1XSuLsbAeR9DXsqTF46walhIw&amp;tn=15007414_1_pg&amp;ie=utf-8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钳</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www.baidu.com/s?sa=re_dqa_generate&amp;wd=%E9%9B%86%E6%B0%94%E7%93%B6&amp;rsv_pq=94fb1c020078338f&amp;oq=%E5%88%9D%E4%B8%AD%E5%8C%96%E5%AD%A6%E6%9C%A8%E7%82%AD%E5%88%86%E5%88%AB%E5%9C%A8%E7%A9%BA%E6%B0%94%E9%87%8C%E5%92%8C%E6%B0%A7%E6%B0%94%E4%B8%AD%E7%87%83%E7%83%A7%E7%9A%84%E5%AE%9E%E9%AA%8C%E6%AD%A5%E9%AA%A4&amp;rsv_t=c38dy9rUugBKFlhzdZ+dqJ2/nbastG1HHWlQEQIO8HAZF1XSuLsbAeR9DXsqTF46walhIw&amp;tn=15007414_1_pg&amp;ie=utf-8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集</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www.baidu.com/s?sa=re_dqa_generate&amp;wd=%E9%9B%86%E6%B0%94%E7%93%B6&amp;rsv_pq=94fb1c020078338f&amp;oq=%E5%88%9D%E4%B8%AD%E5%8C%96%E5%AD%A6%E6%9C%A8%E7%82%AD%E5%88%86%E5%88%AB%E5%9C%A8%E7%A9%BA%E6%B0%94%E9%87%8C%E5%92%8C%E6%B0%A7%E6%B0%94%E4%B8%AD%E7%87%83%E7%83%A7%E7%9A%84%E5%AE%9E%E9%AA%8C%E6%AD%A5%E9%AA%A4&amp;rsv_t=c38dy9rUugBKFlhzdZ+dqJ2/nbastG1HHWlQEQIO8HAZF1XSuLsbAeR9DXsqTF46walhIw&amp;tn=15007414_1_pg&amp;ie=utf-8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气瓶</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、木条</w:t>
                  </w:r>
                </w:p>
              </w:tc>
              <w:tc>
                <w:tcPr>
                  <w:tcW w:w="523" w:type="pct"/>
                  <w:gridSpan w:val="2"/>
                  <w:tcBorders>
                    <w:tl2br w:val="nil"/>
                    <w:tr2bl w:val="nil"/>
                  </w:tcBorders>
                  <w:vAlign w:val="center"/>
                </w:tcPr>
                <w:p w14:paraId="737A6A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39" w:type="pct"/>
                  <w:gridSpan w:val="2"/>
                  <w:tcBorders>
                    <w:tl2br w:val="nil"/>
                    <w:tr2bl w:val="nil"/>
                  </w:tcBorders>
                  <w:vAlign w:val="center"/>
                </w:tcPr>
                <w:p w14:paraId="4E6E0B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2C0291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419D88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571" w:type="pct"/>
                  <w:tcBorders>
                    <w:tl2br w:val="nil"/>
                    <w:tr2bl w:val="nil"/>
                  </w:tcBorders>
                  <w:vAlign w:val="center"/>
                </w:tcPr>
                <w:p w14:paraId="2166EA0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木炭分别在空气里和氧气中燃烧</w:t>
                  </w:r>
                </w:p>
              </w:tc>
              <w:tc>
                <w:tcPr>
                  <w:tcW w:w="2569" w:type="pct"/>
                  <w:gridSpan w:val="2"/>
                  <w:tcBorders>
                    <w:tl2br w:val="nil"/>
                    <w:tr2bl w:val="nil"/>
                  </w:tcBorders>
                  <w:vAlign w:val="center"/>
                </w:tcPr>
                <w:p w14:paraId="4428BC66">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用坩埚钳夹取一小块木炭，在酒精灯上加热到发红。</w:t>
                  </w:r>
                </w:p>
                <w:p w14:paraId="47260879">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将木炭由瓶口向下缓慢插入盛有氧气的集气瓶中，观察木炭在氧气中燃烧的现象。</w:t>
                  </w:r>
                </w:p>
              </w:tc>
              <w:tc>
                <w:tcPr>
                  <w:tcW w:w="512" w:type="pct"/>
                  <w:gridSpan w:val="2"/>
                  <w:tcBorders>
                    <w:tl2br w:val="nil"/>
                    <w:tr2bl w:val="nil"/>
                  </w:tcBorders>
                  <w:vAlign w:val="center"/>
                </w:tcPr>
                <w:p w14:paraId="078C80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www.baidu.com/s?sa=re_dqa_generate&amp;wd=%E9%85%92%E7%B2%BE%E7%81%AF&amp;rsv_pq=94fb1c020078338f&amp;oq=%E5%88%9D%E4%B8%AD%E5%8C%96%E5%AD%A6%E6%9C%A8%E7%82%AD%E5%88%86%E5%88%AB%E5%9C%A8%E7%A9%BA%E6%B0%94%E9%87%8C%E5%92%8C%E6%B0%A7%E6%B0%94%E4%B8%AD%E7%87%83%E7%83%A7%E7%9A%84%E5%AE%9E%E9%AA%8C%E6%AD%A5%E9%AA%A4&amp;rsv_t=c38dy9rUugBKFlhzdZ+dqJ2/nbastG1HHWlQEQIO8HAZF1XSuLsbAeR9DXsqTF46walhIw&amp;tn=15007414_1_pg&amp;ie=utf-8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酒精</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www.baidu.com/s?sa=re_dqa_generate&amp;wd=%E9%85%92%E7%B2%BE%E7%81%AF&amp;rsv_pq=94fb1c020078338f&amp;oq=%E5%88%9D%E4%B8%AD%E5%8C%96%E5%AD%A6%E6%9C%A8%E7%82%AD%E5%88%86%E5%88%AB%E5%9C%A8%E7%A9%BA%E6%B0%94%E9%87%8C%E5%92%8C%E6%B0%A7%E6%B0%94%E4%B8%AD%E7%87%83%E7%83%A7%E7%9A%84%E5%AE%9E%E9%AA%8C%E6%AD%A5%E9%AA%A4&amp;rsv_t=c38dy9rUugBKFlhzdZ+dqJ2/nbastG1HHWlQEQIO8HAZF1XSuLsbAeR9DXsqTF46walhIw&amp;tn=15007414_1_pg&amp;ie=utf-8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灯</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www.baidu.com/s?sa=re_dqa_generate&amp;wd=%E5%9D%A9%E5%9F%9A%E9%92%B3&amp;rsv_pq=94fb1c020078338f&amp;oq=%E5%88%9D%E4%B8%AD%E5%8C%96%E5%AD%A6%E6%9C%A8%E7%82%AD%E5%88%86%E5%88%AB%E5%9C%A8%E7%A9%BA%E6%B0%94%E9%87%8C%E5%92%8C%E6%B0%A7%E6%B0%94%E4%B8%AD%E7%87%83%E7%83%A7%E7%9A%84%E5%AE%9E%E9%AA%8C%E6%AD%A5%E9%AA%A4&amp;rsv_t=c38dy9rUugBKFlhzdZ+dqJ2/nbastG1HHWlQEQIO8HAZF1XSuLsbAeR9DXsqTF46walhIw&amp;tn=15007414_1_pg&amp;ie=utf-8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坩</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www.baidu.com/s?sa=re_dqa_generate&amp;wd=%E5%9D%A9%E5%9F%9A%E9%92%B3&amp;rsv_pq=94fb1c020078338f&amp;oq=%E5%88%9D%E4%B8%AD%E5%8C%96%E5%AD%A6%E6%9C%A8%E7%82%AD%E5%88%86%E5%88%AB%E5%9C%A8%E7%A9%BA%E6%B0%94%E9%87%8C%E5%92%8C%E6%B0%A7%E6%B0%94%E4%B8%AD%E7%87%83%E7%83%A7%E7%9A%84%E5%AE%9E%E9%AA%8C%E6%AD%A5%E9%AA%A4&amp;rsv_t=c38dy9rUugBKFlhzdZ+dqJ2/nbastG1HHWlQEQIO8HAZF1XSuLsbAeR9DXsqTF46walhIw&amp;tn=15007414_1_pg&amp;ie=utf-8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埚钳</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www.baidu.com/s?sa=re_dqa_generate&amp;wd=%E9%9B%86%E6%B0%94%E7%93%B6&amp;rsv_pq=94fb1c020078338f&amp;oq=%E5%88%9D%E4%B8%AD%E5%8C%96%E5%AD%A6%E6%9C%A8%E7%82%AD%E5%88%86%E5%88%AB%E5%9C%A8%E7%A9%BA%E6%B0%94%E9%87%8C%E5%92%8C%E6%B0%A7%E6%B0%94%E4%B8%AD%E7%87%83%E7%83%A7%E7%9A%84%E5%AE%9E%E9%AA%8C%E6%AD%A5%E9%AA%A4&amp;rsv_t=c38dy9rUugBKFlhzdZ+dqJ2/nbastG1HHWlQEQIO8HAZF1XSuLsbAeR9DXsqTF46walhIw&amp;tn=15007414_1_pg&amp;ie=utf-8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集气</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www.baidu.com/s?sa=re_dqa_generate&amp;wd=%E9%9B%86%E6%B0%94%E7%93%B6&amp;rsv_pq=94fb1c020078338f&amp;oq=%E5%88%9D%E4%B8%AD%E5%8C%96%E5%AD%A6%E6%9C%A8%E7%82%AD%E5%88%86%E5%88%AB%E5%9C%A8%E7%A9%BA%E6%B0%94%E9%87%8C%E5%92%8C%E6%B0%A7%E6%B0%94%E4%B8%AD%E7%87%83%E7%83%A7%E7%9A%84%E5%AE%9E%E9%AA%8C%E6%AD%A5%E9%AA%A4&amp;rsv_t=c38dy9rUugBKFlhzdZ+dqJ2/nbastG1HHWlQEQIO8HAZF1XSuLsbAeR9DXsqTF46walhIw&amp;tn=15007414_1_pg&amp;ie=utf-8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、木炭</w:t>
                  </w:r>
                </w:p>
              </w:tc>
              <w:tc>
                <w:tcPr>
                  <w:tcW w:w="523" w:type="pct"/>
                  <w:gridSpan w:val="2"/>
                  <w:tcBorders>
                    <w:tl2br w:val="nil"/>
                    <w:tr2bl w:val="nil"/>
                  </w:tcBorders>
                  <w:vAlign w:val="center"/>
                </w:tcPr>
                <w:p w14:paraId="52F8D5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39" w:type="pct"/>
                  <w:gridSpan w:val="2"/>
                  <w:tcBorders>
                    <w:tl2br w:val="nil"/>
                    <w:tr2bl w:val="nil"/>
                  </w:tcBorders>
                  <w:vAlign w:val="center"/>
                </w:tcPr>
                <w:p w14:paraId="769C88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130C85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70E9224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571" w:type="pct"/>
                  <w:tcBorders>
                    <w:tl2br w:val="nil"/>
                    <w:tr2bl w:val="nil"/>
                  </w:tcBorders>
                  <w:vAlign w:val="center"/>
                </w:tcPr>
                <w:p w14:paraId="078B23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铁丝在氧气中燃烧</w:t>
                  </w:r>
                </w:p>
              </w:tc>
              <w:tc>
                <w:tcPr>
                  <w:tcW w:w="2569" w:type="pct"/>
                  <w:gridSpan w:val="2"/>
                  <w:tcBorders>
                    <w:tl2br w:val="nil"/>
                    <w:tr2bl w:val="nil"/>
                  </w:tcBorders>
                  <w:vAlign w:val="center"/>
                </w:tcPr>
                <w:p w14:paraId="5F2346E1">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预处理铁丝：用砂纸将铁丝打磨干净，去除表面的锈迹和污垢。这是为了确保铁丝表面光洁，增加反应的效率。</w:t>
                  </w:r>
                </w:p>
                <w:p w14:paraId="347130AF">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铁丝的形状处理：将铁丝盘成螺旋状，这样可以增加铁丝与氧气的接触面积，从而提高燃烧效率。</w:t>
                  </w:r>
                </w:p>
                <w:p w14:paraId="5D3C790A">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柴的处理：在铁丝的下端系一根火柴，待火柴快燃尽时再插入盛有氧气的集气瓶中。这是为了利用火柴引燃铁丝，确保铁丝在插入氧气瓶时能够迅速燃烧。插入氧气瓶：将处理好的铁丝由上向下缓慢插入盛满氧气的集气瓶中。注意，集气瓶底部应预先铺一层水或细沙，以防止高温熔融物溅落炸裂瓶底。</w:t>
                  </w:r>
                </w:p>
              </w:tc>
              <w:tc>
                <w:tcPr>
                  <w:tcW w:w="512" w:type="pct"/>
                  <w:gridSpan w:val="2"/>
                  <w:tcBorders>
                    <w:tl2br w:val="nil"/>
                    <w:tr2bl w:val="nil"/>
                  </w:tcBorders>
                  <w:vAlign w:val="center"/>
                </w:tcPr>
                <w:p w14:paraId="7CE2E35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细铁丝、氧气集气瓶、</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www.baidu.com/s?sa=re_dqa_generate&amp;wd=%E5%9D%A9%E5%9F%9A%E9%92%B3&amp;rsv_pq=c4a5e8a0029162ff&amp;oq=%E5%88%9D%E4%B8%AD%E5%8C%96%E5%AD%A6%E9%93%81%E4%B8%9D%E5%9C%A8%E6%B0%A7%E6%B0%94%E4%B8%AD%E7%87%83%E7%83%A7%E7%9A%84%E5%AE%9E%E9%AA%8C%E6%AD%A5%E9%AA%A4&amp;rsv_t=4832fvkqN9NgZZ02785gwdHW/MFROCvobWK48HacvuH8BySgu7N1cHILZx8PXJChu9HOlw&amp;tn=15007414_1_pg&amp;ie=utf-8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坩埚</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www.baidu.com/s?sa=re_dqa_generate&amp;wd=%E5%9D%A9%E5%9F%9A%E9%92%B3&amp;rsv_pq=c4a5e8a0029162ff&amp;oq=%E5%88%9D%E4%B8%AD%E5%8C%96%E5%AD%A6%E9%93%81%E4%B8%9D%E5%9C%A8%E6%B0%A7%E6%B0%94%E4%B8%AD%E7%87%83%E7%83%A7%E7%9A%84%E5%AE%9E%E9%AA%8C%E6%AD%A5%E9%AA%A4&amp;rsv_t=4832fvkqN9NgZZ02785gwdHW/MFROCvobWK48HacvuH8BySgu7N1cHILZx8PXJChu9HOlw&amp;tn=15007414_1_pg&amp;ie=utf-8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钳</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www.baidu.com/s?sa=re_dqa_generate&amp;wd=%E7%A0%82%E7%BA%B8&amp;rsv_pq=c4a5e8a0029162ff&amp;oq=%E5%88%9D%E4%B8%AD%E5%8C%96%E5%AD%A6%E9%93%81%E4%B8%9D%E5%9C%A8%E6%B0%A7%E6%B0%94%E4%B8%AD%E7%87%83%E7%83%A7%E7%9A%84%E5%AE%9E%E9%AA%8C%E6%AD%A5%E9%AA%A4&amp;rsv_t=4832fvkqN9NgZZ02785gwdHW/MFROCvobWK48HacvuH8BySgu7N1cHILZx8PXJChu9HOlw&amp;tn=15007414_1_pg&amp;ie=utf-8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砂</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www.baidu.com/s?sa=re_dqa_generate&amp;wd=%E7%A0%82%E7%BA%B8&amp;rsv_pq=c4a5e8a0029162ff&amp;oq=%E5%88%9D%E4%B8%AD%E5%8C%96%E5%AD%A6%E9%93%81%E4%B8%9D%E5%9C%A8%E6%B0%A7%E6%B0%94%E4%B8%AD%E7%87%83%E7%83%A7%E7%9A%84%E5%AE%9E%E9%AA%8C%E6%AD%A5%E9%AA%A4&amp;rsv_t=4832fvkqN9NgZZ02785gwdHW/MFROCvobWK48HacvuH8BySgu7N1cHILZx8PXJChu9HOlw&amp;tn=15007414_1_pg&amp;ie=utf-8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纸</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、火柴</w:t>
                  </w:r>
                </w:p>
              </w:tc>
              <w:tc>
                <w:tcPr>
                  <w:tcW w:w="523" w:type="pct"/>
                  <w:gridSpan w:val="2"/>
                  <w:tcBorders>
                    <w:tl2br w:val="nil"/>
                    <w:tr2bl w:val="nil"/>
                  </w:tcBorders>
                  <w:vAlign w:val="center"/>
                </w:tcPr>
                <w:p w14:paraId="200760C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39" w:type="pct"/>
                  <w:gridSpan w:val="2"/>
                  <w:tcBorders>
                    <w:tl2br w:val="nil"/>
                    <w:tr2bl w:val="nil"/>
                  </w:tcBorders>
                  <w:vAlign w:val="center"/>
                </w:tcPr>
                <w:p w14:paraId="40ECDFF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34A8DC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6E53C7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71" w:type="pct"/>
                  <w:tcBorders>
                    <w:tl2br w:val="nil"/>
                    <w:tr2bl w:val="nil"/>
                  </w:tcBorders>
                  <w:vAlign w:val="center"/>
                </w:tcPr>
                <w:p w14:paraId="00E925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用肥皂水区分硬水和软水</w:t>
                  </w:r>
                </w:p>
              </w:tc>
              <w:tc>
                <w:tcPr>
                  <w:tcW w:w="2569" w:type="pct"/>
                  <w:gridSpan w:val="2"/>
                  <w:tcBorders>
                    <w:tl2br w:val="nil"/>
                    <w:tr2bl w:val="nil"/>
                  </w:tcBorders>
                  <w:vAlign w:val="center"/>
                </w:tcPr>
                <w:p w14:paraId="3683C1D1">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准备材料：准备两支试管，分别加入等量的硬水和软水。</w:t>
                  </w:r>
                </w:p>
                <w:p w14:paraId="4EB45374">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加入肥皂水：向两支试管中分别加入等量的肥皂水，振荡试管以观察现象。</w:t>
                  </w:r>
                </w:p>
                <w:p w14:paraId="116E414C">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观察现象：装有硬水的试管中会出现少量泡沫和大量浮渣，这是因为硬水中含有较多的钙镁离子，与肥皂中的成分反应生成不溶于水的沉淀物，导致泡沫较少。装有软水的试管中会出现大量泡沫和少量浮渣，甚至没有浮渣，这是因为软水中钙镁离子含量较少，与肥皂反应生成的沉淀物较少，泡沫较多。</w:t>
                  </w:r>
                </w:p>
              </w:tc>
              <w:tc>
                <w:tcPr>
                  <w:tcW w:w="512" w:type="pct"/>
                  <w:gridSpan w:val="2"/>
                  <w:tcBorders>
                    <w:tl2br w:val="nil"/>
                    <w:tr2bl w:val="nil"/>
                  </w:tcBorders>
                  <w:vAlign w:val="center"/>
                </w:tcPr>
                <w:p w14:paraId="173950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试管、肥皂水、软水</w:t>
                  </w:r>
                </w:p>
              </w:tc>
              <w:tc>
                <w:tcPr>
                  <w:tcW w:w="523" w:type="pct"/>
                  <w:gridSpan w:val="2"/>
                  <w:tcBorders>
                    <w:tl2br w:val="nil"/>
                    <w:tr2bl w:val="nil"/>
                  </w:tcBorders>
                  <w:vAlign w:val="center"/>
                </w:tcPr>
                <w:p w14:paraId="2CCFD0D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39" w:type="pct"/>
                  <w:gridSpan w:val="2"/>
                  <w:tcBorders>
                    <w:tl2br w:val="nil"/>
                    <w:tr2bl w:val="nil"/>
                  </w:tcBorders>
                  <w:vAlign w:val="center"/>
                </w:tcPr>
                <w:p w14:paraId="3A20921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67B18E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1F1B6A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571" w:type="pct"/>
                  <w:tcBorders>
                    <w:tl2br w:val="nil"/>
                    <w:tr2bl w:val="nil"/>
                  </w:tcBorders>
                  <w:vAlign w:val="center"/>
                </w:tcPr>
                <w:p w14:paraId="2858A5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明矾净水</w:t>
                  </w:r>
                </w:p>
              </w:tc>
              <w:tc>
                <w:tcPr>
                  <w:tcW w:w="2569" w:type="pct"/>
                  <w:gridSpan w:val="2"/>
                  <w:tcBorders>
                    <w:tl2br w:val="nil"/>
                    <w:tr2bl w:val="nil"/>
                  </w:tcBorders>
                  <w:vAlign w:val="center"/>
                </w:tcPr>
                <w:p w14:paraId="2CBDF596">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准备材料：首先，需要准备两个等量的淘米水、10 克明矾和约30毫升清水。溶解明矾：将10克明矾倒入约30毫升清水中，充分搅拌直至明矾完全溶解。倒入淘米水：将溶解好的明矾水倒入其中一个装有淘米水的玻璃杯中。</w:t>
                  </w:r>
                </w:p>
                <w:p w14:paraId="52C57941">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观察变化：分别在加入明矾水后5分钟、30分钟和 120分钟时，观察淘米水杯中的变化。</w:t>
                  </w:r>
                </w:p>
              </w:tc>
              <w:tc>
                <w:tcPr>
                  <w:tcW w:w="512" w:type="pct"/>
                  <w:gridSpan w:val="2"/>
                  <w:tcBorders>
                    <w:tl2br w:val="nil"/>
                    <w:tr2bl w:val="nil"/>
                  </w:tcBorders>
                  <w:vAlign w:val="center"/>
                </w:tcPr>
                <w:p w14:paraId="077839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淘米水、玻璃杯</w:t>
                  </w:r>
                </w:p>
              </w:tc>
              <w:tc>
                <w:tcPr>
                  <w:tcW w:w="523" w:type="pct"/>
                  <w:gridSpan w:val="2"/>
                  <w:tcBorders>
                    <w:tl2br w:val="nil"/>
                    <w:tr2bl w:val="nil"/>
                  </w:tcBorders>
                  <w:vAlign w:val="center"/>
                </w:tcPr>
                <w:p w14:paraId="1FC0434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明矾</w:t>
                  </w:r>
                </w:p>
              </w:tc>
              <w:tc>
                <w:tcPr>
                  <w:tcW w:w="439" w:type="pct"/>
                  <w:gridSpan w:val="2"/>
                  <w:tcBorders>
                    <w:tl2br w:val="nil"/>
                    <w:tr2bl w:val="nil"/>
                  </w:tcBorders>
                  <w:vAlign w:val="center"/>
                </w:tcPr>
                <w:p w14:paraId="734277C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58DAFF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646404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571" w:type="pct"/>
                  <w:tcBorders>
                    <w:tl2br w:val="nil"/>
                    <w:tr2bl w:val="nil"/>
                  </w:tcBorders>
                  <w:vAlign w:val="center"/>
                </w:tcPr>
                <w:p w14:paraId="464E76F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过滤液体</w:t>
                  </w:r>
                </w:p>
              </w:tc>
              <w:tc>
                <w:tcPr>
                  <w:tcW w:w="2569" w:type="pct"/>
                  <w:gridSpan w:val="2"/>
                  <w:tcBorders>
                    <w:tl2br w:val="nil"/>
                    <w:tr2bl w:val="nil"/>
                  </w:tcBorders>
                  <w:vAlign w:val="center"/>
                </w:tcPr>
                <w:p w14:paraId="4D10FA6F">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准备实验所需的仪器，包括铁架台、烧杯、漏斗、滤纸、玻璃棒和洗瓶。</w:t>
                  </w:r>
                </w:p>
                <w:p w14:paraId="668814EF">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将滤纸对折两次，形成圆锥形，放入漏斗中，确保滤纸一边一层一边三层，滤纸紧贴漏斗内壁，不留气泡。</w:t>
                  </w:r>
                </w:p>
                <w:p w14:paraId="18BBDDFF">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按照</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一贴、二低、三靠</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的原则进行操作：一贴：将干净的漏斗润湿，取一折叠好的滤纸紧贴在漏斗的内壁，滤纸与漏斗内壁之间不能残留气泡。</w:t>
                  </w:r>
                </w:p>
                <w:p w14:paraId="498F45D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二低：滤纸的边缘要低于漏斗的边缘；滤液的液面要低于滤纸的边缘。</w:t>
                  </w:r>
                </w:p>
                <w:p w14:paraId="0280B71A">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三靠：玻璃棒下端抵靠在三层滤纸上；</w:t>
                  </w:r>
                </w:p>
                <w:p w14:paraId="237F7B7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倾倒时，装溶液的烧杯口紧靠玻璃棒；漏斗下端斜口最长的一侧紧靠烧杯内壁。</w:t>
                  </w:r>
                </w:p>
              </w:tc>
              <w:tc>
                <w:tcPr>
                  <w:tcW w:w="512" w:type="pct"/>
                  <w:gridSpan w:val="2"/>
                  <w:tcBorders>
                    <w:tl2br w:val="nil"/>
                    <w:tr2bl w:val="nil"/>
                  </w:tcBorders>
                  <w:vAlign w:val="center"/>
                </w:tcPr>
                <w:p w14:paraId="03206D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铁架台、烧杯、漏斗、滤纸、玻璃棒和洗瓶</w:t>
                  </w:r>
                </w:p>
              </w:tc>
              <w:tc>
                <w:tcPr>
                  <w:tcW w:w="523" w:type="pct"/>
                  <w:gridSpan w:val="2"/>
                  <w:tcBorders>
                    <w:tl2br w:val="nil"/>
                    <w:tr2bl w:val="nil"/>
                  </w:tcBorders>
                  <w:vAlign w:val="center"/>
                </w:tcPr>
                <w:p w14:paraId="21D9588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39" w:type="pct"/>
                  <w:gridSpan w:val="2"/>
                  <w:tcBorders>
                    <w:tl2br w:val="nil"/>
                    <w:tr2bl w:val="nil"/>
                  </w:tcBorders>
                  <w:vAlign w:val="center"/>
                </w:tcPr>
                <w:p w14:paraId="1C7B3BA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0A3572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2F18BE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571" w:type="pct"/>
                  <w:tcBorders>
                    <w:tl2br w:val="nil"/>
                    <w:tr2bl w:val="nil"/>
                  </w:tcBorders>
                  <w:vAlign w:val="center"/>
                </w:tcPr>
                <w:p w14:paraId="5B7548A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蔗糖、食盐等的溶解</w:t>
                  </w:r>
                </w:p>
              </w:tc>
              <w:tc>
                <w:tcPr>
                  <w:tcW w:w="2569" w:type="pct"/>
                  <w:gridSpan w:val="2"/>
                  <w:tcBorders>
                    <w:tl2br w:val="nil"/>
                    <w:tr2bl w:val="nil"/>
                  </w:tcBorders>
                  <w:vAlign w:val="center"/>
                </w:tcPr>
                <w:p w14:paraId="5203BEC4">
                  <w:pPr>
                    <w:jc w:val="both"/>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准备好实验所需的材料和仪器，包括烧杯、量筒、玻璃棒、药匙、蒸馏水以及蔗糖和食盐。接着，在盛有20毫升水的烧杯中加入一药匙的蔗糖或食盐，用玻璃棒搅拌，直到蔗糖或食盐完全溶解</w:t>
                  </w:r>
                  <w:r>
                    <w:rPr>
                      <w:rFonts w:hint="eastAsia" w:ascii="Times New Roman" w:hAnsi="Times New Roman" w:eastAsia="宋体" w:cs="Times New Roman"/>
                      <w:color w:val="auto"/>
                      <w:sz w:val="21"/>
                      <w:szCs w:val="21"/>
                      <w:lang w:eastAsia="zh-CN"/>
                    </w:rPr>
                    <w:t>。</w:t>
                  </w:r>
                </w:p>
              </w:tc>
              <w:tc>
                <w:tcPr>
                  <w:tcW w:w="512" w:type="pct"/>
                  <w:gridSpan w:val="2"/>
                  <w:tcBorders>
                    <w:tl2br w:val="nil"/>
                    <w:tr2bl w:val="nil"/>
                  </w:tcBorders>
                  <w:vAlign w:val="center"/>
                </w:tcPr>
                <w:p w14:paraId="5AA223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烧杯、量筒、玻璃棒、药匙</w:t>
                  </w:r>
                </w:p>
              </w:tc>
              <w:tc>
                <w:tcPr>
                  <w:tcW w:w="523" w:type="pct"/>
                  <w:gridSpan w:val="2"/>
                  <w:tcBorders>
                    <w:tl2br w:val="nil"/>
                    <w:tr2bl w:val="nil"/>
                  </w:tcBorders>
                  <w:vAlign w:val="center"/>
                </w:tcPr>
                <w:p w14:paraId="279C92A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蔗糖、食盐</w:t>
                  </w:r>
                </w:p>
              </w:tc>
              <w:tc>
                <w:tcPr>
                  <w:tcW w:w="439" w:type="pct"/>
                  <w:gridSpan w:val="2"/>
                  <w:tcBorders>
                    <w:tl2br w:val="nil"/>
                    <w:tr2bl w:val="nil"/>
                  </w:tcBorders>
                  <w:vAlign w:val="center"/>
                </w:tcPr>
                <w:p w14:paraId="0C46E0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67657A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229079F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571" w:type="pct"/>
                  <w:tcBorders>
                    <w:tl2br w:val="nil"/>
                    <w:tr2bl w:val="nil"/>
                  </w:tcBorders>
                  <w:vAlign w:val="center"/>
                </w:tcPr>
                <w:p w14:paraId="5580BB7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活性炭的吸附性</w:t>
                  </w:r>
                </w:p>
              </w:tc>
              <w:tc>
                <w:tcPr>
                  <w:tcW w:w="2569" w:type="pct"/>
                  <w:gridSpan w:val="2"/>
                  <w:tcBorders>
                    <w:tl2br w:val="nil"/>
                    <w:tr2bl w:val="nil"/>
                  </w:tcBorders>
                  <w:vAlign w:val="center"/>
                </w:tcPr>
                <w:p w14:paraId="3824BA02">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1.准备实验材料：</w:t>
                  </w:r>
                </w:p>
                <w:p w14:paraId="0574C6D0">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实验材料包括活性炭、色素（如红墨水）、烧杯、玻璃棒、滤纸和漏斗。</w:t>
                  </w:r>
                </w:p>
                <w:p w14:paraId="5F555633">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将色素（如红墨水）加入烧杯中，形成有色溶液。</w:t>
                  </w:r>
                </w:p>
                <w:p w14:paraId="3C760B9D">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2.将少量活性炭加入到有色溶液中，用玻璃棒搅拌，观察颜色变化。</w:t>
                  </w:r>
                </w:p>
              </w:tc>
              <w:tc>
                <w:tcPr>
                  <w:tcW w:w="512" w:type="pct"/>
                  <w:gridSpan w:val="2"/>
                  <w:tcBorders>
                    <w:tl2br w:val="nil"/>
                    <w:tr2bl w:val="nil"/>
                  </w:tcBorders>
                  <w:vAlign w:val="center"/>
                </w:tcPr>
                <w:p w14:paraId="5BF4709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活性炭、红墨水、烧杯、玻璃棒、滤纸和漏斗</w:t>
                  </w:r>
                </w:p>
              </w:tc>
              <w:tc>
                <w:tcPr>
                  <w:tcW w:w="523" w:type="pct"/>
                  <w:gridSpan w:val="2"/>
                  <w:tcBorders>
                    <w:tl2br w:val="nil"/>
                    <w:tr2bl w:val="nil"/>
                  </w:tcBorders>
                  <w:vAlign w:val="center"/>
                </w:tcPr>
                <w:p w14:paraId="55FE166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39" w:type="pct"/>
                  <w:gridSpan w:val="2"/>
                  <w:tcBorders>
                    <w:tl2br w:val="nil"/>
                    <w:tr2bl w:val="nil"/>
                  </w:tcBorders>
                  <w:vAlign w:val="center"/>
                </w:tcPr>
                <w:p w14:paraId="1F40F76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496C2F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0636F91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571" w:type="pct"/>
                  <w:tcBorders>
                    <w:tl2br w:val="nil"/>
                    <w:tr2bl w:val="nil"/>
                  </w:tcBorders>
                  <w:vAlign w:val="center"/>
                </w:tcPr>
                <w:p w14:paraId="28749D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乙醇能溶解在水中</w:t>
                  </w:r>
                </w:p>
              </w:tc>
              <w:tc>
                <w:tcPr>
                  <w:tcW w:w="2569" w:type="pct"/>
                  <w:gridSpan w:val="2"/>
                  <w:tcBorders>
                    <w:tl2br w:val="nil"/>
                    <w:tr2bl w:val="nil"/>
                  </w:tcBorders>
                  <w:vAlign w:val="center"/>
                </w:tcPr>
                <w:p w14:paraId="7045B3F3">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准备材料：需要准备的材料包括试管、红墨水、水和乙醇。</w:t>
                  </w:r>
                </w:p>
                <w:p w14:paraId="11E8D7A7">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实验步骤：在盛有2mL水的试管中滴入2-3滴红墨水，振荡后液体呈红色。</w:t>
                  </w:r>
                </w:p>
                <w:p w14:paraId="147CE9F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沿试管内壁缓缓加入约2mL乙醇，不要振荡。振荡试管，观察现象。</w:t>
                  </w:r>
                </w:p>
                <w:p w14:paraId="5E6D2932">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静置几分钟，再次观察液体是否分层。</w:t>
                  </w:r>
                </w:p>
              </w:tc>
              <w:tc>
                <w:tcPr>
                  <w:tcW w:w="512" w:type="pct"/>
                  <w:gridSpan w:val="2"/>
                  <w:tcBorders>
                    <w:tl2br w:val="nil"/>
                    <w:tr2bl w:val="nil"/>
                  </w:tcBorders>
                  <w:vAlign w:val="center"/>
                </w:tcPr>
                <w:p w14:paraId="5FA0F4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试管、红墨水</w:t>
                  </w:r>
                </w:p>
              </w:tc>
              <w:tc>
                <w:tcPr>
                  <w:tcW w:w="523" w:type="pct"/>
                  <w:gridSpan w:val="2"/>
                  <w:tcBorders>
                    <w:tl2br w:val="nil"/>
                    <w:tr2bl w:val="nil"/>
                  </w:tcBorders>
                  <w:vAlign w:val="center"/>
                </w:tcPr>
                <w:p w14:paraId="62F4F0D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乙醇</w:t>
                  </w:r>
                </w:p>
              </w:tc>
              <w:tc>
                <w:tcPr>
                  <w:tcW w:w="439" w:type="pct"/>
                  <w:gridSpan w:val="2"/>
                  <w:tcBorders>
                    <w:tl2br w:val="nil"/>
                    <w:tr2bl w:val="nil"/>
                  </w:tcBorders>
                  <w:vAlign w:val="center"/>
                </w:tcPr>
                <w:p w14:paraId="292D1D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6E765F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5D0C620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571" w:type="pct"/>
                  <w:tcBorders>
                    <w:tl2br w:val="nil"/>
                    <w:tr2bl w:val="nil"/>
                  </w:tcBorders>
                  <w:vAlign w:val="center"/>
                </w:tcPr>
                <w:p w14:paraId="15FAE5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溶解时的吸热和放热现象</w:t>
                  </w:r>
                </w:p>
              </w:tc>
              <w:tc>
                <w:tcPr>
                  <w:tcW w:w="2569" w:type="pct"/>
                  <w:gridSpan w:val="2"/>
                  <w:tcBorders>
                    <w:tl2br w:val="nil"/>
                    <w:tr2bl w:val="nil"/>
                  </w:tcBorders>
                  <w:vAlign w:val="center"/>
                </w:tcPr>
                <w:p w14:paraId="47BA52E6">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准备材料：需要准备试管、烧杯、玻璃棒、温度计、氯化钠、硝酸铵、氢氧化钠等仪器和药品。</w:t>
                  </w:r>
                </w:p>
                <w:p w14:paraId="163A0001">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测量初始温度：用量筒量取三份等量的水倒入三个烧杯中，分别测量并记录初始温度。</w:t>
                  </w:r>
                </w:p>
                <w:p w14:paraId="77CC3662">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加入固体：用托盘天平分别称量等量的氯化钠、硝酸铵、氢氧化钠固体。</w:t>
                  </w:r>
                </w:p>
                <w:p w14:paraId="7B706F2B">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溶解过程：将称好的三种固体分别加入之前盛好水的三个烧杯中，用玻璃棒搅拌，直至固体完全溶解。</w:t>
                  </w:r>
                </w:p>
                <w:p w14:paraId="37723AA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测量最终温度：溶解后测量并记录溶液的温度。</w:t>
                  </w:r>
                </w:p>
              </w:tc>
              <w:tc>
                <w:tcPr>
                  <w:tcW w:w="512" w:type="pct"/>
                  <w:gridSpan w:val="2"/>
                  <w:tcBorders>
                    <w:tl2br w:val="nil"/>
                    <w:tr2bl w:val="nil"/>
                  </w:tcBorders>
                  <w:vAlign w:val="center"/>
                </w:tcPr>
                <w:p w14:paraId="2216381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试管、烧杯、玻璃棒、温度计</w:t>
                  </w:r>
                </w:p>
              </w:tc>
              <w:tc>
                <w:tcPr>
                  <w:tcW w:w="523" w:type="pct"/>
                  <w:gridSpan w:val="2"/>
                  <w:tcBorders>
                    <w:tl2br w:val="nil"/>
                    <w:tr2bl w:val="nil"/>
                  </w:tcBorders>
                  <w:vAlign w:val="center"/>
                </w:tcPr>
                <w:p w14:paraId="56A388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氯化钠、硝酸铵、氢氧化钠</w:t>
                  </w:r>
                </w:p>
              </w:tc>
              <w:tc>
                <w:tcPr>
                  <w:tcW w:w="439" w:type="pct"/>
                  <w:gridSpan w:val="2"/>
                  <w:tcBorders>
                    <w:tl2br w:val="nil"/>
                    <w:tr2bl w:val="nil"/>
                  </w:tcBorders>
                  <w:vAlign w:val="center"/>
                </w:tcPr>
                <w:p w14:paraId="6BB992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30CE5E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11FFA03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571" w:type="pct"/>
                  <w:tcBorders>
                    <w:tl2br w:val="nil"/>
                    <w:tr2bl w:val="nil"/>
                  </w:tcBorders>
                  <w:vAlign w:val="center"/>
                </w:tcPr>
                <w:p w14:paraId="67A5C3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探究影响物质溶解性的因素</w:t>
                  </w:r>
                </w:p>
              </w:tc>
              <w:tc>
                <w:tcPr>
                  <w:tcW w:w="2569" w:type="pct"/>
                  <w:gridSpan w:val="2"/>
                  <w:tcBorders>
                    <w:tl2br w:val="nil"/>
                    <w:tr2bl w:val="nil"/>
                  </w:tcBorders>
                  <w:vAlign w:val="center"/>
                </w:tcPr>
                <w:p w14:paraId="32CB2736">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在常温下，用量筒各量取5mL蒸馏水，分别加入三支试管中。</w:t>
                  </w:r>
                </w:p>
                <w:p w14:paraId="53F2A310">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分别加入氯化钠、硝酸钾、氢氧化钙各2g，振荡试管。</w:t>
                  </w:r>
                </w:p>
                <w:p w14:paraId="523A2C8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观察并记录每种物质的溶解情况</w:t>
                  </w:r>
                </w:p>
                <w:p w14:paraId="6A98280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用量筒各量取5mL蒸馏水，分别加入三支试管中。</w:t>
                  </w:r>
                </w:p>
                <w:p w14:paraId="2C138BD6">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分别加入5g硝酸钾晶体，将其中一支试管保持在常温，另外两支试管加热至40°C和60°C。</w:t>
                  </w:r>
                </w:p>
                <w:p w14:paraId="622CC14C">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振荡试管并观察溶解情况。</w:t>
                  </w:r>
                </w:p>
              </w:tc>
              <w:tc>
                <w:tcPr>
                  <w:tcW w:w="512" w:type="pct"/>
                  <w:gridSpan w:val="2"/>
                  <w:tcBorders>
                    <w:tl2br w:val="nil"/>
                    <w:tr2bl w:val="nil"/>
                  </w:tcBorders>
                  <w:vAlign w:val="center"/>
                </w:tcPr>
                <w:p w14:paraId="1EF1BA4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量筒、试管、酒精灯</w:t>
                  </w:r>
                </w:p>
              </w:tc>
              <w:tc>
                <w:tcPr>
                  <w:tcW w:w="523" w:type="pct"/>
                  <w:gridSpan w:val="2"/>
                  <w:tcBorders>
                    <w:tl2br w:val="nil"/>
                    <w:tr2bl w:val="nil"/>
                  </w:tcBorders>
                  <w:vAlign w:val="center"/>
                </w:tcPr>
                <w:p w14:paraId="32B4783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氯化钠、硝酸钾、氢氧化钙</w:t>
                  </w:r>
                </w:p>
              </w:tc>
              <w:tc>
                <w:tcPr>
                  <w:tcW w:w="439" w:type="pct"/>
                  <w:gridSpan w:val="2"/>
                  <w:tcBorders>
                    <w:tl2br w:val="nil"/>
                    <w:tr2bl w:val="nil"/>
                  </w:tcBorders>
                  <w:vAlign w:val="center"/>
                </w:tcPr>
                <w:p w14:paraId="3046D65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学生操作</w:t>
                  </w:r>
                </w:p>
              </w:tc>
            </w:tr>
            <w:tr w14:paraId="78183A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1FE4D7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571" w:type="pct"/>
                  <w:tcBorders>
                    <w:tl2br w:val="nil"/>
                    <w:tr2bl w:val="nil"/>
                  </w:tcBorders>
                  <w:vAlign w:val="center"/>
                </w:tcPr>
                <w:p w14:paraId="304EAD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硝酸钾在水中的溶解</w:t>
                  </w:r>
                </w:p>
              </w:tc>
              <w:tc>
                <w:tcPr>
                  <w:tcW w:w="2569" w:type="pct"/>
                  <w:gridSpan w:val="2"/>
                  <w:tcBorders>
                    <w:tl2br w:val="nil"/>
                    <w:tr2bl w:val="nil"/>
                  </w:tcBorders>
                  <w:vAlign w:val="center"/>
                </w:tcPr>
                <w:p w14:paraId="19C49F32">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在托盘天平上称量硝酸钾，分别称取3.5g、1.5g、1.5g、2.0g、2.5g。</w:t>
                  </w:r>
                </w:p>
                <w:p w14:paraId="5DA7C5A1">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在大试管中加入10mL蒸馏水。</w:t>
                  </w:r>
                </w:p>
                <w:p w14:paraId="62F93BBD">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将3.5g硝酸钾加入试管中的蒸馏水中，然后在大水浴中加热，边加热边搅拌直至完全溶解。</w:t>
                  </w:r>
                </w:p>
                <w:p w14:paraId="7067C611">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重复上述操作，分别加入1.5g、2.0g、2.5g硝酸钾，每次加入后都边加热边搅拌直至完全溶解</w:t>
                  </w:r>
                </w:p>
              </w:tc>
              <w:tc>
                <w:tcPr>
                  <w:tcW w:w="512" w:type="pct"/>
                  <w:gridSpan w:val="2"/>
                  <w:tcBorders>
                    <w:tl2br w:val="nil"/>
                    <w:tr2bl w:val="nil"/>
                  </w:tcBorders>
                  <w:vAlign w:val="center"/>
                </w:tcPr>
                <w:p w14:paraId="70F8D86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天平、试管、水浴锅</w:t>
                  </w:r>
                </w:p>
              </w:tc>
              <w:tc>
                <w:tcPr>
                  <w:tcW w:w="523" w:type="pct"/>
                  <w:gridSpan w:val="2"/>
                  <w:tcBorders>
                    <w:tl2br w:val="nil"/>
                    <w:tr2bl w:val="nil"/>
                  </w:tcBorders>
                  <w:vAlign w:val="center"/>
                </w:tcPr>
                <w:p w14:paraId="578532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硝酸钾</w:t>
                  </w:r>
                </w:p>
              </w:tc>
              <w:tc>
                <w:tcPr>
                  <w:tcW w:w="439" w:type="pct"/>
                  <w:gridSpan w:val="2"/>
                  <w:tcBorders>
                    <w:tl2br w:val="nil"/>
                    <w:tr2bl w:val="nil"/>
                  </w:tcBorders>
                  <w:vAlign w:val="center"/>
                </w:tcPr>
                <w:p w14:paraId="1EAD7D0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247CDF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00ECA8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571" w:type="pct"/>
                  <w:tcBorders>
                    <w:tl2br w:val="nil"/>
                    <w:tr2bl w:val="nil"/>
                  </w:tcBorders>
                  <w:vAlign w:val="center"/>
                </w:tcPr>
                <w:p w14:paraId="744D9AF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探究饱和溶液和不饱和溶液的相互转化</w:t>
                  </w:r>
                </w:p>
              </w:tc>
              <w:tc>
                <w:tcPr>
                  <w:tcW w:w="2569" w:type="pct"/>
                  <w:gridSpan w:val="2"/>
                  <w:tcBorders>
                    <w:tl2br w:val="nil"/>
                    <w:tr2bl w:val="nil"/>
                  </w:tcBorders>
                  <w:vAlign w:val="center"/>
                </w:tcPr>
                <w:p w14:paraId="49DB701D">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备阶段：在盛有10mL水的小烧杯中加入5g硝酸钾，充分搅拌。观察现象，此时部分硝酸钾溶解，形成饱和溶液。转化为不饱和溶液：将上述得到的液体静置后，取少量上层清液于试管中，加入少量硝酸钾固体，充分振荡。然后加热试管，观察硝酸钾全部溶解。待试管冷却后，观察是否有固体析出。这说明通过加热可以使饱和溶液转化为不饱和溶液。</w:t>
                  </w:r>
                </w:p>
                <w:p w14:paraId="4FC92960">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再转化为饱和溶液：在步骤1的小烧杯中再加入 10mL水并充分搅拌。观察现象，此时硝酸钾全部溶解，说明通过增加溶剂的量可以使不饱和溶液转化为饱和溶液</w:t>
                  </w:r>
                </w:p>
              </w:tc>
              <w:tc>
                <w:tcPr>
                  <w:tcW w:w="512" w:type="pct"/>
                  <w:gridSpan w:val="2"/>
                  <w:tcBorders>
                    <w:tl2br w:val="nil"/>
                    <w:tr2bl w:val="nil"/>
                  </w:tcBorders>
                  <w:vAlign w:val="center"/>
                </w:tcPr>
                <w:p w14:paraId="2DB07C8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烧杯、玻璃棒、试管、酒精灯、石棉网、铁架台</w:t>
                  </w:r>
                </w:p>
              </w:tc>
              <w:tc>
                <w:tcPr>
                  <w:tcW w:w="523" w:type="pct"/>
                  <w:gridSpan w:val="2"/>
                  <w:tcBorders>
                    <w:tl2br w:val="nil"/>
                    <w:tr2bl w:val="nil"/>
                  </w:tcBorders>
                  <w:vAlign w:val="center"/>
                </w:tcPr>
                <w:p w14:paraId="40454E8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硝酸钾</w:t>
                  </w:r>
                </w:p>
              </w:tc>
              <w:tc>
                <w:tcPr>
                  <w:tcW w:w="439" w:type="pct"/>
                  <w:gridSpan w:val="2"/>
                  <w:tcBorders>
                    <w:tl2br w:val="nil"/>
                    <w:tr2bl w:val="nil"/>
                  </w:tcBorders>
                  <w:vAlign w:val="center"/>
                </w:tcPr>
                <w:p w14:paraId="1C4B45D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学生操作</w:t>
                  </w:r>
                </w:p>
              </w:tc>
            </w:tr>
            <w:tr w14:paraId="65BA7B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178334A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571" w:type="pct"/>
                  <w:tcBorders>
                    <w:tl2br w:val="nil"/>
                    <w:tr2bl w:val="nil"/>
                  </w:tcBorders>
                  <w:vAlign w:val="center"/>
                </w:tcPr>
                <w:p w14:paraId="143399F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配制一定溶质质量分数的氯化钠溶液</w:t>
                  </w:r>
                </w:p>
              </w:tc>
              <w:tc>
                <w:tcPr>
                  <w:tcW w:w="2569" w:type="pct"/>
                  <w:gridSpan w:val="2"/>
                  <w:tcBorders>
                    <w:tl2br w:val="nil"/>
                    <w:tr2bl w:val="nil"/>
                  </w:tcBorders>
                  <w:vAlign w:val="center"/>
                </w:tcPr>
                <w:p w14:paraId="3A06C60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1.称量：使用托盘天平称取所需的氯化钠，放入烧杯中。称量时应遵循</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左物右码</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的原则，确保称量的准确性。</w:t>
                  </w:r>
                </w:p>
                <w:p w14:paraId="412A9981">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2.量取：用量筒量取所需的水，倒入盛有氯化钠的烧杯中。量取液体时，应选择合适的量筒，确保量筒的量程等于或大于所测液体体积，且视线要与量筒内液体的凹液面的最低处保持水平。</w:t>
                  </w:r>
                </w:p>
                <w:p w14:paraId="6A55826F">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3.溶解：用玻璃棒不断搅拌，使氯化钠完全溶解。搅拌的作用是加快溶解速率。装瓶：将配制好的溶液装入试剂瓶中，塞好瓶塞，贴上标签，注明试剂名称和溶质质量分数。</w:t>
                  </w:r>
                </w:p>
              </w:tc>
              <w:tc>
                <w:tcPr>
                  <w:tcW w:w="512" w:type="pct"/>
                  <w:gridSpan w:val="2"/>
                  <w:tcBorders>
                    <w:tl2br w:val="nil"/>
                    <w:tr2bl w:val="nil"/>
                  </w:tcBorders>
                  <w:vAlign w:val="center"/>
                </w:tcPr>
                <w:p w14:paraId="744520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托盘天平、烧杯、量筒、玻璃棒、试剂瓶</w:t>
                  </w:r>
                </w:p>
              </w:tc>
              <w:tc>
                <w:tcPr>
                  <w:tcW w:w="523" w:type="pct"/>
                  <w:gridSpan w:val="2"/>
                  <w:tcBorders>
                    <w:tl2br w:val="nil"/>
                    <w:tr2bl w:val="nil"/>
                  </w:tcBorders>
                  <w:vAlign w:val="center"/>
                </w:tcPr>
                <w:p w14:paraId="20178A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氯化钠</w:t>
                  </w:r>
                </w:p>
              </w:tc>
              <w:tc>
                <w:tcPr>
                  <w:tcW w:w="439" w:type="pct"/>
                  <w:gridSpan w:val="2"/>
                  <w:tcBorders>
                    <w:tl2br w:val="nil"/>
                    <w:tr2bl w:val="nil"/>
                  </w:tcBorders>
                  <w:vAlign w:val="center"/>
                </w:tcPr>
                <w:p w14:paraId="3C3730B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142C74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4FDCD6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571" w:type="pct"/>
                  <w:tcBorders>
                    <w:tl2br w:val="nil"/>
                    <w:tr2bl w:val="nil"/>
                  </w:tcBorders>
                  <w:vAlign w:val="center"/>
                </w:tcPr>
                <w:p w14:paraId="6056DC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蒸发结晶</w:t>
                  </w:r>
                </w:p>
              </w:tc>
              <w:tc>
                <w:tcPr>
                  <w:tcW w:w="2569" w:type="pct"/>
                  <w:gridSpan w:val="2"/>
                  <w:tcBorders>
                    <w:tl2br w:val="nil"/>
                    <w:tr2bl w:val="nil"/>
                  </w:tcBorders>
                  <w:vAlign w:val="center"/>
                </w:tcPr>
                <w:p w14:paraId="405EE196">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安装实验器材：首先，需要安装好实验所需的器材，包括铁架台、蒸发皿、玻璃棒、酒精灯、坩埚钳和石棉网。调节蒸发皿的高度，以便利用酒精灯的外焰加热。</w:t>
                  </w:r>
                </w:p>
                <w:p w14:paraId="5D6F2BDB">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添加待蒸发液体：将待蒸发的溶液倒入蒸发皿中，注意液体量不能超过蒸发皿容积的2/3，以防止加热过程中液体飞溅。</w:t>
                  </w:r>
                </w:p>
                <w:p w14:paraId="4D95723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加热过程：点燃酒精灯，开始加热蒸发皿。在加热过程中，必须用玻璃棒不断搅拌液体，以防受热不均导致液体飞溅。当看到有大量固体析出或仅余少量液体时，停止加热，利用余热将液体蒸干。</w:t>
                  </w:r>
                </w:p>
                <w:p w14:paraId="52F4FE9C">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停止加热与收集：用坩埚钳取下蒸发皿，小心地放在石棉网上。此时，不要将液体完全蒸干，而是待有较多晶体析出时停止加热，利用余热将剩余水分蒸干。</w:t>
                  </w:r>
                </w:p>
              </w:tc>
              <w:tc>
                <w:tcPr>
                  <w:tcW w:w="512" w:type="pct"/>
                  <w:gridSpan w:val="2"/>
                  <w:tcBorders>
                    <w:tl2br w:val="nil"/>
                    <w:tr2bl w:val="nil"/>
                  </w:tcBorders>
                  <w:vAlign w:val="center"/>
                </w:tcPr>
                <w:p w14:paraId="348649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铁架台、蒸发皿、玻璃棒、酒精灯、坩埚钳和石棉网</w:t>
                  </w:r>
                </w:p>
              </w:tc>
              <w:tc>
                <w:tcPr>
                  <w:tcW w:w="523" w:type="pct"/>
                  <w:gridSpan w:val="2"/>
                  <w:tcBorders>
                    <w:tl2br w:val="nil"/>
                    <w:tr2bl w:val="nil"/>
                  </w:tcBorders>
                  <w:vAlign w:val="center"/>
                </w:tcPr>
                <w:p w14:paraId="486EA1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氯化钠溶液</w:t>
                  </w:r>
                </w:p>
              </w:tc>
              <w:tc>
                <w:tcPr>
                  <w:tcW w:w="439" w:type="pct"/>
                  <w:gridSpan w:val="2"/>
                  <w:tcBorders>
                    <w:tl2br w:val="nil"/>
                    <w:tr2bl w:val="nil"/>
                  </w:tcBorders>
                  <w:vAlign w:val="center"/>
                </w:tcPr>
                <w:p w14:paraId="18EC4FE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3B5253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744C91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571" w:type="pct"/>
                  <w:tcBorders>
                    <w:tl2br w:val="nil"/>
                    <w:tr2bl w:val="nil"/>
                  </w:tcBorders>
                  <w:vAlign w:val="center"/>
                </w:tcPr>
                <w:p w14:paraId="30F4FF7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金属活动顺序探究</w:t>
                  </w:r>
                </w:p>
              </w:tc>
              <w:tc>
                <w:tcPr>
                  <w:tcW w:w="2569" w:type="pct"/>
                  <w:gridSpan w:val="2"/>
                  <w:tcBorders>
                    <w:tl2br w:val="nil"/>
                    <w:tr2bl w:val="nil"/>
                  </w:tcBorders>
                  <w:vAlign w:val="center"/>
                </w:tcPr>
                <w:p w14:paraId="36DB3F79">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实验材料：镁片、锌片、铁片、铜片、稀盐酸。</w:t>
                  </w:r>
                </w:p>
                <w:p w14:paraId="780C13DC">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实验步骤：将镁片、锌片、铁片、铜片分别加入稀盐酸中。</w:t>
                  </w:r>
                </w:p>
                <w:p w14:paraId="68C226DD">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观察并记录现象：镁片和锌片表面产生气泡，且剧烈程度依次递减，铁片产生气泡较慢，铜片表面无明显现象。</w:t>
                  </w:r>
                </w:p>
              </w:tc>
              <w:tc>
                <w:tcPr>
                  <w:tcW w:w="512" w:type="pct"/>
                  <w:gridSpan w:val="2"/>
                  <w:tcBorders>
                    <w:tl2br w:val="nil"/>
                    <w:tr2bl w:val="nil"/>
                  </w:tcBorders>
                  <w:vAlign w:val="center"/>
                </w:tcPr>
                <w:p w14:paraId="018FBB3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烧杯</w:t>
                  </w:r>
                </w:p>
              </w:tc>
              <w:tc>
                <w:tcPr>
                  <w:tcW w:w="523" w:type="pct"/>
                  <w:gridSpan w:val="2"/>
                  <w:tcBorders>
                    <w:tl2br w:val="nil"/>
                    <w:tr2bl w:val="nil"/>
                  </w:tcBorders>
                  <w:vAlign w:val="center"/>
                </w:tcPr>
                <w:p w14:paraId="09CABC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镁片、锌片、铁片、</w:t>
                  </w:r>
                </w:p>
                <w:p w14:paraId="40AC15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铜片、稀盐酸</w:t>
                  </w:r>
                </w:p>
              </w:tc>
              <w:tc>
                <w:tcPr>
                  <w:tcW w:w="439" w:type="pct"/>
                  <w:gridSpan w:val="2"/>
                  <w:tcBorders>
                    <w:tl2br w:val="nil"/>
                    <w:tr2bl w:val="nil"/>
                  </w:tcBorders>
                  <w:vAlign w:val="center"/>
                </w:tcPr>
                <w:p w14:paraId="2519C20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2BBE7F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4B25113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571" w:type="pct"/>
                  <w:tcBorders>
                    <w:tl2br w:val="nil"/>
                    <w:tr2bl w:val="nil"/>
                  </w:tcBorders>
                  <w:vAlign w:val="center"/>
                </w:tcPr>
                <w:p w14:paraId="6756D69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探究金属的性质（金属与酸、盐溶液等的反应）</w:t>
                  </w:r>
                </w:p>
              </w:tc>
              <w:tc>
                <w:tcPr>
                  <w:tcW w:w="2569" w:type="pct"/>
                  <w:gridSpan w:val="2"/>
                  <w:tcBorders>
                    <w:tl2br w:val="nil"/>
                    <w:tr2bl w:val="nil"/>
                  </w:tcBorders>
                  <w:vAlign w:val="center"/>
                </w:tcPr>
                <w:p w14:paraId="320411A8">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颜色和光泽：观察并描述镁、铝、铁、</w:t>
                  </w:r>
                </w:p>
                <w:p w14:paraId="40B6AC92">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www.baidu.com/s?sa=re_dqa_generate&amp;wd=%E9%93%9C&amp;rsv_pq=d0d6fef102527a00&amp;oq=%E5%88%9D%E4%B8%AD%E5%8C%96%E5%AD%A6%E6%8E%A2%E7%A9%B6%E9%87%91%E5%B1%9E%E7%9A%84%E6%80%A7%E8%B4%A8%E7%9A%84%E5%AE%9E%E9%AA%8C%E6%AD%A5%E9%AA%A4&amp;rsv_t=4b1392cAFyOOJ06Xdi8T9reS1xsPoNbxq1zOp8jjV43EKY8KoO3h8r4HS2ea42QTWA4gyw&amp;tn=15007414_1_pg&amp;ie=utf-8"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铜</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的颜色和光泽。镁、铝、铁是银白色，铜是紫红色。</w:t>
                  </w:r>
                </w:p>
                <w:p w14:paraId="6C8ABE89">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硬度：采取相互刻画的方法，比较铜片和铝片、铜片和黄铜片（或白铜片）的硬度。铜片比铝片硬，黄铜片比铜片硬。导电性：将铝片、铁片、铜片、黄铜片（或白铜片）分别接入电路中，闭合开关，观察灯泡是否发光。灯泡发光说明这些金属和合金具有导电性。</w:t>
                  </w:r>
                </w:p>
                <w:p w14:paraId="0E9E2094">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导热性：分别用坩埚钳夹持铝片、铁片、铜片、黄铜片（或白铜片）的一端，放在酒精灯上加热一会儿，然后用手触摸另一端。会感觉到热传递，说明金属和合金具有导热性。</w:t>
                  </w:r>
                </w:p>
                <w:p w14:paraId="24983768">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延展性：用锤子反复敲打铝片、铁片、铜片、黄铜片（或白铜片），会发现金属片变薄，说明金属和合金具有延展性。验证金属的化学性质</w:t>
                  </w:r>
                </w:p>
                <w:p w14:paraId="31376A74">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与氧气的反应：用坩埚钳夹取一块铜片，放在酒精灯火焰上加热，观察现象并写出化学方程式。铜片变成黑色。</w:t>
                  </w:r>
                </w:p>
                <w:p w14:paraId="71415BB6">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酸的反应：分别向试管中放入镁条、铝片、锌粒、铁片、铜片，然后分别加入5mL稀盐酸（或稀硫酸），观察现象并写出化学方程式。镁条、铝片、锌粒、铁片与酸反应产生气泡，而铜片不反应。金属活动性顺序：分别取少量的硫酸亚铁溶液和硝酸银溶液装入试管中，然后插入铜片、铁片、银片，观察现象并写出化学方程式。铁片表面有红色物质生成，溶液变为浅绿色；铜片表面有银白色物质生成，溶液变为蓝色。这说明金属活动性由强到弱的顺序为铁&gt;铜&gt;银。</w:t>
                  </w:r>
                </w:p>
              </w:tc>
              <w:tc>
                <w:tcPr>
                  <w:tcW w:w="512" w:type="pct"/>
                  <w:gridSpan w:val="2"/>
                  <w:tcBorders>
                    <w:tl2br w:val="nil"/>
                    <w:tr2bl w:val="nil"/>
                  </w:tcBorders>
                  <w:vAlign w:val="center"/>
                </w:tcPr>
                <w:p w14:paraId="0A7F900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试管、试管夹，酒精灯、坩埚钳、电池、导线、小灯泡、火柴、</w:t>
                  </w:r>
                </w:p>
              </w:tc>
              <w:tc>
                <w:tcPr>
                  <w:tcW w:w="523" w:type="pct"/>
                  <w:gridSpan w:val="2"/>
                  <w:tcBorders>
                    <w:tl2br w:val="nil"/>
                    <w:tr2bl w:val="nil"/>
                  </w:tcBorders>
                  <w:vAlign w:val="center"/>
                </w:tcPr>
                <w:p w14:paraId="354CE19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镁条、锌粒、铝片、</w:t>
                  </w:r>
                </w:p>
                <w:p w14:paraId="294A5C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铁片、铁丝、铝丝、</w:t>
                  </w:r>
                </w:p>
                <w:p w14:paraId="69612F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铁粉、铜片、黄铜片、稀盐酸、硫酸铜溶液、硝酸银溶液</w:t>
                  </w:r>
                </w:p>
              </w:tc>
              <w:tc>
                <w:tcPr>
                  <w:tcW w:w="439" w:type="pct"/>
                  <w:gridSpan w:val="2"/>
                  <w:tcBorders>
                    <w:tl2br w:val="nil"/>
                    <w:tr2bl w:val="nil"/>
                  </w:tcBorders>
                  <w:vAlign w:val="center"/>
                </w:tcPr>
                <w:p w14:paraId="19EEFB3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教师</w:t>
                  </w:r>
                  <w:r>
                    <w:rPr>
                      <w:rFonts w:hint="default" w:ascii="Times New Roman" w:hAnsi="Times New Roman" w:eastAsia="宋体" w:cs="Times New Roman"/>
                      <w:color w:val="auto"/>
                      <w:sz w:val="21"/>
                      <w:szCs w:val="21"/>
                      <w:lang w:val="en-US" w:eastAsia="zh-CN"/>
                    </w:rPr>
                    <w:t>演示</w:t>
                  </w:r>
                </w:p>
              </w:tc>
            </w:tr>
            <w:tr w14:paraId="7087FF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24BA61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571" w:type="pct"/>
                  <w:tcBorders>
                    <w:tl2br w:val="nil"/>
                    <w:tr2bl w:val="nil"/>
                  </w:tcBorders>
                  <w:vAlign w:val="center"/>
                </w:tcPr>
                <w:p w14:paraId="0542268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向不同溶液中加入酸碱指示剂</w:t>
                  </w:r>
                </w:p>
              </w:tc>
              <w:tc>
                <w:tcPr>
                  <w:tcW w:w="2569" w:type="pct"/>
                  <w:gridSpan w:val="2"/>
                  <w:tcBorders>
                    <w:tl2br w:val="nil"/>
                    <w:tr2bl w:val="nil"/>
                  </w:tcBorders>
                  <w:vAlign w:val="center"/>
                </w:tcPr>
                <w:p w14:paraId="40C7B1D3">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准备实验器材和试剂：需要试管、试管夹、紫色石蕊溶液和无色酚酞溶液等。选择待测溶液：准备多种不同的溶液，如白醋、苹果汁、石灰水、氢氧化钠溶液等。</w:t>
                  </w:r>
                </w:p>
                <w:p w14:paraId="27DD225A">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加入酸碱指示剂：向第一组试管中加入紫色石蕊溶液。</w:t>
                  </w:r>
                </w:p>
                <w:p w14:paraId="5CB8A83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向第二组试管中加入无色酚酞溶液。</w:t>
                  </w:r>
                </w:p>
                <w:p w14:paraId="2D9E9D23">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观察现象：记录每种溶液加入指示剂后的颜色变化。酸性溶液（如白醋）会使紫色石蕊溶液变红。</w:t>
                  </w:r>
                </w:p>
                <w:p w14:paraId="4B48409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碱性溶液（如石灰水、氢氧化钠溶液）会使紫色石蕊溶液变蓝，使无色酚酞溶液变红。</w:t>
                  </w:r>
                </w:p>
                <w:p w14:paraId="097EA79A">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中性溶液（如蒸馏水）对这两种指示剂</w:t>
                  </w:r>
                </w:p>
              </w:tc>
              <w:tc>
                <w:tcPr>
                  <w:tcW w:w="512" w:type="pct"/>
                  <w:gridSpan w:val="2"/>
                  <w:tcBorders>
                    <w:tl2br w:val="nil"/>
                    <w:tr2bl w:val="nil"/>
                  </w:tcBorders>
                  <w:vAlign w:val="center"/>
                </w:tcPr>
                <w:p w14:paraId="6A414F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试管、试管夹</w:t>
                  </w:r>
                </w:p>
              </w:tc>
              <w:tc>
                <w:tcPr>
                  <w:tcW w:w="523" w:type="pct"/>
                  <w:gridSpan w:val="2"/>
                  <w:tcBorders>
                    <w:tl2br w:val="nil"/>
                    <w:tr2bl w:val="nil"/>
                  </w:tcBorders>
                  <w:vAlign w:val="center"/>
                </w:tcPr>
                <w:p w14:paraId="4D277E5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石蕊溶液、无色酚酞溶、氢氧化钠溶液</w:t>
                  </w:r>
                </w:p>
              </w:tc>
              <w:tc>
                <w:tcPr>
                  <w:tcW w:w="439" w:type="pct"/>
                  <w:gridSpan w:val="2"/>
                  <w:tcBorders>
                    <w:tl2br w:val="nil"/>
                    <w:tr2bl w:val="nil"/>
                  </w:tcBorders>
                  <w:vAlign w:val="center"/>
                </w:tcPr>
                <w:p w14:paraId="1E024F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0CBA16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4BAFDD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571" w:type="pct"/>
                  <w:tcBorders>
                    <w:tl2br w:val="nil"/>
                    <w:tr2bl w:val="nil"/>
                  </w:tcBorders>
                  <w:vAlign w:val="center"/>
                </w:tcPr>
                <w:p w14:paraId="0BD2521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认识盐酸、硫酸及其性质探究</w:t>
                  </w:r>
                </w:p>
              </w:tc>
              <w:tc>
                <w:tcPr>
                  <w:tcW w:w="2569" w:type="pct"/>
                  <w:gridSpan w:val="2"/>
                  <w:tcBorders>
                    <w:tl2br w:val="nil"/>
                    <w:tr2bl w:val="nil"/>
                  </w:tcBorders>
                  <w:vAlign w:val="center"/>
                </w:tcPr>
                <w:p w14:paraId="22DCDA59">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分别打开盛有浓盐酸和浓硫酸的试剂瓶瓶盖，观察两者的颜色和状态。浓盐酸和浓硫酸都是无色液体，但浓盐酸具有挥发性，打玻璃棒开瓶盖后会闻到刺激性气味，而浓硫酸则没有明显气味。</w:t>
                  </w:r>
                </w:p>
                <w:p w14:paraId="721AE738">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用玻璃棒蘸取少量浓硫酸，在纸上写字，观察现象。浓硫酸具有吸水性，会夺取纸张中的水分，使纸张变黑。</w:t>
                  </w:r>
                </w:p>
              </w:tc>
              <w:tc>
                <w:tcPr>
                  <w:tcW w:w="512" w:type="pct"/>
                  <w:gridSpan w:val="2"/>
                  <w:tcBorders>
                    <w:tl2br w:val="nil"/>
                    <w:tr2bl w:val="nil"/>
                  </w:tcBorders>
                  <w:vAlign w:val="center"/>
                </w:tcPr>
                <w:p w14:paraId="6D33D4E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玻璃棒、 白纸</w:t>
                  </w:r>
                </w:p>
              </w:tc>
              <w:tc>
                <w:tcPr>
                  <w:tcW w:w="523" w:type="pct"/>
                  <w:gridSpan w:val="2"/>
                  <w:tcBorders>
                    <w:tl2br w:val="nil"/>
                    <w:tr2bl w:val="nil"/>
                  </w:tcBorders>
                  <w:vAlign w:val="center"/>
                </w:tcPr>
                <w:p w14:paraId="4A55F5E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浓盐酸、浓硫酸</w:t>
                  </w:r>
                </w:p>
              </w:tc>
              <w:tc>
                <w:tcPr>
                  <w:tcW w:w="439" w:type="pct"/>
                  <w:gridSpan w:val="2"/>
                  <w:tcBorders>
                    <w:tl2br w:val="nil"/>
                    <w:tr2bl w:val="nil"/>
                  </w:tcBorders>
                  <w:vAlign w:val="center"/>
                </w:tcPr>
                <w:p w14:paraId="796336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632762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6F011CC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71" w:type="pct"/>
                  <w:tcBorders>
                    <w:tl2br w:val="nil"/>
                    <w:tr2bl w:val="nil"/>
                  </w:tcBorders>
                  <w:vAlign w:val="center"/>
                </w:tcPr>
                <w:p w14:paraId="7B4BEB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浓硫酸的腐蚀性</w:t>
                  </w:r>
                </w:p>
              </w:tc>
              <w:tc>
                <w:tcPr>
                  <w:tcW w:w="2569" w:type="pct"/>
                  <w:gridSpan w:val="2"/>
                  <w:tcBorders>
                    <w:tl2br w:val="nil"/>
                    <w:tr2bl w:val="nil"/>
                  </w:tcBorders>
                  <w:vAlign w:val="center"/>
                </w:tcPr>
                <w:p w14:paraId="5F1D12AD">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用玻璃棒蘸浓硫酸在纸上写字，纸上出现黑色字迹；</w:t>
                  </w:r>
                </w:p>
                <w:p w14:paraId="17EFDF3A">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用小木条蘸少量浓硫酸，小木条逐渐变黑；</w:t>
                  </w:r>
                </w:p>
                <w:p w14:paraId="36CBECF1">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将浓硫酸滴到布上，布逐渐变黑并出现小洞。</w:t>
                  </w:r>
                </w:p>
              </w:tc>
              <w:tc>
                <w:tcPr>
                  <w:tcW w:w="512" w:type="pct"/>
                  <w:gridSpan w:val="2"/>
                  <w:tcBorders>
                    <w:tl2br w:val="nil"/>
                    <w:tr2bl w:val="nil"/>
                  </w:tcBorders>
                  <w:vAlign w:val="center"/>
                </w:tcPr>
                <w:p w14:paraId="7A77CA4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纸、木条、布条</w:t>
                  </w:r>
                </w:p>
              </w:tc>
              <w:tc>
                <w:tcPr>
                  <w:tcW w:w="523" w:type="pct"/>
                  <w:gridSpan w:val="2"/>
                  <w:tcBorders>
                    <w:tl2br w:val="nil"/>
                    <w:tr2bl w:val="nil"/>
                  </w:tcBorders>
                  <w:vAlign w:val="center"/>
                </w:tcPr>
                <w:p w14:paraId="26DABAB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浓硫酸</w:t>
                  </w:r>
                </w:p>
              </w:tc>
              <w:tc>
                <w:tcPr>
                  <w:tcW w:w="439" w:type="pct"/>
                  <w:gridSpan w:val="2"/>
                  <w:tcBorders>
                    <w:tl2br w:val="nil"/>
                    <w:tr2bl w:val="nil"/>
                  </w:tcBorders>
                  <w:vAlign w:val="center"/>
                </w:tcPr>
                <w:p w14:paraId="5E82681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7FC832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58CC0F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71" w:type="pct"/>
                  <w:tcBorders>
                    <w:tl2br w:val="nil"/>
                    <w:tr2bl w:val="nil"/>
                  </w:tcBorders>
                  <w:vAlign w:val="center"/>
                </w:tcPr>
                <w:p w14:paraId="6EC2810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认识氢氧化钠、氢氧化钙及其性质探究</w:t>
                  </w:r>
                </w:p>
              </w:tc>
              <w:tc>
                <w:tcPr>
                  <w:tcW w:w="2569" w:type="pct"/>
                  <w:gridSpan w:val="2"/>
                  <w:tcBorders>
                    <w:tl2br w:val="nil"/>
                    <w:tr2bl w:val="nil"/>
                  </w:tcBorders>
                  <w:vAlign w:val="center"/>
                </w:tcPr>
                <w:p w14:paraId="0BDB29AC">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1.准备实验材料：准备氢氧化钠固体、氢氧化钙固体、酚酞指示剂、稀盐酸等。</w:t>
                  </w:r>
                </w:p>
                <w:p w14:paraId="1FF81ED0">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2.进行实验操作：向两支试管中各加入相同量的氢氧化钙粉末，然后各加入1mL的水，振荡。再滴入1滴~2滴酚酞溶液，观察现象。继续向其中一支试管中加入约1mL水，振荡；向另一支试管中加入约1mL稀盐酸，振荡。</w:t>
                  </w:r>
                </w:p>
                <w:p w14:paraId="35BD1F31">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3.比较两支试管中的现象，记录溶液的颜色变化和浑浊情况。</w:t>
                  </w:r>
                </w:p>
              </w:tc>
              <w:tc>
                <w:tcPr>
                  <w:tcW w:w="512" w:type="pct"/>
                  <w:gridSpan w:val="2"/>
                  <w:tcBorders>
                    <w:tl2br w:val="nil"/>
                    <w:tr2bl w:val="nil"/>
                  </w:tcBorders>
                  <w:vAlign w:val="center"/>
                </w:tcPr>
                <w:p w14:paraId="44706D6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试管</w:t>
                  </w:r>
                </w:p>
              </w:tc>
              <w:tc>
                <w:tcPr>
                  <w:tcW w:w="523" w:type="pct"/>
                  <w:gridSpan w:val="2"/>
                  <w:tcBorders>
                    <w:tl2br w:val="nil"/>
                    <w:tr2bl w:val="nil"/>
                  </w:tcBorders>
                  <w:vAlign w:val="center"/>
                </w:tcPr>
                <w:p w14:paraId="7D5B20C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氢氧化钠固体、氢氧化钙固体酚酞指示剂、稀盐酸</w:t>
                  </w:r>
                </w:p>
              </w:tc>
              <w:tc>
                <w:tcPr>
                  <w:tcW w:w="439" w:type="pct"/>
                  <w:gridSpan w:val="2"/>
                  <w:tcBorders>
                    <w:tl2br w:val="nil"/>
                    <w:tr2bl w:val="nil"/>
                  </w:tcBorders>
                  <w:vAlign w:val="center"/>
                </w:tcPr>
                <w:p w14:paraId="5DDCBFB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445317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342E99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571" w:type="pct"/>
                  <w:tcBorders>
                    <w:tl2br w:val="nil"/>
                    <w:tr2bl w:val="nil"/>
                  </w:tcBorders>
                  <w:vAlign w:val="center"/>
                </w:tcPr>
                <w:p w14:paraId="352790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物质的导电性实验</w:t>
                  </w:r>
                </w:p>
              </w:tc>
              <w:tc>
                <w:tcPr>
                  <w:tcW w:w="2569" w:type="pct"/>
                  <w:gridSpan w:val="2"/>
                  <w:tcBorders>
                    <w:tl2br w:val="nil"/>
                    <w:tr2bl w:val="nil"/>
                  </w:tcBorders>
                  <w:vAlign w:val="center"/>
                </w:tcPr>
                <w:p w14:paraId="1086544A">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1.组装仪器：将电源正负极用导线与电解质溶液演示仪的正负极相连。如果使用学生电源，调整电压小于8V；如果使用干电池，可用4节1.5V的电池串联。</w:t>
                  </w:r>
                </w:p>
                <w:p w14:paraId="1D1657A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2.进行实验：</w:t>
                  </w:r>
                </w:p>
                <w:p w14:paraId="408C4CE6">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验NaCl固体、NaOH固体、NaCl溶液、NaOH溶液、稀盐酸的导电性：NaCl固体、NaOH固体所串联的显示灯不亮，而NaCl溶液、NaOH溶液、稀盐酸所串联的显示灯亮。这说明NaCl固体、NaOH固体不导电，而NaCl溶液、NaOH溶液、稀盐酸能导电。</w:t>
                  </w:r>
                </w:p>
                <w:p w14:paraId="3AD9027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3.试验溶液的导电性：在烧杯中盛半杯氢氧化钡溶液，然后用胶头滴管滴2～3滴酚酞试液，溶液呈红色。接通电源灯泡发亮，原因是溶液中有能自由移动的离子。随着稀H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的滴入，溶液中的红色逐渐变浅至无色，灯光也逐渐变暗，最后完全熄灭。这是因为稀H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与氢氧化钡反应生成了不导电的物质。</w:t>
                  </w:r>
                </w:p>
              </w:tc>
              <w:tc>
                <w:tcPr>
                  <w:tcW w:w="512" w:type="pct"/>
                  <w:gridSpan w:val="2"/>
                  <w:tcBorders>
                    <w:tl2br w:val="nil"/>
                    <w:tr2bl w:val="nil"/>
                  </w:tcBorders>
                  <w:vAlign w:val="center"/>
                </w:tcPr>
                <w:p w14:paraId="10AD026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干电池、小灯泡</w:t>
                  </w:r>
                </w:p>
              </w:tc>
              <w:tc>
                <w:tcPr>
                  <w:tcW w:w="523" w:type="pct"/>
                  <w:gridSpan w:val="2"/>
                  <w:tcBorders>
                    <w:tl2br w:val="nil"/>
                    <w:tr2bl w:val="nil"/>
                  </w:tcBorders>
                  <w:vAlign w:val="center"/>
                </w:tcPr>
                <w:p w14:paraId="4FEF91F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NaCl固体、NaOH固体、NaCl溶液、NaOH溶液、稀盐酸、氢氧化钡溶液、酚酞试液、稀H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4</w:t>
                  </w:r>
                </w:p>
              </w:tc>
              <w:tc>
                <w:tcPr>
                  <w:tcW w:w="439" w:type="pct"/>
                  <w:gridSpan w:val="2"/>
                  <w:tcBorders>
                    <w:tl2br w:val="nil"/>
                    <w:tr2bl w:val="nil"/>
                  </w:tcBorders>
                  <w:vAlign w:val="center"/>
                </w:tcPr>
                <w:p w14:paraId="5DB9E7D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406B47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552745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571" w:type="pct"/>
                  <w:tcBorders>
                    <w:tl2br w:val="nil"/>
                    <w:tr2bl w:val="nil"/>
                  </w:tcBorders>
                  <w:vAlign w:val="center"/>
                </w:tcPr>
                <w:p w14:paraId="4CB563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浓硫酸的稀释</w:t>
                  </w:r>
                </w:p>
              </w:tc>
              <w:tc>
                <w:tcPr>
                  <w:tcW w:w="2569" w:type="pct"/>
                  <w:gridSpan w:val="2"/>
                  <w:tcBorders>
                    <w:tl2br w:val="nil"/>
                    <w:tr2bl w:val="nil"/>
                  </w:tcBorders>
                  <w:vAlign w:val="center"/>
                </w:tcPr>
                <w:p w14:paraId="0A4281CD">
                  <w:pPr>
                    <w:numPr>
                      <w:ilvl w:val="0"/>
                      <w:numId w:val="14"/>
                    </w:num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准备工作：准备好装有水的烧杯以及需要稀释的浓硫酸。确保所有器具干净、干燥。</w:t>
                  </w:r>
                </w:p>
                <w:p w14:paraId="7E23ABFE">
                  <w:pPr>
                    <w:numPr>
                      <w:ilvl w:val="0"/>
                      <w:numId w:val="0"/>
                    </w:num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2.稀释过程：打开浓硫酸的瓶盖，缓慢把浓硫酸倒入装有水的烧杯中。</w:t>
                  </w:r>
                </w:p>
                <w:p w14:paraId="12DB9859">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3.在倒入浓硫酸的同时，用玻璃棒不断搅拌，使稀释时放出的热量进行扩散。</w:t>
                  </w:r>
                </w:p>
              </w:tc>
              <w:tc>
                <w:tcPr>
                  <w:tcW w:w="512" w:type="pct"/>
                  <w:gridSpan w:val="2"/>
                  <w:tcBorders>
                    <w:tl2br w:val="nil"/>
                    <w:tr2bl w:val="nil"/>
                  </w:tcBorders>
                  <w:vAlign w:val="center"/>
                </w:tcPr>
                <w:p w14:paraId="2A473C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烧杯、玻璃棒</w:t>
                  </w:r>
                </w:p>
              </w:tc>
              <w:tc>
                <w:tcPr>
                  <w:tcW w:w="523" w:type="pct"/>
                  <w:gridSpan w:val="2"/>
                  <w:tcBorders>
                    <w:tl2br w:val="nil"/>
                    <w:tr2bl w:val="nil"/>
                  </w:tcBorders>
                  <w:vAlign w:val="center"/>
                </w:tcPr>
                <w:p w14:paraId="57AFF59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浓硫酸</w:t>
                  </w:r>
                </w:p>
              </w:tc>
              <w:tc>
                <w:tcPr>
                  <w:tcW w:w="439" w:type="pct"/>
                  <w:gridSpan w:val="2"/>
                  <w:tcBorders>
                    <w:tl2br w:val="nil"/>
                    <w:tr2bl w:val="nil"/>
                  </w:tcBorders>
                  <w:vAlign w:val="center"/>
                </w:tcPr>
                <w:p w14:paraId="31F97C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041D5C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62A62C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571" w:type="pct"/>
                  <w:tcBorders>
                    <w:tl2br w:val="nil"/>
                    <w:tr2bl w:val="nil"/>
                  </w:tcBorders>
                  <w:vAlign w:val="center"/>
                </w:tcPr>
                <w:p w14:paraId="3ADE5E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碳酸钠、碳酸氢钠与盐酸的反应</w:t>
                  </w:r>
                </w:p>
              </w:tc>
              <w:tc>
                <w:tcPr>
                  <w:tcW w:w="2569" w:type="pct"/>
                  <w:gridSpan w:val="2"/>
                  <w:tcBorders>
                    <w:tl2br w:val="nil"/>
                    <w:tr2bl w:val="nil"/>
                  </w:tcBorders>
                  <w:vAlign w:val="center"/>
                </w:tcPr>
                <w:p w14:paraId="0F493A9B">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1.碳酸钠与盐酸的反应：</w:t>
                  </w:r>
                </w:p>
                <w:p w14:paraId="18152AD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向盛有0.5g碳酸钠的试管里加入2mL盐酸。</w:t>
                  </w:r>
                </w:p>
                <w:p w14:paraId="135D67B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迅速用带导管的橡胶塞塞紧试管口，并将导管另一端通入盛有澄清石灰水的试管中。</w:t>
                  </w:r>
                </w:p>
                <w:p w14:paraId="5A4E47C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观察现象，碳酸钠与盐酸反应生成二氧化碳，使澄清石灰水变浑浊。</w:t>
                  </w:r>
                </w:p>
                <w:p w14:paraId="5F31DDC8">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2.碳酸氢钠与盐酸的反应：</w:t>
                  </w:r>
                </w:p>
                <w:p w14:paraId="2467F0A9">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使用相同的装置，但将碳酸钠替换为碳酸氢钠。</w:t>
                  </w:r>
                </w:p>
                <w:p w14:paraId="1881982D">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加入2mL盐酸后，立即观察剧烈的气体生成和澄清石灰水的变化。</w:t>
                  </w:r>
                </w:p>
                <w:p w14:paraId="3A67DDC9">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碳酸氢钠与盐酸反应更剧烈，直接生成二氧化碳气体</w:t>
                  </w:r>
                </w:p>
              </w:tc>
              <w:tc>
                <w:tcPr>
                  <w:tcW w:w="512" w:type="pct"/>
                  <w:gridSpan w:val="2"/>
                  <w:tcBorders>
                    <w:tl2br w:val="nil"/>
                    <w:tr2bl w:val="nil"/>
                  </w:tcBorders>
                  <w:vAlign w:val="center"/>
                </w:tcPr>
                <w:p w14:paraId="2049BE6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试管、导管</w:t>
                  </w:r>
                </w:p>
              </w:tc>
              <w:tc>
                <w:tcPr>
                  <w:tcW w:w="523" w:type="pct"/>
                  <w:gridSpan w:val="2"/>
                  <w:tcBorders>
                    <w:tl2br w:val="nil"/>
                    <w:tr2bl w:val="nil"/>
                  </w:tcBorders>
                  <w:vAlign w:val="center"/>
                </w:tcPr>
                <w:p w14:paraId="6E2BACF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碳酸钠、稀盐酸、碳酸氢钠、石灰</w:t>
                  </w:r>
                </w:p>
                <w:p w14:paraId="283CEC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tc>
              <w:tc>
                <w:tcPr>
                  <w:tcW w:w="439" w:type="pct"/>
                  <w:gridSpan w:val="2"/>
                  <w:tcBorders>
                    <w:tl2br w:val="nil"/>
                    <w:tr2bl w:val="nil"/>
                  </w:tcBorders>
                  <w:vAlign w:val="center"/>
                </w:tcPr>
                <w:p w14:paraId="28878F0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2CE904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7A7DDD2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571" w:type="pct"/>
                  <w:tcBorders>
                    <w:tl2br w:val="nil"/>
                    <w:tr2bl w:val="nil"/>
                  </w:tcBorders>
                  <w:vAlign w:val="center"/>
                </w:tcPr>
                <w:p w14:paraId="5BB5B7B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碳酸钠溶液中滴入澄清石灰水</w:t>
                  </w:r>
                </w:p>
              </w:tc>
              <w:tc>
                <w:tcPr>
                  <w:tcW w:w="2569" w:type="pct"/>
                  <w:gridSpan w:val="2"/>
                  <w:tcBorders>
                    <w:tl2br w:val="nil"/>
                    <w:tr2bl w:val="nil"/>
                  </w:tcBorders>
                  <w:vAlign w:val="center"/>
                </w:tcPr>
                <w:p w14:paraId="3A3352BB">
                  <w:pPr>
                    <w:jc w:val="both"/>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1.实验材料准备：碳酸钠溶液澄清的石灰水烧杯或试管搅拌棒或滴管</w:t>
                  </w:r>
                  <w:r>
                    <w:rPr>
                      <w:rFonts w:hint="eastAsia" w:ascii="Times New Roman" w:hAnsi="Times New Roman" w:eastAsia="宋体" w:cs="Times New Roman"/>
                      <w:color w:val="auto"/>
                      <w:sz w:val="21"/>
                      <w:szCs w:val="21"/>
                      <w:lang w:eastAsia="zh-CN"/>
                    </w:rPr>
                    <w:t>。</w:t>
                  </w:r>
                </w:p>
                <w:p w14:paraId="5512EC8F">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2.实验步骤：</w:t>
                  </w:r>
                </w:p>
                <w:p w14:paraId="554EC210">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将澄清的石灰水缓慢滴入盛有碳酸钠溶液的烧杯或试管中，同时用搅拌棒搅拌或使用滴管滴加，以确保充分反应。</w:t>
                  </w:r>
                </w:p>
              </w:tc>
              <w:tc>
                <w:tcPr>
                  <w:tcW w:w="512" w:type="pct"/>
                  <w:gridSpan w:val="2"/>
                  <w:tcBorders>
                    <w:tl2br w:val="nil"/>
                    <w:tr2bl w:val="nil"/>
                  </w:tcBorders>
                  <w:vAlign w:val="center"/>
                </w:tcPr>
                <w:p w14:paraId="00D2AD2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烧杯、试管、搅拌</w:t>
                  </w:r>
                </w:p>
                <w:p w14:paraId="6446466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棒、滴</w:t>
                  </w:r>
                </w:p>
                <w:p w14:paraId="2065D7E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w:t>
                  </w:r>
                </w:p>
              </w:tc>
              <w:tc>
                <w:tcPr>
                  <w:tcW w:w="523" w:type="pct"/>
                  <w:gridSpan w:val="2"/>
                  <w:tcBorders>
                    <w:tl2br w:val="nil"/>
                    <w:tr2bl w:val="nil"/>
                  </w:tcBorders>
                  <w:vAlign w:val="center"/>
                </w:tcPr>
                <w:p w14:paraId="63BB60B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石灰水、碳酸钠溶液</w:t>
                  </w:r>
                </w:p>
              </w:tc>
              <w:tc>
                <w:tcPr>
                  <w:tcW w:w="439" w:type="pct"/>
                  <w:gridSpan w:val="2"/>
                  <w:tcBorders>
                    <w:tl2br w:val="nil"/>
                    <w:tr2bl w:val="nil"/>
                  </w:tcBorders>
                  <w:vAlign w:val="center"/>
                </w:tcPr>
                <w:p w14:paraId="5CFFA4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411262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52E5CA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571" w:type="pct"/>
                  <w:tcBorders>
                    <w:tl2br w:val="nil"/>
                    <w:tr2bl w:val="nil"/>
                  </w:tcBorders>
                  <w:vAlign w:val="center"/>
                </w:tcPr>
                <w:p w14:paraId="1B15B6A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硫酸铜与氢氧化钠、氯化钡溶液的反应</w:t>
                  </w:r>
                </w:p>
              </w:tc>
              <w:tc>
                <w:tcPr>
                  <w:tcW w:w="2569" w:type="pct"/>
                  <w:gridSpan w:val="2"/>
                  <w:tcBorders>
                    <w:tl2br w:val="nil"/>
                    <w:tr2bl w:val="nil"/>
                  </w:tcBorders>
                  <w:vAlign w:val="center"/>
                </w:tcPr>
                <w:p w14:paraId="2BEC79DC">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硫酸铜与氢氧化钠的反应实验步骤如下：</w:t>
                  </w:r>
                </w:p>
                <w:p w14:paraId="461A127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在试管中加入约2mL的硫酸铜溶液。逐滴加入氢氧化钠溶液，并观察现象。记录实验现象：溶液由蓝色变为无色，并有蓝色沉淀生成。</w:t>
                  </w:r>
                </w:p>
                <w:p w14:paraId="7682797A">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硫酸铜与氯化钡的反应实验步骤如下：在试管中加入约2mL的硫酸铜溶液。</w:t>
                  </w:r>
                </w:p>
                <w:p w14:paraId="6B214B28">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逐滴加入氯化钡溶液，并观察现象。</w:t>
                  </w:r>
                </w:p>
                <w:p w14:paraId="528BD9FA">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记录实验现象：有白色沉淀生成，溶液颜色保持蓝色。</w:t>
                  </w:r>
                </w:p>
              </w:tc>
              <w:tc>
                <w:tcPr>
                  <w:tcW w:w="512" w:type="pct"/>
                  <w:gridSpan w:val="2"/>
                  <w:tcBorders>
                    <w:tl2br w:val="nil"/>
                    <w:tr2bl w:val="nil"/>
                  </w:tcBorders>
                  <w:vAlign w:val="center"/>
                </w:tcPr>
                <w:p w14:paraId="7B843FB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量筒、试管、酒精灯</w:t>
                  </w:r>
                </w:p>
              </w:tc>
              <w:tc>
                <w:tcPr>
                  <w:tcW w:w="523" w:type="pct"/>
                  <w:gridSpan w:val="2"/>
                  <w:tcBorders>
                    <w:tl2br w:val="nil"/>
                    <w:tr2bl w:val="nil"/>
                  </w:tcBorders>
                  <w:vAlign w:val="center"/>
                </w:tcPr>
                <w:p w14:paraId="35A127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氢氧化钠溶液、硫酸铜溶液、氯化钡溶液</w:t>
                  </w:r>
                </w:p>
              </w:tc>
              <w:tc>
                <w:tcPr>
                  <w:tcW w:w="439" w:type="pct"/>
                  <w:gridSpan w:val="2"/>
                  <w:tcBorders>
                    <w:tl2br w:val="nil"/>
                    <w:tr2bl w:val="nil"/>
                  </w:tcBorders>
                  <w:vAlign w:val="center"/>
                </w:tcPr>
                <w:p w14:paraId="202EA0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002457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3" w:type="pct"/>
                  <w:gridSpan w:val="2"/>
                  <w:tcBorders>
                    <w:tl2br w:val="nil"/>
                    <w:tr2bl w:val="nil"/>
                  </w:tcBorders>
                  <w:vAlign w:val="center"/>
                </w:tcPr>
                <w:p w14:paraId="232FEE9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571" w:type="pct"/>
                  <w:tcBorders>
                    <w:tl2br w:val="nil"/>
                    <w:tr2bl w:val="nil"/>
                  </w:tcBorders>
                  <w:vAlign w:val="center"/>
                </w:tcPr>
                <w:p w14:paraId="5CDA4A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分子运动现象的实验</w:t>
                  </w:r>
                </w:p>
              </w:tc>
              <w:tc>
                <w:tcPr>
                  <w:tcW w:w="2569" w:type="pct"/>
                  <w:gridSpan w:val="2"/>
                  <w:tcBorders>
                    <w:tl2br w:val="nil"/>
                    <w:tr2bl w:val="nil"/>
                  </w:tcBorders>
                  <w:vAlign w:val="center"/>
                </w:tcPr>
                <w:p w14:paraId="300842C9">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1.向盛有约20mL蒸馏水的小烧杯A中滴加5~6滴无色酚酞溶液，用玻璃棒搅拌均匀，观察溶液的颜色。</w:t>
                  </w:r>
                </w:p>
                <w:p w14:paraId="5A0E62EC">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2.从烧杯A中取少量溶液置于试管中，向其中慢慢加入浓氨水，观察溶液颜色有什么变化。</w:t>
                  </w:r>
                </w:p>
                <w:p w14:paraId="671C4F02">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3.另取一个小烧杯B，加入约5mL浓氨水。</w:t>
                  </w:r>
                </w:p>
                <w:p w14:paraId="7F548C70">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4.用一个大烧杯或水槽罩住A、B两个</w:t>
                  </w:r>
                </w:p>
              </w:tc>
              <w:tc>
                <w:tcPr>
                  <w:tcW w:w="512" w:type="pct"/>
                  <w:gridSpan w:val="2"/>
                  <w:tcBorders>
                    <w:tl2br w:val="nil"/>
                    <w:tr2bl w:val="nil"/>
                  </w:tcBorders>
                  <w:vAlign w:val="center"/>
                </w:tcPr>
                <w:p w14:paraId="712F7D4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烧杯、试管、滴管、玻璃棒</w:t>
                  </w:r>
                </w:p>
              </w:tc>
              <w:tc>
                <w:tcPr>
                  <w:tcW w:w="523" w:type="pct"/>
                  <w:gridSpan w:val="2"/>
                  <w:tcBorders>
                    <w:tl2br w:val="nil"/>
                    <w:tr2bl w:val="nil"/>
                  </w:tcBorders>
                  <w:vAlign w:val="center"/>
                </w:tcPr>
                <w:p w14:paraId="6E5E72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酚酞、浓氨水</w:t>
                  </w:r>
                </w:p>
              </w:tc>
              <w:tc>
                <w:tcPr>
                  <w:tcW w:w="439" w:type="pct"/>
                  <w:gridSpan w:val="2"/>
                  <w:tcBorders>
                    <w:tl2br w:val="nil"/>
                    <w:tr2bl w:val="nil"/>
                  </w:tcBorders>
                  <w:vAlign w:val="center"/>
                </w:tcPr>
                <w:p w14:paraId="651362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教师演示+学生操作</w:t>
                  </w:r>
                </w:p>
              </w:tc>
            </w:tr>
            <w:tr w14:paraId="2F35EB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9" w:type="pct"/>
                <w:trHeight w:val="23" w:hRule="atLeast"/>
                <w:jc w:val="center"/>
              </w:trPr>
              <w:tc>
                <w:tcPr>
                  <w:tcW w:w="382" w:type="pct"/>
                  <w:tcBorders>
                    <w:tl2br w:val="nil"/>
                    <w:tr2bl w:val="nil"/>
                  </w:tcBorders>
                  <w:vAlign w:val="center"/>
                </w:tcPr>
                <w:p w14:paraId="673173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572" w:type="pct"/>
                  <w:gridSpan w:val="2"/>
                  <w:tcBorders>
                    <w:tl2br w:val="nil"/>
                    <w:tr2bl w:val="nil"/>
                  </w:tcBorders>
                  <w:vAlign w:val="center"/>
                </w:tcPr>
                <w:p w14:paraId="0B72AE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胆矾溶解，</w:t>
                  </w:r>
                </w:p>
                <w:p w14:paraId="1DC4EBA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氢氧化钠溶液和硫酸铜溶液反应</w:t>
                  </w:r>
                </w:p>
              </w:tc>
              <w:tc>
                <w:tcPr>
                  <w:tcW w:w="2567" w:type="pct"/>
                  <w:tcBorders>
                    <w:tl2br w:val="nil"/>
                    <w:tr2bl w:val="nil"/>
                  </w:tcBorders>
                  <w:vAlign w:val="center"/>
                </w:tcPr>
                <w:p w14:paraId="585FE4A7">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1.胆矾溶解：</w:t>
                  </w:r>
                </w:p>
                <w:p w14:paraId="7F6C050C">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实验步骤：用镊子取一块胆矾，用研钵将胆矾研磨成粉末状，然后取少量胆矾粉末溶于水制得硫酸铜溶液。</w:t>
                  </w:r>
                </w:p>
                <w:p w14:paraId="548EBED6">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观察到的现象：胆矾是蓝色的固体，研磨后变成蓝色粉末，溶于水后形成蓝色的溶液。</w:t>
                  </w:r>
                </w:p>
                <w:p w14:paraId="01D9E264">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2.氢氧化钠溶液与硫酸铜溶液反应：</w:t>
                  </w:r>
                </w:p>
                <w:p w14:paraId="641B6949">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实验步骤：在硫酸铜溶液中逐滴加入氢氧化钠溶液，观察反应现象。</w:t>
                  </w:r>
                </w:p>
                <w:p w14:paraId="6F7D7C3C">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观察到的现象：随着氢氧化钠的滴加，会生成蓝色的絮状沉淀，继续滴加氢氧化钠溶液，沉淀逐渐增多，溶液颜色变浅，最终变为无色。</w:t>
                  </w:r>
                </w:p>
              </w:tc>
              <w:tc>
                <w:tcPr>
                  <w:tcW w:w="511" w:type="pct"/>
                  <w:gridSpan w:val="2"/>
                  <w:tcBorders>
                    <w:tl2br w:val="nil"/>
                    <w:tr2bl w:val="nil"/>
                  </w:tcBorders>
                  <w:vAlign w:val="center"/>
                </w:tcPr>
                <w:p w14:paraId="64E5F01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镊子、研钵、烧杯、三角瓶、滴管</w:t>
                  </w:r>
                </w:p>
              </w:tc>
              <w:tc>
                <w:tcPr>
                  <w:tcW w:w="522" w:type="pct"/>
                  <w:gridSpan w:val="2"/>
                  <w:tcBorders>
                    <w:tl2br w:val="nil"/>
                    <w:tr2bl w:val="nil"/>
                  </w:tcBorders>
                  <w:vAlign w:val="center"/>
                </w:tcPr>
                <w:p w14:paraId="73BA85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胆矾、氢氧化钠溶液</w:t>
                  </w:r>
                </w:p>
              </w:tc>
              <w:tc>
                <w:tcPr>
                  <w:tcW w:w="433" w:type="pct"/>
                  <w:gridSpan w:val="2"/>
                  <w:tcBorders>
                    <w:tl2br w:val="nil"/>
                    <w:tr2bl w:val="nil"/>
                  </w:tcBorders>
                  <w:vAlign w:val="center"/>
                </w:tcPr>
                <w:p w14:paraId="578A3DC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5EBF46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9" w:type="pct"/>
                <w:trHeight w:val="23" w:hRule="atLeast"/>
                <w:jc w:val="center"/>
              </w:trPr>
              <w:tc>
                <w:tcPr>
                  <w:tcW w:w="382" w:type="pct"/>
                  <w:tcBorders>
                    <w:tl2br w:val="nil"/>
                    <w:tr2bl w:val="nil"/>
                  </w:tcBorders>
                  <w:vAlign w:val="center"/>
                </w:tcPr>
                <w:p w14:paraId="714FA40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572" w:type="pct"/>
                  <w:gridSpan w:val="2"/>
                  <w:tcBorders>
                    <w:tl2br w:val="nil"/>
                    <w:tr2bl w:val="nil"/>
                  </w:tcBorders>
                  <w:vAlign w:val="center"/>
                </w:tcPr>
                <w:p w14:paraId="7B931CA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石灰石与盐酸反应</w:t>
                  </w:r>
                </w:p>
              </w:tc>
              <w:tc>
                <w:tcPr>
                  <w:tcW w:w="2567" w:type="pct"/>
                  <w:tcBorders>
                    <w:tl2br w:val="nil"/>
                    <w:tr2bl w:val="nil"/>
                  </w:tcBorders>
                  <w:vAlign w:val="center"/>
                </w:tcPr>
                <w:p w14:paraId="5473D13F">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1.准备实验材料：准备石灰石、稀盐酸、澄清石灰水、试管、铁架台、烧杯、导管等实验用品。</w:t>
                  </w:r>
                </w:p>
                <w:p w14:paraId="2FE2C97B">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2.安装实验装置：检查装置的气密性，确保实验过程中气体不会泄漏。</w:t>
                  </w:r>
                </w:p>
                <w:p w14:paraId="59D521D2">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3.加入反应物：把少量的石灰石放在干燥的试管里，向试管里加入少量稀盐酸。</w:t>
                  </w:r>
                </w:p>
                <w:p w14:paraId="2C2C839A">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4.观察现象：用配有玻璃弯管的橡皮塞塞住试管口，使弯管的另一端伸入盛有澄清石灰水的烧杯里。观察试管中的石灰石表面产生的现象以及烧杯中澄清石灰水的变化。</w:t>
                  </w:r>
                </w:p>
              </w:tc>
              <w:tc>
                <w:tcPr>
                  <w:tcW w:w="511" w:type="pct"/>
                  <w:gridSpan w:val="2"/>
                  <w:tcBorders>
                    <w:tl2br w:val="nil"/>
                    <w:tr2bl w:val="nil"/>
                  </w:tcBorders>
                  <w:vAlign w:val="center"/>
                </w:tcPr>
                <w:p w14:paraId="4F7980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试管、铁架台、烧杯、导管</w:t>
                  </w:r>
                </w:p>
              </w:tc>
              <w:tc>
                <w:tcPr>
                  <w:tcW w:w="522" w:type="pct"/>
                  <w:gridSpan w:val="2"/>
                  <w:tcBorders>
                    <w:tl2br w:val="nil"/>
                    <w:tr2bl w:val="nil"/>
                  </w:tcBorders>
                  <w:vAlign w:val="center"/>
                </w:tcPr>
                <w:p w14:paraId="6D1192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碳酸钙、稀盐酸、氢氧化钙</w:t>
                  </w:r>
                </w:p>
              </w:tc>
              <w:tc>
                <w:tcPr>
                  <w:tcW w:w="433" w:type="pct"/>
                  <w:gridSpan w:val="2"/>
                  <w:tcBorders>
                    <w:tl2br w:val="nil"/>
                    <w:tr2bl w:val="nil"/>
                  </w:tcBorders>
                  <w:vAlign w:val="center"/>
                </w:tcPr>
                <w:p w14:paraId="44E80EB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003A21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9" w:type="pct"/>
                <w:trHeight w:val="23" w:hRule="atLeast"/>
                <w:jc w:val="center"/>
              </w:trPr>
              <w:tc>
                <w:tcPr>
                  <w:tcW w:w="382" w:type="pct"/>
                  <w:tcBorders>
                    <w:tl2br w:val="nil"/>
                    <w:tr2bl w:val="nil"/>
                  </w:tcBorders>
                  <w:vAlign w:val="center"/>
                </w:tcPr>
                <w:p w14:paraId="6811BFE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c>
                <w:tcPr>
                  <w:tcW w:w="572" w:type="pct"/>
                  <w:gridSpan w:val="2"/>
                  <w:tcBorders>
                    <w:tl2br w:val="nil"/>
                    <w:tr2bl w:val="nil"/>
                  </w:tcBorders>
                  <w:vAlign w:val="center"/>
                </w:tcPr>
                <w:p w14:paraId="35EDA0F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化学反应中的能量变化</w:t>
                  </w:r>
                </w:p>
              </w:tc>
              <w:tc>
                <w:tcPr>
                  <w:tcW w:w="2567" w:type="pct"/>
                  <w:tcBorders>
                    <w:tl2br w:val="nil"/>
                    <w:tr2bl w:val="nil"/>
                  </w:tcBorders>
                  <w:vAlign w:val="center"/>
                </w:tcPr>
                <w:p w14:paraId="6410EA51">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1.在试管里加入几小块铝片，再加入5mL盐酸。</w:t>
                  </w:r>
                </w:p>
                <w:p w14:paraId="783D47A1">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2.立即用手摸试管外壁感受其温度，并用温度计测量溶液温度，做好记录。</w:t>
                  </w:r>
                </w:p>
                <w:p w14:paraId="76EAC16A">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3.当反应进行到有大量气泡冒出时，再次用手触摸试管外壁感受其温度，并用温度计测量溶液温度，做好记录。</w:t>
                  </w:r>
                </w:p>
              </w:tc>
              <w:tc>
                <w:tcPr>
                  <w:tcW w:w="511" w:type="pct"/>
                  <w:gridSpan w:val="2"/>
                  <w:tcBorders>
                    <w:tl2br w:val="nil"/>
                    <w:tr2bl w:val="nil"/>
                  </w:tcBorders>
                  <w:vAlign w:val="center"/>
                </w:tcPr>
                <w:p w14:paraId="1FE77A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试管、温度计</w:t>
                  </w:r>
                </w:p>
              </w:tc>
              <w:tc>
                <w:tcPr>
                  <w:tcW w:w="522" w:type="pct"/>
                  <w:gridSpan w:val="2"/>
                  <w:tcBorders>
                    <w:tl2br w:val="nil"/>
                    <w:tr2bl w:val="nil"/>
                  </w:tcBorders>
                  <w:vAlign w:val="center"/>
                </w:tcPr>
                <w:p w14:paraId="4ED2362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铝片、盐酸</w:t>
                  </w:r>
                </w:p>
              </w:tc>
              <w:tc>
                <w:tcPr>
                  <w:tcW w:w="433" w:type="pct"/>
                  <w:gridSpan w:val="2"/>
                  <w:tcBorders>
                    <w:tl2br w:val="nil"/>
                    <w:tr2bl w:val="nil"/>
                  </w:tcBorders>
                  <w:vAlign w:val="center"/>
                </w:tcPr>
                <w:p w14:paraId="30EBA92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582E7D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9" w:type="pct"/>
                <w:trHeight w:val="23" w:hRule="atLeast"/>
                <w:jc w:val="center"/>
              </w:trPr>
              <w:tc>
                <w:tcPr>
                  <w:tcW w:w="382" w:type="pct"/>
                  <w:tcBorders>
                    <w:tl2br w:val="nil"/>
                    <w:tr2bl w:val="nil"/>
                  </w:tcBorders>
                  <w:vAlign w:val="center"/>
                </w:tcPr>
                <w:p w14:paraId="01F6B09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572" w:type="pct"/>
                  <w:gridSpan w:val="2"/>
                  <w:tcBorders>
                    <w:tl2br w:val="nil"/>
                    <w:tr2bl w:val="nil"/>
                  </w:tcBorders>
                  <w:vAlign w:val="center"/>
                </w:tcPr>
                <w:p w14:paraId="0B81DF1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分解过氧化氢制氧气的反应中二氧化锰的作用</w:t>
                  </w:r>
                </w:p>
              </w:tc>
              <w:tc>
                <w:tcPr>
                  <w:tcW w:w="2567" w:type="pct"/>
                  <w:tcBorders>
                    <w:tl2br w:val="nil"/>
                    <w:tr2bl w:val="nil"/>
                  </w:tcBorders>
                  <w:vAlign w:val="center"/>
                </w:tcPr>
                <w:p w14:paraId="655D4B3D">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在试管中加入5mL5%的过氧化氢溶液，然后加入少量二氧化锰，观察带火星的木条复燃的现象。这个实验说明二氧化锰能够加快过氧化氢的分解速率，而其自身的性质没有改变。</w:t>
                  </w:r>
                </w:p>
              </w:tc>
              <w:tc>
                <w:tcPr>
                  <w:tcW w:w="511" w:type="pct"/>
                  <w:gridSpan w:val="2"/>
                  <w:tcBorders>
                    <w:tl2br w:val="nil"/>
                    <w:tr2bl w:val="nil"/>
                  </w:tcBorders>
                  <w:vAlign w:val="center"/>
                </w:tcPr>
                <w:p w14:paraId="39B6DC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试管、木条</w:t>
                  </w:r>
                </w:p>
              </w:tc>
              <w:tc>
                <w:tcPr>
                  <w:tcW w:w="522" w:type="pct"/>
                  <w:gridSpan w:val="2"/>
                  <w:tcBorders>
                    <w:tl2br w:val="nil"/>
                    <w:tr2bl w:val="nil"/>
                  </w:tcBorders>
                  <w:vAlign w:val="center"/>
                </w:tcPr>
                <w:p w14:paraId="73C288A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过氧化氢、二氧化锰</w:t>
                  </w:r>
                </w:p>
              </w:tc>
              <w:tc>
                <w:tcPr>
                  <w:tcW w:w="433" w:type="pct"/>
                  <w:gridSpan w:val="2"/>
                  <w:tcBorders>
                    <w:tl2br w:val="nil"/>
                    <w:tr2bl w:val="nil"/>
                  </w:tcBorders>
                  <w:vAlign w:val="center"/>
                </w:tcPr>
                <w:p w14:paraId="61E63F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r w14:paraId="02FA8A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9" w:type="pct"/>
                <w:trHeight w:val="23" w:hRule="atLeast"/>
                <w:jc w:val="center"/>
              </w:trPr>
              <w:tc>
                <w:tcPr>
                  <w:tcW w:w="382" w:type="pct"/>
                  <w:tcBorders>
                    <w:tl2br w:val="nil"/>
                    <w:tr2bl w:val="nil"/>
                  </w:tcBorders>
                  <w:vAlign w:val="center"/>
                </w:tcPr>
                <w:p w14:paraId="131AAD1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w:t>
                  </w:r>
                </w:p>
              </w:tc>
              <w:tc>
                <w:tcPr>
                  <w:tcW w:w="572" w:type="pct"/>
                  <w:gridSpan w:val="2"/>
                  <w:tcBorders>
                    <w:tl2br w:val="nil"/>
                    <w:tr2bl w:val="nil"/>
                  </w:tcBorders>
                  <w:vAlign w:val="center"/>
                </w:tcPr>
                <w:p w14:paraId="7E98BBE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探究化学反应前后物质的质量有无变化</w:t>
                  </w:r>
                </w:p>
              </w:tc>
              <w:tc>
                <w:tcPr>
                  <w:tcW w:w="2567" w:type="pct"/>
                  <w:tcBorders>
                    <w:tl2br w:val="nil"/>
                    <w:tr2bl w:val="nil"/>
                  </w:tcBorders>
                  <w:vAlign w:val="center"/>
                </w:tcPr>
                <w:p w14:paraId="040A24B7">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1.红磷燃烧实验：</w:t>
                  </w:r>
                </w:p>
                <w:p w14:paraId="46E2FC4D">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步骤：称量反应前物质的总质量；将红磷燃烧；称量反应后物质的总质量。</w:t>
                  </w:r>
                </w:p>
                <w:p w14:paraId="2BA035F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2.氢氧化钠溶液与硫酸铜溶液反应：</w:t>
                  </w:r>
                </w:p>
                <w:p w14:paraId="497B74E3">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步骤：称量反应前物质的总质量；将氢氧化钠溶液与硫酸铜溶液混合；称量反应后物质的总质量。</w:t>
                  </w:r>
                </w:p>
                <w:p w14:paraId="325CFEAD">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3.锌粒与稀盐酸反应：</w:t>
                  </w:r>
                </w:p>
                <w:p w14:paraId="20C431EB">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步骤：称量锌粒和稀盐酸的质量；将锌粒加入稀盐酸中反应；称量反应后的质量。</w:t>
                  </w:r>
                </w:p>
              </w:tc>
              <w:tc>
                <w:tcPr>
                  <w:tcW w:w="511" w:type="pct"/>
                  <w:gridSpan w:val="2"/>
                  <w:tcBorders>
                    <w:tl2br w:val="nil"/>
                    <w:tr2bl w:val="nil"/>
                  </w:tcBorders>
                  <w:vAlign w:val="center"/>
                </w:tcPr>
                <w:p w14:paraId="737224A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烧杯、天平、三角</w:t>
                  </w:r>
                </w:p>
                <w:p w14:paraId="741E8F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瓶</w:t>
                  </w:r>
                </w:p>
              </w:tc>
              <w:tc>
                <w:tcPr>
                  <w:tcW w:w="522" w:type="pct"/>
                  <w:gridSpan w:val="2"/>
                  <w:tcBorders>
                    <w:tl2br w:val="nil"/>
                    <w:tr2bl w:val="nil"/>
                  </w:tcBorders>
                  <w:vAlign w:val="center"/>
                </w:tcPr>
                <w:p w14:paraId="4BA413E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红磷、氢氧化钠溶液、硫酸铜溶液、锌粒、稀盐酸</w:t>
                  </w:r>
                </w:p>
              </w:tc>
              <w:tc>
                <w:tcPr>
                  <w:tcW w:w="433" w:type="pct"/>
                  <w:gridSpan w:val="2"/>
                  <w:tcBorders>
                    <w:tl2br w:val="nil"/>
                    <w:tr2bl w:val="nil"/>
                  </w:tcBorders>
                  <w:vAlign w:val="center"/>
                </w:tcPr>
                <w:p w14:paraId="360B553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教师演示</w:t>
                  </w:r>
                </w:p>
              </w:tc>
            </w:tr>
          </w:tbl>
          <w:p w14:paraId="73710606">
            <w:pPr>
              <w:spacing w:before="28" w:line="219" w:lineRule="auto"/>
              <w:ind w:left="588"/>
              <w:rPr>
                <w:rFonts w:ascii="宋体" w:hAnsi="宋体" w:eastAsia="宋体" w:cs="宋体"/>
                <w:color w:val="auto"/>
                <w:sz w:val="24"/>
                <w:szCs w:val="24"/>
              </w:rPr>
            </w:pPr>
            <w:r>
              <w:rPr>
                <w:rFonts w:ascii="宋体" w:hAnsi="宋体" w:eastAsia="宋体" w:cs="宋体"/>
                <w:color w:val="auto"/>
                <w:spacing w:val="-1"/>
                <w:sz w:val="24"/>
                <w:szCs w:val="24"/>
              </w:rPr>
              <w:t>根据初中化学实验操作考试大纲，仪器洗涤操作要如下：</w:t>
            </w:r>
          </w:p>
          <w:p w14:paraId="0A41AE31">
            <w:pPr>
              <w:pStyle w:val="114"/>
              <w:bidi w:val="0"/>
              <w:rPr>
                <w:color w:val="auto"/>
              </w:rPr>
            </w:pPr>
            <w:r>
              <w:rPr>
                <w:color w:val="auto"/>
              </w:rPr>
              <w:t>初中化学实验操作考试仪器洗涤要求</w:t>
            </w:r>
          </w:p>
          <w:tbl>
            <w:tblPr>
              <w:tblStyle w:val="123"/>
              <w:tblW w:w="4997"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98"/>
              <w:gridCol w:w="5882"/>
              <w:gridCol w:w="2599"/>
            </w:tblGrid>
            <w:tr w14:paraId="6FD55C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30" w:type="pct"/>
                  <w:tcBorders>
                    <w:tl2br w:val="nil"/>
                    <w:tr2bl w:val="nil"/>
                  </w:tcBorders>
                  <w:vAlign w:val="center"/>
                </w:tcPr>
                <w:p w14:paraId="514C294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9"/>
                      <w:sz w:val="21"/>
                      <w:szCs w:val="21"/>
                      <w:lang w:val="en-US" w:eastAsia="zh-CN"/>
                    </w:rPr>
                  </w:pPr>
                  <w:r>
                    <w:rPr>
                      <w:rFonts w:hint="default" w:ascii="Times New Roman" w:hAnsi="Times New Roman" w:eastAsia="宋体" w:cs="Times New Roman"/>
                      <w:b/>
                      <w:bCs/>
                      <w:color w:val="auto"/>
                      <w:spacing w:val="9"/>
                      <w:sz w:val="21"/>
                      <w:szCs w:val="21"/>
                      <w:lang w:val="en-US" w:eastAsia="zh-CN"/>
                    </w:rPr>
                    <w:t>序号</w:t>
                  </w:r>
                </w:p>
              </w:tc>
              <w:tc>
                <w:tcPr>
                  <w:tcW w:w="3169" w:type="pct"/>
                  <w:tcBorders>
                    <w:tl2br w:val="nil"/>
                    <w:tr2bl w:val="nil"/>
                  </w:tcBorders>
                  <w:vAlign w:val="center"/>
                </w:tcPr>
                <w:p w14:paraId="568AB9C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9"/>
                      <w:sz w:val="21"/>
                      <w:szCs w:val="21"/>
                      <w:lang w:val="en-US" w:eastAsia="zh-CN"/>
                    </w:rPr>
                  </w:pPr>
                  <w:r>
                    <w:rPr>
                      <w:rFonts w:hint="default" w:ascii="Times New Roman" w:hAnsi="Times New Roman" w:eastAsia="宋体" w:cs="Times New Roman"/>
                      <w:b/>
                      <w:bCs/>
                      <w:color w:val="auto"/>
                      <w:spacing w:val="9"/>
                      <w:sz w:val="21"/>
                      <w:szCs w:val="21"/>
                      <w:lang w:val="en-US" w:eastAsia="zh-CN"/>
                    </w:rPr>
                    <w:t>规范</w:t>
                  </w:r>
                </w:p>
              </w:tc>
              <w:tc>
                <w:tcPr>
                  <w:tcW w:w="1400" w:type="pct"/>
                  <w:tcBorders>
                    <w:tl2br w:val="nil"/>
                    <w:tr2bl w:val="nil"/>
                  </w:tcBorders>
                  <w:vAlign w:val="center"/>
                </w:tcPr>
                <w:p w14:paraId="545284B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hAnsi="宋体" w:eastAsia="宋体" w:cs="宋体"/>
                      <w:b/>
                      <w:bCs/>
                      <w:color w:val="auto"/>
                      <w:spacing w:val="9"/>
                      <w:sz w:val="21"/>
                      <w:szCs w:val="21"/>
                      <w:lang w:val="en-US" w:eastAsia="zh-CN"/>
                    </w:rPr>
                  </w:pPr>
                  <w:r>
                    <w:rPr>
                      <w:rFonts w:hint="eastAsia" w:ascii="宋体" w:hAnsi="宋体" w:eastAsia="宋体" w:cs="宋体"/>
                      <w:b/>
                      <w:bCs/>
                      <w:color w:val="auto"/>
                      <w:spacing w:val="9"/>
                      <w:sz w:val="21"/>
                      <w:szCs w:val="21"/>
                      <w:lang w:val="en-US" w:eastAsia="zh-CN"/>
                    </w:rPr>
                    <w:t>备注</w:t>
                  </w:r>
                </w:p>
              </w:tc>
            </w:tr>
            <w:tr w14:paraId="102B84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30" w:type="pct"/>
                  <w:tcBorders>
                    <w:tl2br w:val="nil"/>
                    <w:tr2bl w:val="nil"/>
                  </w:tcBorders>
                  <w:vAlign w:val="center"/>
                </w:tcPr>
                <w:p w14:paraId="1039BA7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9"/>
                      <w:sz w:val="21"/>
                      <w:szCs w:val="21"/>
                      <w:lang w:val="en-US" w:eastAsia="zh-CN"/>
                    </w:rPr>
                  </w:pPr>
                  <w:r>
                    <w:rPr>
                      <w:rFonts w:hint="default" w:ascii="Times New Roman" w:hAnsi="Times New Roman" w:eastAsia="宋体" w:cs="Times New Roman"/>
                      <w:color w:val="auto"/>
                      <w:spacing w:val="9"/>
                      <w:sz w:val="21"/>
                      <w:szCs w:val="21"/>
                      <w:lang w:val="en-US" w:eastAsia="zh-CN"/>
                    </w:rPr>
                    <w:t>1</w:t>
                  </w:r>
                </w:p>
              </w:tc>
              <w:tc>
                <w:tcPr>
                  <w:tcW w:w="3169" w:type="pct"/>
                  <w:tcBorders>
                    <w:tl2br w:val="nil"/>
                    <w:tr2bl w:val="nil"/>
                  </w:tcBorders>
                  <w:vAlign w:val="center"/>
                </w:tcPr>
                <w:p w14:paraId="071CFE7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废渣、废液倒入废物缸中，有用的物质倒入指定的容器中。</w:t>
                  </w:r>
                </w:p>
              </w:tc>
              <w:tc>
                <w:tcPr>
                  <w:tcW w:w="1400" w:type="pct"/>
                  <w:vMerge w:val="restart"/>
                  <w:tcBorders>
                    <w:tl2br w:val="nil"/>
                    <w:tr2bl w:val="nil"/>
                  </w:tcBorders>
                  <w:vAlign w:val="center"/>
                </w:tcPr>
                <w:p w14:paraId="2A336C6B">
                  <w:pPr>
                    <w:spacing w:before="65" w:line="228" w:lineRule="auto"/>
                    <w:ind w:left="155"/>
                    <w:jc w:val="center"/>
                    <w:rPr>
                      <w:rFonts w:ascii="宋体" w:hAnsi="宋体" w:eastAsia="宋体" w:cs="宋体"/>
                      <w:color w:val="auto"/>
                      <w:spacing w:val="9"/>
                      <w:sz w:val="21"/>
                      <w:szCs w:val="21"/>
                    </w:rPr>
                  </w:pPr>
                  <w:r>
                    <w:rPr>
                      <w:rFonts w:ascii="宋体" w:hAnsi="宋体" w:eastAsia="宋体" w:cs="宋体"/>
                      <w:color w:val="auto"/>
                      <w:spacing w:val="7"/>
                      <w:sz w:val="21"/>
                      <w:szCs w:val="21"/>
                    </w:rPr>
                    <w:t>实验废液由实验老师进行规范收集</w:t>
                  </w:r>
                </w:p>
              </w:tc>
            </w:tr>
            <w:tr w14:paraId="27D9CA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30" w:type="pct"/>
                  <w:tcBorders>
                    <w:tl2br w:val="nil"/>
                    <w:tr2bl w:val="nil"/>
                  </w:tcBorders>
                  <w:vAlign w:val="center"/>
                </w:tcPr>
                <w:p w14:paraId="001122E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9"/>
                      <w:sz w:val="21"/>
                      <w:szCs w:val="21"/>
                      <w:lang w:val="en-US" w:eastAsia="zh-CN"/>
                    </w:rPr>
                  </w:pPr>
                  <w:r>
                    <w:rPr>
                      <w:rFonts w:hint="default" w:ascii="Times New Roman" w:hAnsi="Times New Roman" w:eastAsia="宋体" w:cs="Times New Roman"/>
                      <w:color w:val="auto"/>
                      <w:spacing w:val="9"/>
                      <w:sz w:val="21"/>
                      <w:szCs w:val="21"/>
                      <w:lang w:val="en-US" w:eastAsia="zh-CN"/>
                    </w:rPr>
                    <w:t>2</w:t>
                  </w:r>
                </w:p>
              </w:tc>
              <w:tc>
                <w:tcPr>
                  <w:tcW w:w="3169" w:type="pct"/>
                  <w:tcBorders>
                    <w:tl2br w:val="nil"/>
                    <w:tr2bl w:val="nil"/>
                  </w:tcBorders>
                  <w:vAlign w:val="center"/>
                </w:tcPr>
                <w:p w14:paraId="3B3EE33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玻璃仪器洗涤干净的标准：玻璃仪器上附着的水，既不聚成</w:t>
                  </w:r>
                  <w:r>
                    <w:rPr>
                      <w:rFonts w:hint="default" w:ascii="Times New Roman" w:hAnsi="Times New Roman" w:eastAsia="宋体" w:cs="Times New Roman"/>
                      <w:color w:val="auto"/>
                      <w:spacing w:val="7"/>
                      <w:sz w:val="21"/>
                      <w:szCs w:val="21"/>
                    </w:rPr>
                    <w:t>水滴，也不成股流下。</w:t>
                  </w:r>
                </w:p>
              </w:tc>
              <w:tc>
                <w:tcPr>
                  <w:tcW w:w="1400" w:type="pct"/>
                  <w:vMerge w:val="continue"/>
                  <w:tcBorders>
                    <w:tl2br w:val="nil"/>
                    <w:tr2bl w:val="nil"/>
                  </w:tcBorders>
                  <w:vAlign w:val="center"/>
                </w:tcPr>
                <w:p w14:paraId="5FA5418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宋体" w:hAnsi="宋体" w:eastAsia="宋体" w:cs="宋体"/>
                      <w:color w:val="auto"/>
                      <w:spacing w:val="9"/>
                      <w:sz w:val="21"/>
                      <w:szCs w:val="21"/>
                    </w:rPr>
                  </w:pPr>
                </w:p>
              </w:tc>
            </w:tr>
            <w:tr w14:paraId="4D47B9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430" w:type="pct"/>
                  <w:tcBorders>
                    <w:tl2br w:val="nil"/>
                    <w:tr2bl w:val="nil"/>
                  </w:tcBorders>
                  <w:vAlign w:val="center"/>
                </w:tcPr>
                <w:p w14:paraId="77ECC5F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9"/>
                      <w:sz w:val="21"/>
                      <w:szCs w:val="21"/>
                      <w:lang w:val="en-US" w:eastAsia="zh-CN"/>
                    </w:rPr>
                  </w:pPr>
                  <w:r>
                    <w:rPr>
                      <w:rFonts w:hint="default" w:ascii="Times New Roman" w:hAnsi="Times New Roman" w:eastAsia="宋体" w:cs="Times New Roman"/>
                      <w:color w:val="auto"/>
                      <w:spacing w:val="9"/>
                      <w:sz w:val="21"/>
                      <w:szCs w:val="21"/>
                      <w:lang w:val="en-US" w:eastAsia="zh-CN"/>
                    </w:rPr>
                    <w:t>3</w:t>
                  </w:r>
                </w:p>
              </w:tc>
              <w:tc>
                <w:tcPr>
                  <w:tcW w:w="3169" w:type="pct"/>
                  <w:tcBorders>
                    <w:tl2br w:val="nil"/>
                    <w:tr2bl w:val="nil"/>
                  </w:tcBorders>
                  <w:vAlign w:val="center"/>
                </w:tcPr>
                <w:p w14:paraId="566763C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仪器洗干净后，不能乱放，试管洗涤干净后，要倒插在试管</w:t>
                  </w:r>
                  <w:r>
                    <w:rPr>
                      <w:rFonts w:hint="default" w:ascii="Times New Roman" w:hAnsi="Times New Roman" w:eastAsia="宋体" w:cs="Times New Roman"/>
                      <w:color w:val="auto"/>
                      <w:spacing w:val="5"/>
                      <w:sz w:val="21"/>
                      <w:szCs w:val="21"/>
                    </w:rPr>
                    <w:t>架上晾干。</w:t>
                  </w:r>
                </w:p>
              </w:tc>
              <w:tc>
                <w:tcPr>
                  <w:tcW w:w="1400" w:type="pct"/>
                  <w:vMerge w:val="continue"/>
                  <w:tcBorders>
                    <w:tl2br w:val="nil"/>
                    <w:tr2bl w:val="nil"/>
                  </w:tcBorders>
                  <w:vAlign w:val="center"/>
                </w:tcPr>
                <w:p w14:paraId="6167872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宋体" w:hAnsi="宋体" w:eastAsia="宋体" w:cs="宋体"/>
                      <w:color w:val="auto"/>
                      <w:spacing w:val="9"/>
                      <w:sz w:val="21"/>
                      <w:szCs w:val="21"/>
                    </w:rPr>
                  </w:pPr>
                </w:p>
              </w:tc>
            </w:tr>
            <w:tr w14:paraId="6EBFEA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430" w:type="pct"/>
                  <w:tcBorders>
                    <w:tl2br w:val="nil"/>
                    <w:tr2bl w:val="nil"/>
                  </w:tcBorders>
                  <w:vAlign w:val="center"/>
                </w:tcPr>
                <w:p w14:paraId="2F58693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4</w:t>
                  </w:r>
                </w:p>
              </w:tc>
              <w:tc>
                <w:tcPr>
                  <w:tcW w:w="3169" w:type="pct"/>
                  <w:tcBorders>
                    <w:tl2br w:val="nil"/>
                    <w:tr2bl w:val="nil"/>
                  </w:tcBorders>
                  <w:vAlign w:val="center"/>
                </w:tcPr>
                <w:p w14:paraId="7E49DA8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连接仪器装置及装置气密性检查：先将导管的一端浸入水中，</w:t>
                  </w:r>
                  <w:r>
                    <w:rPr>
                      <w:rFonts w:hint="default" w:ascii="Times New Roman" w:hAnsi="Times New Roman" w:eastAsia="宋体" w:cs="Times New Roman"/>
                      <w:color w:val="auto"/>
                      <w:spacing w:val="9"/>
                      <w:sz w:val="21"/>
                      <w:szCs w:val="21"/>
                    </w:rPr>
                    <w:t>用手紧贴容器外壁；稍停片刻，若导管口有气泡冒出；松开手掌，导管口部有水柱上升；稍停片刻，水柱并不回落，就</w:t>
                  </w:r>
                  <w:r>
                    <w:rPr>
                      <w:rFonts w:hint="default" w:ascii="Times New Roman" w:hAnsi="Times New Roman" w:eastAsia="宋体" w:cs="Times New Roman"/>
                      <w:color w:val="auto"/>
                      <w:spacing w:val="7"/>
                      <w:sz w:val="21"/>
                      <w:szCs w:val="21"/>
                    </w:rPr>
                    <w:t>说明装置不漏气。</w:t>
                  </w:r>
                </w:p>
              </w:tc>
              <w:tc>
                <w:tcPr>
                  <w:tcW w:w="1400" w:type="pct"/>
                  <w:vMerge w:val="continue"/>
                  <w:tcBorders>
                    <w:tl2br w:val="nil"/>
                    <w:tr2bl w:val="nil"/>
                  </w:tcBorders>
                  <w:vAlign w:val="center"/>
                </w:tcPr>
                <w:p w14:paraId="48D091E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宋体" w:hAnsi="宋体" w:eastAsia="宋体" w:cs="宋体"/>
                      <w:color w:val="auto"/>
                      <w:spacing w:val="5"/>
                      <w:sz w:val="21"/>
                      <w:szCs w:val="21"/>
                    </w:rPr>
                  </w:pPr>
                </w:p>
              </w:tc>
            </w:tr>
          </w:tbl>
          <w:p w14:paraId="01C0DD49">
            <w:pPr>
              <w:spacing w:before="32" w:line="217" w:lineRule="auto"/>
              <w:ind w:left="586"/>
              <w:rPr>
                <w:rFonts w:ascii="宋体" w:hAnsi="宋体" w:eastAsia="宋体" w:cs="宋体"/>
                <w:color w:val="auto"/>
                <w:sz w:val="24"/>
                <w:szCs w:val="24"/>
              </w:rPr>
            </w:pPr>
            <w:r>
              <w:rPr>
                <w:rFonts w:ascii="宋体" w:hAnsi="宋体" w:eastAsia="宋体" w:cs="宋体"/>
                <w:b/>
                <w:bCs/>
                <w:color w:val="auto"/>
                <w:spacing w:val="-4"/>
                <w:sz w:val="24"/>
                <w:szCs w:val="24"/>
              </w:rPr>
              <w:t>③生物实验</w:t>
            </w:r>
          </w:p>
          <w:p w14:paraId="3619EB43">
            <w:pPr>
              <w:pStyle w:val="11"/>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color w:val="auto"/>
              </w:rPr>
            </w:pPr>
            <w:r>
              <w:rPr>
                <w:rFonts w:ascii="宋体" w:hAnsi="宋体" w:eastAsia="宋体" w:cs="宋体"/>
                <w:color w:val="auto"/>
                <w:spacing w:val="-1"/>
                <w:sz w:val="24"/>
                <w:szCs w:val="24"/>
              </w:rPr>
              <w:t>项目运营期生物实验主要为一些简单的观察实验，具体如下：</w:t>
            </w:r>
          </w:p>
          <w:p w14:paraId="20688084">
            <w:pPr>
              <w:pStyle w:val="114"/>
              <w:bidi w:val="0"/>
              <w:rPr>
                <w:color w:val="auto"/>
              </w:rPr>
            </w:pPr>
            <w:r>
              <w:rPr>
                <w:color w:val="auto"/>
              </w:rPr>
              <w:t>初中</w:t>
            </w:r>
            <w:r>
              <w:rPr>
                <w:rFonts w:hint="eastAsia"/>
                <w:color w:val="auto"/>
                <w:lang w:val="en-US" w:eastAsia="zh-CN"/>
              </w:rPr>
              <w:t>生物</w:t>
            </w:r>
            <w:r>
              <w:rPr>
                <w:color w:val="auto"/>
              </w:rPr>
              <w:t>实验项目及</w:t>
            </w:r>
            <w:r>
              <w:rPr>
                <w:rFonts w:hint="eastAsia"/>
                <w:color w:val="auto"/>
                <w:lang w:val="en-US" w:eastAsia="zh-CN"/>
              </w:rPr>
              <w:t>生物</w:t>
            </w:r>
            <w:r>
              <w:rPr>
                <w:color w:val="auto"/>
              </w:rPr>
              <w:t>实验</w:t>
            </w:r>
            <w:r>
              <w:rPr>
                <w:rFonts w:hint="eastAsia"/>
                <w:color w:val="auto"/>
                <w:lang w:val="en-US" w:eastAsia="zh-CN"/>
              </w:rPr>
              <w:t>材料</w:t>
            </w:r>
            <w:r>
              <w:rPr>
                <w:color w:val="auto"/>
              </w:rPr>
              <w:t>一览表</w:t>
            </w:r>
          </w:p>
          <w:tbl>
            <w:tblPr>
              <w:tblStyle w:val="123"/>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74"/>
              <w:gridCol w:w="1281"/>
              <w:gridCol w:w="3284"/>
              <w:gridCol w:w="1589"/>
              <w:gridCol w:w="1253"/>
              <w:gridCol w:w="998"/>
            </w:tblGrid>
            <w:tr w14:paraId="5235CC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145CF47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序号</w:t>
                  </w:r>
                </w:p>
              </w:tc>
              <w:tc>
                <w:tcPr>
                  <w:tcW w:w="690" w:type="pct"/>
                  <w:tcBorders>
                    <w:tl2br w:val="nil"/>
                    <w:tr2bl w:val="nil"/>
                  </w:tcBorders>
                  <w:vAlign w:val="center"/>
                </w:tcPr>
                <w:p w14:paraId="3CCAB94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b/>
                      <w:bCs/>
                      <w:color w:val="auto"/>
                      <w:spacing w:val="6"/>
                      <w:sz w:val="21"/>
                      <w:szCs w:val="21"/>
                      <w:lang w:val="en-US" w:eastAsia="zh-CN"/>
                    </w:rPr>
                  </w:pPr>
                  <w:r>
                    <w:rPr>
                      <w:rFonts w:hint="eastAsia" w:ascii="宋体" w:hAnsi="宋体" w:eastAsia="宋体" w:cs="宋体"/>
                      <w:b/>
                      <w:bCs/>
                      <w:color w:val="auto"/>
                      <w:spacing w:val="6"/>
                      <w:sz w:val="21"/>
                      <w:szCs w:val="21"/>
                      <w:lang w:val="en-US" w:eastAsia="zh-CN"/>
                    </w:rPr>
                    <w:t>实验项目</w:t>
                  </w:r>
                </w:p>
              </w:tc>
              <w:tc>
                <w:tcPr>
                  <w:tcW w:w="1769" w:type="pct"/>
                  <w:tcBorders>
                    <w:tl2br w:val="nil"/>
                    <w:tr2bl w:val="nil"/>
                  </w:tcBorders>
                  <w:vAlign w:val="center"/>
                </w:tcPr>
                <w:p w14:paraId="07F6A2A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宋体" w:hAnsi="宋体" w:eastAsia="宋体" w:cs="宋体"/>
                      <w:b/>
                      <w:bCs/>
                      <w:color w:val="auto"/>
                      <w:spacing w:val="20"/>
                      <w:sz w:val="21"/>
                      <w:szCs w:val="21"/>
                      <w:lang w:val="en-US" w:eastAsia="zh-CN"/>
                    </w:rPr>
                  </w:pPr>
                  <w:r>
                    <w:rPr>
                      <w:rFonts w:hint="eastAsia" w:ascii="宋体" w:hAnsi="宋体" w:eastAsia="宋体" w:cs="宋体"/>
                      <w:b/>
                      <w:bCs/>
                      <w:color w:val="auto"/>
                      <w:spacing w:val="20"/>
                      <w:sz w:val="21"/>
                      <w:szCs w:val="21"/>
                      <w:lang w:val="en-US" w:eastAsia="zh-CN"/>
                    </w:rPr>
                    <w:t>主要实验内容</w:t>
                  </w:r>
                </w:p>
              </w:tc>
              <w:tc>
                <w:tcPr>
                  <w:tcW w:w="856" w:type="pct"/>
                  <w:tcBorders>
                    <w:tl2br w:val="nil"/>
                    <w:tr2bl w:val="nil"/>
                  </w:tcBorders>
                  <w:vAlign w:val="center"/>
                </w:tcPr>
                <w:p w14:paraId="1C9C56E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2"/>
                      <w:sz w:val="21"/>
                      <w:szCs w:val="21"/>
                      <w:lang w:val="en-US" w:eastAsia="zh-CN"/>
                    </w:rPr>
                  </w:pPr>
                  <w:r>
                    <w:rPr>
                      <w:rFonts w:hint="eastAsia" w:ascii="Times New Roman" w:hAnsi="Times New Roman" w:eastAsia="宋体" w:cs="Times New Roman"/>
                      <w:b/>
                      <w:bCs/>
                      <w:color w:val="auto"/>
                      <w:spacing w:val="2"/>
                      <w:sz w:val="21"/>
                      <w:szCs w:val="21"/>
                      <w:lang w:val="en-US" w:eastAsia="zh-CN"/>
                    </w:rPr>
                    <w:t>主要使用材料</w:t>
                  </w:r>
                </w:p>
              </w:tc>
              <w:tc>
                <w:tcPr>
                  <w:tcW w:w="675" w:type="pct"/>
                  <w:tcBorders>
                    <w:tl2br w:val="nil"/>
                    <w:tr2bl w:val="nil"/>
                  </w:tcBorders>
                  <w:vAlign w:val="center"/>
                </w:tcPr>
                <w:p w14:paraId="3A6D95E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宋体" w:hAnsi="宋体" w:eastAsia="宋体" w:cs="宋体"/>
                      <w:b/>
                      <w:bCs/>
                      <w:color w:val="auto"/>
                      <w:spacing w:val="5"/>
                      <w:sz w:val="21"/>
                      <w:szCs w:val="21"/>
                      <w:lang w:val="en-US" w:eastAsia="zh-CN"/>
                    </w:rPr>
                  </w:pPr>
                  <w:r>
                    <w:rPr>
                      <w:rFonts w:hint="eastAsia" w:ascii="宋体" w:hAnsi="宋体" w:eastAsia="宋体" w:cs="宋体"/>
                      <w:b/>
                      <w:bCs/>
                      <w:color w:val="auto"/>
                      <w:spacing w:val="5"/>
                      <w:sz w:val="21"/>
                      <w:szCs w:val="21"/>
                      <w:lang w:val="en-US" w:eastAsia="zh-CN"/>
                    </w:rPr>
                    <w:t>实验用具</w:t>
                  </w:r>
                </w:p>
              </w:tc>
              <w:tc>
                <w:tcPr>
                  <w:tcW w:w="537" w:type="pct"/>
                  <w:tcBorders>
                    <w:tl2br w:val="nil"/>
                    <w:tr2bl w:val="nil"/>
                  </w:tcBorders>
                  <w:vAlign w:val="center"/>
                </w:tcPr>
                <w:p w14:paraId="52058E0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宋体" w:hAnsi="宋体" w:eastAsia="宋体" w:cs="宋体"/>
                      <w:b/>
                      <w:bCs/>
                      <w:color w:val="auto"/>
                      <w:spacing w:val="2"/>
                      <w:sz w:val="21"/>
                      <w:szCs w:val="21"/>
                      <w:lang w:val="en-US" w:eastAsia="zh-CN"/>
                    </w:rPr>
                  </w:pPr>
                  <w:r>
                    <w:rPr>
                      <w:rFonts w:hint="eastAsia" w:ascii="宋体" w:hAnsi="宋体" w:eastAsia="宋体" w:cs="宋体"/>
                      <w:b/>
                      <w:bCs/>
                      <w:color w:val="auto"/>
                      <w:spacing w:val="2"/>
                      <w:sz w:val="21"/>
                      <w:szCs w:val="21"/>
                      <w:lang w:val="en-US" w:eastAsia="zh-CN"/>
                    </w:rPr>
                    <w:t>备注</w:t>
                  </w:r>
                </w:p>
              </w:tc>
            </w:tr>
            <w:tr w14:paraId="471102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6F82907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690" w:type="pct"/>
                  <w:tcBorders>
                    <w:tl2br w:val="nil"/>
                    <w:tr2bl w:val="nil"/>
                  </w:tcBorders>
                  <w:vAlign w:val="center"/>
                </w:tcPr>
                <w:p w14:paraId="0B193C7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学习使用</w:t>
                  </w:r>
                  <w:r>
                    <w:rPr>
                      <w:rFonts w:ascii="宋体" w:hAnsi="宋体" w:eastAsia="宋体" w:cs="宋体"/>
                      <w:color w:val="auto"/>
                      <w:spacing w:val="5"/>
                      <w:sz w:val="21"/>
                      <w:szCs w:val="21"/>
                    </w:rPr>
                    <w:t>显微镜</w:t>
                  </w:r>
                </w:p>
              </w:tc>
              <w:tc>
                <w:tcPr>
                  <w:tcW w:w="1769" w:type="pct"/>
                  <w:tcBorders>
                    <w:tl2br w:val="nil"/>
                    <w:tr2bl w:val="nil"/>
                  </w:tcBorders>
                  <w:vAlign w:val="center"/>
                </w:tcPr>
                <w:p w14:paraId="75B82E5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宋体" w:hAnsi="宋体" w:eastAsia="宋体" w:cs="宋体"/>
                      <w:color w:val="auto"/>
                      <w:spacing w:val="20"/>
                      <w:sz w:val="21"/>
                      <w:szCs w:val="21"/>
                    </w:rPr>
                    <w:t>在老师的指导下学习显微</w:t>
                  </w:r>
                  <w:r>
                    <w:rPr>
                      <w:rFonts w:ascii="宋体" w:hAnsi="宋体" w:eastAsia="宋体" w:cs="宋体"/>
                      <w:color w:val="auto"/>
                      <w:spacing w:val="2"/>
                      <w:sz w:val="21"/>
                      <w:szCs w:val="21"/>
                    </w:rPr>
                    <w:t>镜取放、对光、观察等基本</w:t>
                  </w:r>
                  <w:r>
                    <w:rPr>
                      <w:rFonts w:ascii="宋体" w:hAnsi="宋体" w:eastAsia="宋体" w:cs="宋体"/>
                      <w:color w:val="auto"/>
                      <w:spacing w:val="6"/>
                      <w:sz w:val="21"/>
                      <w:szCs w:val="21"/>
                    </w:rPr>
                    <w:t>操作知识。</w:t>
                  </w:r>
                </w:p>
              </w:tc>
              <w:tc>
                <w:tcPr>
                  <w:tcW w:w="856" w:type="pct"/>
                  <w:tcBorders>
                    <w:tl2br w:val="nil"/>
                    <w:tr2bl w:val="nil"/>
                  </w:tcBorders>
                  <w:vAlign w:val="center"/>
                </w:tcPr>
                <w:p w14:paraId="6222864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675" w:type="pct"/>
                  <w:tcBorders>
                    <w:tl2br w:val="nil"/>
                    <w:tr2bl w:val="nil"/>
                  </w:tcBorders>
                  <w:vAlign w:val="center"/>
                </w:tcPr>
                <w:p w14:paraId="01E43AA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显微镜</w:t>
                  </w:r>
                </w:p>
              </w:tc>
              <w:tc>
                <w:tcPr>
                  <w:tcW w:w="537" w:type="pct"/>
                  <w:tcBorders>
                    <w:tl2br w:val="nil"/>
                    <w:tr2bl w:val="nil"/>
                  </w:tcBorders>
                  <w:vAlign w:val="center"/>
                </w:tcPr>
                <w:p w14:paraId="4E89440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3483A4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47FA2F4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690" w:type="pct"/>
                  <w:tcBorders>
                    <w:tl2br w:val="nil"/>
                    <w:tr2bl w:val="nil"/>
                  </w:tcBorders>
                  <w:vAlign w:val="center"/>
                </w:tcPr>
                <w:p w14:paraId="27589A3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制作并观</w:t>
                  </w:r>
                  <w:r>
                    <w:rPr>
                      <w:rFonts w:ascii="宋体" w:hAnsi="宋体" w:eastAsia="宋体" w:cs="宋体"/>
                      <w:color w:val="auto"/>
                      <w:spacing w:val="6"/>
                      <w:sz w:val="21"/>
                      <w:szCs w:val="21"/>
                    </w:rPr>
                    <w:t>察植物细</w:t>
                  </w:r>
                  <w:r>
                    <w:rPr>
                      <w:rFonts w:ascii="宋体" w:hAnsi="宋体" w:eastAsia="宋体" w:cs="宋体"/>
                      <w:color w:val="auto"/>
                      <w:spacing w:val="7"/>
                      <w:sz w:val="21"/>
                      <w:szCs w:val="21"/>
                    </w:rPr>
                    <w:t>胞的临时</w:t>
                  </w:r>
                  <w:r>
                    <w:rPr>
                      <w:rFonts w:ascii="宋体" w:hAnsi="宋体" w:eastAsia="宋体" w:cs="宋体"/>
                      <w:color w:val="auto"/>
                      <w:spacing w:val="4"/>
                      <w:sz w:val="21"/>
                      <w:szCs w:val="21"/>
                    </w:rPr>
                    <w:t>装片</w:t>
                  </w:r>
                </w:p>
              </w:tc>
              <w:tc>
                <w:tcPr>
                  <w:tcW w:w="1769" w:type="pct"/>
                  <w:tcBorders>
                    <w:tl2br w:val="nil"/>
                    <w:tr2bl w:val="nil"/>
                  </w:tcBorders>
                  <w:vAlign w:val="center"/>
                </w:tcPr>
                <w:p w14:paraId="1E6EBA82">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6"/>
                      <w:sz w:val="21"/>
                      <w:szCs w:val="21"/>
                    </w:rPr>
                    <w:t>1</w:t>
                  </w:r>
                  <w:r>
                    <w:rPr>
                      <w:rFonts w:ascii="宋体" w:hAnsi="宋体" w:eastAsia="宋体" w:cs="宋体"/>
                      <w:color w:val="auto"/>
                      <w:spacing w:val="6"/>
                      <w:sz w:val="21"/>
                      <w:szCs w:val="21"/>
                    </w:rPr>
                    <w:t>、用洁净的纱布将载玻片</w:t>
                  </w:r>
                  <w:r>
                    <w:rPr>
                      <w:rFonts w:ascii="宋体" w:hAnsi="宋体" w:eastAsia="宋体" w:cs="宋体"/>
                      <w:color w:val="auto"/>
                      <w:spacing w:val="7"/>
                      <w:sz w:val="21"/>
                      <w:szCs w:val="21"/>
                    </w:rPr>
                    <w:t>和盖玻片擦拭干净；</w:t>
                  </w:r>
                </w:p>
                <w:p w14:paraId="210B809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2"/>
                      <w:sz w:val="21"/>
                      <w:szCs w:val="21"/>
                    </w:rPr>
                    <w:t>2</w:t>
                  </w:r>
                  <w:r>
                    <w:rPr>
                      <w:rFonts w:ascii="宋体" w:hAnsi="宋体" w:eastAsia="宋体" w:cs="宋体"/>
                      <w:color w:val="auto"/>
                      <w:spacing w:val="-2"/>
                      <w:sz w:val="21"/>
                      <w:szCs w:val="21"/>
                    </w:rPr>
                    <w:t>、将载玻片放在实验台上，</w:t>
                  </w:r>
                  <w:r>
                    <w:rPr>
                      <w:rFonts w:ascii="宋体" w:hAnsi="宋体" w:eastAsia="宋体" w:cs="宋体"/>
                      <w:color w:val="auto"/>
                      <w:spacing w:val="20"/>
                      <w:sz w:val="21"/>
                      <w:szCs w:val="21"/>
                    </w:rPr>
                    <w:t>用滴管在载玻片的中央滴</w:t>
                  </w:r>
                  <w:r>
                    <w:rPr>
                      <w:rFonts w:ascii="宋体" w:hAnsi="宋体" w:eastAsia="宋体" w:cs="宋体"/>
                      <w:color w:val="auto"/>
                      <w:spacing w:val="5"/>
                      <w:sz w:val="21"/>
                      <w:szCs w:val="21"/>
                    </w:rPr>
                    <w:t>一滴清水；</w:t>
                  </w:r>
                </w:p>
                <w:p w14:paraId="369B784B">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3</w:t>
                  </w:r>
                  <w:r>
                    <w:rPr>
                      <w:rFonts w:ascii="宋体" w:hAnsi="宋体" w:eastAsia="宋体" w:cs="宋体"/>
                      <w:color w:val="auto"/>
                      <w:spacing w:val="8"/>
                      <w:sz w:val="21"/>
                      <w:szCs w:val="21"/>
                    </w:rPr>
                    <w:t>、用镊子从洋葱鳞片叶内</w:t>
                  </w:r>
                  <w:r>
                    <w:rPr>
                      <w:rFonts w:ascii="宋体" w:hAnsi="宋体" w:eastAsia="宋体" w:cs="宋体"/>
                      <w:color w:val="auto"/>
                      <w:spacing w:val="43"/>
                      <w:sz w:val="21"/>
                      <w:szCs w:val="21"/>
                    </w:rPr>
                    <w:t>侧撕取一小块透明薄膜</w:t>
                  </w:r>
                  <w:r>
                    <w:rPr>
                      <w:rFonts w:ascii="宋体" w:hAnsi="宋体" w:eastAsia="宋体" w:cs="宋体"/>
                      <w:color w:val="auto"/>
                      <w:spacing w:val="2"/>
                      <w:sz w:val="21"/>
                      <w:szCs w:val="21"/>
                    </w:rPr>
                    <w:t>内表皮。把撕下的内表</w:t>
                  </w:r>
                  <w:r>
                    <w:rPr>
                      <w:rFonts w:ascii="宋体" w:hAnsi="宋体" w:eastAsia="宋体" w:cs="宋体"/>
                      <w:color w:val="auto"/>
                      <w:spacing w:val="5"/>
                      <w:sz w:val="21"/>
                      <w:szCs w:val="21"/>
                    </w:rPr>
                    <w:t>皮浸入载玻片上的水滴中，</w:t>
                  </w:r>
                  <w:r>
                    <w:rPr>
                      <w:rFonts w:ascii="宋体" w:hAnsi="宋体" w:eastAsia="宋体" w:cs="宋体"/>
                      <w:color w:val="auto"/>
                      <w:spacing w:val="8"/>
                      <w:sz w:val="21"/>
                      <w:szCs w:val="21"/>
                    </w:rPr>
                    <w:t>并用镊子将它展平；</w:t>
                  </w:r>
                </w:p>
                <w:p w14:paraId="222CE7B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4</w:t>
                  </w:r>
                  <w:r>
                    <w:rPr>
                      <w:rFonts w:ascii="宋体" w:hAnsi="宋体" w:eastAsia="宋体" w:cs="宋体"/>
                      <w:color w:val="auto"/>
                      <w:spacing w:val="8"/>
                      <w:sz w:val="21"/>
                      <w:szCs w:val="21"/>
                    </w:rPr>
                    <w:t>、用镊子夹起盖玻片，使</w:t>
                  </w:r>
                  <w:r>
                    <w:rPr>
                      <w:rFonts w:ascii="宋体" w:hAnsi="宋体" w:eastAsia="宋体" w:cs="宋体"/>
                      <w:color w:val="auto"/>
                      <w:spacing w:val="20"/>
                      <w:sz w:val="21"/>
                      <w:szCs w:val="21"/>
                    </w:rPr>
                    <w:t>它的一边先接触载玻片上</w:t>
                  </w:r>
                  <w:r>
                    <w:rPr>
                      <w:rFonts w:ascii="宋体" w:hAnsi="宋体" w:eastAsia="宋体" w:cs="宋体"/>
                      <w:color w:val="auto"/>
                      <w:spacing w:val="5"/>
                      <w:sz w:val="21"/>
                      <w:szCs w:val="21"/>
                    </w:rPr>
                    <w:t>的水滴，然后缓缓地放下，</w:t>
                  </w:r>
                  <w:r>
                    <w:rPr>
                      <w:rFonts w:ascii="宋体" w:hAnsi="宋体" w:eastAsia="宋体" w:cs="宋体"/>
                      <w:color w:val="auto"/>
                      <w:spacing w:val="20"/>
                      <w:sz w:val="21"/>
                      <w:szCs w:val="21"/>
                    </w:rPr>
                    <w:t>盖在要观察的洋葱内表皮上，避免盖玻片下出现气</w:t>
                  </w:r>
                  <w:r>
                    <w:rPr>
                      <w:rFonts w:ascii="宋体" w:hAnsi="宋体" w:eastAsia="宋体" w:cs="宋体"/>
                      <w:color w:val="auto"/>
                      <w:spacing w:val="-1"/>
                      <w:sz w:val="21"/>
                      <w:szCs w:val="21"/>
                    </w:rPr>
                    <w:t>泡。</w:t>
                  </w:r>
                </w:p>
                <w:p w14:paraId="49BB06DB">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5</w:t>
                  </w:r>
                  <w:r>
                    <w:rPr>
                      <w:rFonts w:ascii="宋体" w:hAnsi="宋体" w:eastAsia="宋体" w:cs="宋体"/>
                      <w:color w:val="auto"/>
                      <w:spacing w:val="8"/>
                      <w:sz w:val="21"/>
                      <w:szCs w:val="21"/>
                    </w:rPr>
                    <w:t>、把一滴碘液滴在盖玻片</w:t>
                  </w:r>
                  <w:r>
                    <w:rPr>
                      <w:rFonts w:ascii="宋体" w:hAnsi="宋体" w:eastAsia="宋体" w:cs="宋体"/>
                      <w:color w:val="auto"/>
                      <w:spacing w:val="1"/>
                      <w:sz w:val="21"/>
                      <w:szCs w:val="21"/>
                    </w:rPr>
                    <w:t>的一侧。用吸水纸从盖玻片</w:t>
                  </w:r>
                  <w:r>
                    <w:rPr>
                      <w:rFonts w:ascii="宋体" w:hAnsi="宋体" w:eastAsia="宋体" w:cs="宋体"/>
                      <w:color w:val="auto"/>
                      <w:spacing w:val="2"/>
                      <w:sz w:val="21"/>
                      <w:szCs w:val="21"/>
                    </w:rPr>
                    <w:t>的另一侧吸引，使碘液浸润</w:t>
                  </w:r>
                  <w:r>
                    <w:rPr>
                      <w:rFonts w:ascii="宋体" w:hAnsi="宋体" w:eastAsia="宋体" w:cs="宋体"/>
                      <w:color w:val="auto"/>
                      <w:spacing w:val="6"/>
                      <w:sz w:val="21"/>
                      <w:szCs w:val="21"/>
                    </w:rPr>
                    <w:t>标本的全部。</w:t>
                  </w:r>
                </w:p>
                <w:p w14:paraId="77A430A9">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6</w:t>
                  </w:r>
                  <w:r>
                    <w:rPr>
                      <w:rFonts w:ascii="宋体" w:hAnsi="宋体" w:eastAsia="宋体" w:cs="宋体"/>
                      <w:color w:val="auto"/>
                      <w:spacing w:val="8"/>
                      <w:sz w:val="21"/>
                      <w:szCs w:val="21"/>
                    </w:rPr>
                    <w:t>、使用显微镜观察临时装</w:t>
                  </w:r>
                  <w:r>
                    <w:rPr>
                      <w:rFonts w:ascii="宋体" w:hAnsi="宋体" w:eastAsia="宋体" w:cs="宋体"/>
                      <w:color w:val="auto"/>
                      <w:spacing w:val="-3"/>
                      <w:sz w:val="21"/>
                      <w:szCs w:val="21"/>
                    </w:rPr>
                    <w:t>片。</w:t>
                  </w:r>
                </w:p>
              </w:tc>
              <w:tc>
                <w:tcPr>
                  <w:tcW w:w="856" w:type="pct"/>
                  <w:tcBorders>
                    <w:tl2br w:val="nil"/>
                    <w:tr2bl w:val="nil"/>
                  </w:tcBorders>
                  <w:vAlign w:val="center"/>
                </w:tcPr>
                <w:p w14:paraId="1FFB33E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10"/>
                      <w:sz w:val="21"/>
                      <w:szCs w:val="21"/>
                    </w:rPr>
                    <w:t>洋葱、蒸馏水、</w:t>
                  </w:r>
                  <w:r>
                    <w:rPr>
                      <w:rFonts w:ascii="宋体" w:hAnsi="宋体" w:eastAsia="宋体" w:cs="宋体"/>
                      <w:color w:val="auto"/>
                      <w:spacing w:val="5"/>
                      <w:sz w:val="21"/>
                      <w:szCs w:val="21"/>
                    </w:rPr>
                    <w:t>碘液</w:t>
                  </w:r>
                </w:p>
              </w:tc>
              <w:tc>
                <w:tcPr>
                  <w:tcW w:w="675" w:type="pct"/>
                  <w:tcBorders>
                    <w:tl2br w:val="nil"/>
                    <w:tr2bl w:val="nil"/>
                  </w:tcBorders>
                  <w:vAlign w:val="center"/>
                </w:tcPr>
                <w:p w14:paraId="317A972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4"/>
                      <w:sz w:val="21"/>
                      <w:szCs w:val="21"/>
                    </w:rPr>
                    <w:t>载玻片、</w:t>
                  </w:r>
                  <w:r>
                    <w:rPr>
                      <w:rFonts w:ascii="宋体" w:hAnsi="宋体" w:eastAsia="宋体" w:cs="宋体"/>
                      <w:color w:val="auto"/>
                      <w:spacing w:val="10"/>
                      <w:sz w:val="21"/>
                      <w:szCs w:val="21"/>
                    </w:rPr>
                    <w:t>盖玻片、</w:t>
                  </w:r>
                  <w:r>
                    <w:rPr>
                      <w:rFonts w:ascii="宋体" w:hAnsi="宋体" w:eastAsia="宋体" w:cs="宋体"/>
                      <w:color w:val="auto"/>
                      <w:spacing w:val="9"/>
                      <w:sz w:val="21"/>
                      <w:szCs w:val="21"/>
                    </w:rPr>
                    <w:t>滴管、镊</w:t>
                  </w:r>
                  <w:r>
                    <w:rPr>
                      <w:rFonts w:ascii="宋体" w:hAnsi="宋体" w:eastAsia="宋体" w:cs="宋体"/>
                      <w:color w:val="auto"/>
                      <w:spacing w:val="-17"/>
                      <w:sz w:val="21"/>
                      <w:szCs w:val="21"/>
                    </w:rPr>
                    <w:t>子、刀片、</w:t>
                  </w:r>
                  <w:r>
                    <w:rPr>
                      <w:rFonts w:ascii="宋体" w:hAnsi="宋体" w:eastAsia="宋体" w:cs="宋体"/>
                      <w:color w:val="auto"/>
                      <w:spacing w:val="7"/>
                      <w:sz w:val="21"/>
                      <w:szCs w:val="21"/>
                    </w:rPr>
                    <w:t>显微镜、</w:t>
                  </w:r>
                </w:p>
              </w:tc>
              <w:tc>
                <w:tcPr>
                  <w:tcW w:w="537" w:type="pct"/>
                  <w:tcBorders>
                    <w:tl2br w:val="nil"/>
                    <w:tr2bl w:val="nil"/>
                  </w:tcBorders>
                  <w:vAlign w:val="center"/>
                </w:tcPr>
                <w:p w14:paraId="12BD337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7DBD11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7523AFE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690" w:type="pct"/>
                  <w:tcBorders>
                    <w:tl2br w:val="nil"/>
                    <w:tr2bl w:val="nil"/>
                  </w:tcBorders>
                  <w:vAlign w:val="center"/>
                </w:tcPr>
                <w:p w14:paraId="556A1B7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观察人的</w:t>
                  </w:r>
                  <w:r>
                    <w:rPr>
                      <w:rFonts w:ascii="宋体" w:hAnsi="宋体" w:eastAsia="宋体" w:cs="宋体"/>
                      <w:color w:val="auto"/>
                      <w:spacing w:val="-1"/>
                      <w:sz w:val="21"/>
                      <w:szCs w:val="21"/>
                    </w:rPr>
                    <w:t>口腔上皮</w:t>
                  </w:r>
                  <w:r>
                    <w:rPr>
                      <w:rFonts w:ascii="宋体" w:hAnsi="宋体" w:eastAsia="宋体" w:cs="宋体"/>
                      <w:color w:val="auto"/>
                      <w:spacing w:val="4"/>
                      <w:sz w:val="21"/>
                      <w:szCs w:val="21"/>
                    </w:rPr>
                    <w:t>细胞</w:t>
                  </w:r>
                </w:p>
              </w:tc>
              <w:tc>
                <w:tcPr>
                  <w:tcW w:w="1769" w:type="pct"/>
                  <w:tcBorders>
                    <w:tl2br w:val="nil"/>
                    <w:tr2bl w:val="nil"/>
                  </w:tcBorders>
                  <w:vAlign w:val="center"/>
                </w:tcPr>
                <w:p w14:paraId="2B1DAE5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7"/>
                      <w:sz w:val="21"/>
                      <w:szCs w:val="21"/>
                    </w:rPr>
                    <w:t>1.</w:t>
                  </w:r>
                  <w:r>
                    <w:rPr>
                      <w:rFonts w:ascii="宋体" w:hAnsi="宋体" w:eastAsia="宋体" w:cs="宋体"/>
                      <w:color w:val="auto"/>
                      <w:spacing w:val="7"/>
                      <w:sz w:val="21"/>
                      <w:szCs w:val="21"/>
                    </w:rPr>
                    <w:t>用洁净的纱布将载玻片和盖玻片擦拭干。</w:t>
                  </w:r>
                </w:p>
                <w:p w14:paraId="05BEE11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21"/>
                      <w:sz w:val="21"/>
                      <w:szCs w:val="21"/>
                    </w:rPr>
                    <w:t>2.</w:t>
                  </w:r>
                  <w:r>
                    <w:rPr>
                      <w:rFonts w:ascii="宋体" w:hAnsi="宋体" w:eastAsia="宋体" w:cs="宋体"/>
                      <w:color w:val="auto"/>
                      <w:spacing w:val="21"/>
                      <w:sz w:val="21"/>
                      <w:szCs w:val="21"/>
                    </w:rPr>
                    <w:t>在载玻片中央滴一滴生</w:t>
                  </w:r>
                  <w:r>
                    <w:rPr>
                      <w:rFonts w:ascii="宋体" w:hAnsi="宋体" w:eastAsia="宋体" w:cs="宋体"/>
                      <w:color w:val="auto"/>
                      <w:spacing w:val="4"/>
                      <w:sz w:val="21"/>
                      <w:szCs w:val="21"/>
                    </w:rPr>
                    <w:t>理盐水。</w:t>
                  </w:r>
                </w:p>
                <w:p w14:paraId="38C0B967">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5"/>
                      <w:sz w:val="21"/>
                      <w:szCs w:val="21"/>
                    </w:rPr>
                    <w:t>3.</w:t>
                  </w:r>
                  <w:r>
                    <w:rPr>
                      <w:rFonts w:ascii="宋体" w:hAnsi="宋体" w:eastAsia="宋体" w:cs="宋体"/>
                      <w:color w:val="auto"/>
                      <w:spacing w:val="5"/>
                      <w:sz w:val="21"/>
                      <w:szCs w:val="21"/>
                    </w:rPr>
                    <w:t>漱口，用消毒牙签在口腔</w:t>
                  </w:r>
                  <w:r>
                    <w:rPr>
                      <w:rFonts w:ascii="宋体" w:hAnsi="宋体" w:eastAsia="宋体" w:cs="宋体"/>
                      <w:color w:val="auto"/>
                      <w:spacing w:val="1"/>
                      <w:sz w:val="21"/>
                      <w:szCs w:val="21"/>
                    </w:rPr>
                    <w:t>内侧壁轻刮几下，把牙签附</w:t>
                  </w:r>
                  <w:r>
                    <w:rPr>
                      <w:rFonts w:ascii="宋体" w:hAnsi="宋体" w:eastAsia="宋体" w:cs="宋体"/>
                      <w:color w:val="auto"/>
                      <w:spacing w:val="20"/>
                      <w:sz w:val="21"/>
                      <w:szCs w:val="21"/>
                    </w:rPr>
                    <w:t>有碎屑的一端放在载玻片上的生理盐水中，轻涂几</w:t>
                  </w:r>
                  <w:r>
                    <w:rPr>
                      <w:rFonts w:ascii="宋体" w:hAnsi="宋体" w:eastAsia="宋体" w:cs="宋体"/>
                      <w:color w:val="auto"/>
                      <w:sz w:val="21"/>
                      <w:szCs w:val="21"/>
                    </w:rPr>
                    <w:t>下。</w:t>
                  </w:r>
                </w:p>
                <w:p w14:paraId="380F70AC">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6"/>
                      <w:sz w:val="21"/>
                      <w:szCs w:val="21"/>
                    </w:rPr>
                    <w:t>4.</w:t>
                  </w:r>
                  <w:r>
                    <w:rPr>
                      <w:rFonts w:ascii="宋体" w:hAnsi="宋体" w:eastAsia="宋体" w:cs="宋体"/>
                      <w:color w:val="auto"/>
                      <w:spacing w:val="6"/>
                      <w:sz w:val="21"/>
                      <w:szCs w:val="21"/>
                    </w:rPr>
                    <w:t>用镊子夹起盖玻片，使它</w:t>
                  </w:r>
                  <w:r>
                    <w:rPr>
                      <w:rFonts w:ascii="宋体" w:hAnsi="宋体" w:eastAsia="宋体" w:cs="宋体"/>
                      <w:color w:val="auto"/>
                      <w:spacing w:val="20"/>
                      <w:sz w:val="21"/>
                      <w:szCs w:val="21"/>
                    </w:rPr>
                    <w:t>的一边先接触载玻片上的</w:t>
                  </w:r>
                  <w:r>
                    <w:rPr>
                      <w:rFonts w:ascii="宋体" w:hAnsi="宋体" w:eastAsia="宋体" w:cs="宋体"/>
                      <w:color w:val="auto"/>
                      <w:spacing w:val="2"/>
                      <w:sz w:val="21"/>
                      <w:szCs w:val="21"/>
                    </w:rPr>
                    <w:t>水滴，再将盖玻片缓缓放平</w:t>
                  </w:r>
                  <w:r>
                    <w:rPr>
                      <w:rFonts w:ascii="宋体" w:hAnsi="宋体" w:eastAsia="宋体" w:cs="宋体"/>
                      <w:color w:val="auto"/>
                      <w:spacing w:val="6"/>
                      <w:sz w:val="21"/>
                      <w:szCs w:val="21"/>
                    </w:rPr>
                    <w:t>盖在水滴上。</w:t>
                  </w:r>
                </w:p>
                <w:p w14:paraId="3AD6437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20"/>
                      <w:sz w:val="21"/>
                      <w:szCs w:val="21"/>
                    </w:rPr>
                    <w:t>5.</w:t>
                  </w:r>
                  <w:r>
                    <w:rPr>
                      <w:rFonts w:ascii="Times New Roman" w:hAnsi="Times New Roman" w:eastAsia="Times New Roman" w:cs="Times New Roman"/>
                      <w:color w:val="auto"/>
                      <w:spacing w:val="-20"/>
                      <w:sz w:val="21"/>
                      <w:szCs w:val="21"/>
                    </w:rPr>
                    <w:t xml:space="preserve"> </w:t>
                  </w:r>
                  <w:r>
                    <w:rPr>
                      <w:rFonts w:ascii="宋体" w:hAnsi="宋体" w:eastAsia="宋体" w:cs="宋体"/>
                      <w:color w:val="auto"/>
                      <w:spacing w:val="20"/>
                      <w:sz w:val="21"/>
                      <w:szCs w:val="21"/>
                    </w:rPr>
                    <w:t>在盖玻片的一侧滴加几</w:t>
                  </w:r>
                  <w:r>
                    <w:rPr>
                      <w:rFonts w:ascii="宋体" w:hAnsi="宋体" w:eastAsia="宋体" w:cs="宋体"/>
                      <w:color w:val="auto"/>
                      <w:spacing w:val="2"/>
                      <w:sz w:val="21"/>
                      <w:szCs w:val="21"/>
                    </w:rPr>
                    <w:t>滴稀碘液，用吸水纸在盖玻</w:t>
                  </w:r>
                  <w:r>
                    <w:rPr>
                      <w:rFonts w:ascii="宋体" w:hAnsi="宋体" w:eastAsia="宋体" w:cs="宋体"/>
                      <w:color w:val="auto"/>
                      <w:spacing w:val="1"/>
                      <w:sz w:val="21"/>
                      <w:szCs w:val="21"/>
                    </w:rPr>
                    <w:t>片的另一侧吸引，使碘液浸</w:t>
                  </w:r>
                  <w:r>
                    <w:rPr>
                      <w:rFonts w:ascii="宋体" w:hAnsi="宋体" w:eastAsia="宋体" w:cs="宋体"/>
                      <w:color w:val="auto"/>
                      <w:spacing w:val="5"/>
                      <w:sz w:val="21"/>
                      <w:szCs w:val="21"/>
                    </w:rPr>
                    <w:t>润标本的全部。</w:t>
                  </w:r>
                  <w:r>
                    <w:rPr>
                      <w:rFonts w:ascii="Times New Roman" w:hAnsi="Times New Roman" w:eastAsia="Times New Roman" w:cs="Times New Roman"/>
                      <w:color w:val="auto"/>
                      <w:spacing w:val="5"/>
                      <w:sz w:val="21"/>
                      <w:szCs w:val="21"/>
                    </w:rPr>
                    <w:t>6.</w:t>
                  </w:r>
                  <w:r>
                    <w:rPr>
                      <w:rFonts w:ascii="宋体" w:hAnsi="宋体" w:eastAsia="宋体" w:cs="宋体"/>
                      <w:color w:val="auto"/>
                      <w:spacing w:val="5"/>
                      <w:sz w:val="21"/>
                      <w:szCs w:val="21"/>
                    </w:rPr>
                    <w:t>使用显微</w:t>
                  </w:r>
                  <w:r>
                    <w:rPr>
                      <w:rFonts w:ascii="宋体" w:hAnsi="宋体" w:eastAsia="宋体" w:cs="宋体"/>
                      <w:color w:val="auto"/>
                      <w:spacing w:val="8"/>
                      <w:sz w:val="21"/>
                      <w:szCs w:val="21"/>
                    </w:rPr>
                    <w:t>镜观察临时装片</w:t>
                  </w:r>
                </w:p>
              </w:tc>
              <w:tc>
                <w:tcPr>
                  <w:tcW w:w="856" w:type="pct"/>
                  <w:tcBorders>
                    <w:tl2br w:val="nil"/>
                    <w:tr2bl w:val="nil"/>
                  </w:tcBorders>
                  <w:vAlign w:val="center"/>
                </w:tcPr>
                <w:p w14:paraId="2063C0C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生理盐水</w:t>
                  </w:r>
                </w:p>
              </w:tc>
              <w:tc>
                <w:tcPr>
                  <w:tcW w:w="675" w:type="pct"/>
                  <w:tcBorders>
                    <w:tl2br w:val="nil"/>
                    <w:tr2bl w:val="nil"/>
                  </w:tcBorders>
                  <w:vAlign w:val="center"/>
                </w:tcPr>
                <w:p w14:paraId="56BADD6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4"/>
                      <w:sz w:val="21"/>
                      <w:szCs w:val="21"/>
                    </w:rPr>
                    <w:t>载玻片、</w:t>
                  </w:r>
                  <w:r>
                    <w:rPr>
                      <w:rFonts w:ascii="宋体" w:hAnsi="宋体" w:eastAsia="宋体" w:cs="宋体"/>
                      <w:color w:val="auto"/>
                      <w:spacing w:val="10"/>
                      <w:sz w:val="21"/>
                      <w:szCs w:val="21"/>
                    </w:rPr>
                    <w:t>盖玻片、</w:t>
                  </w:r>
                  <w:r>
                    <w:rPr>
                      <w:rFonts w:ascii="宋体" w:hAnsi="宋体" w:eastAsia="宋体" w:cs="宋体"/>
                      <w:color w:val="auto"/>
                      <w:spacing w:val="9"/>
                      <w:sz w:val="21"/>
                      <w:szCs w:val="21"/>
                    </w:rPr>
                    <w:t>滴管、镊</w:t>
                  </w:r>
                  <w:r>
                    <w:rPr>
                      <w:rFonts w:ascii="宋体" w:hAnsi="宋体" w:eastAsia="宋体" w:cs="宋体"/>
                      <w:color w:val="auto"/>
                      <w:spacing w:val="-17"/>
                      <w:sz w:val="21"/>
                      <w:szCs w:val="21"/>
                    </w:rPr>
                    <w:t>子、刀片、</w:t>
                  </w:r>
                  <w:r>
                    <w:rPr>
                      <w:rFonts w:ascii="宋体" w:hAnsi="宋体" w:eastAsia="宋体" w:cs="宋体"/>
                      <w:color w:val="auto"/>
                      <w:spacing w:val="13"/>
                      <w:sz w:val="21"/>
                      <w:szCs w:val="21"/>
                    </w:rPr>
                    <w:t>显微镜、</w:t>
                  </w:r>
                  <w:r>
                    <w:rPr>
                      <w:rFonts w:ascii="宋体" w:hAnsi="宋体" w:eastAsia="宋体" w:cs="宋体"/>
                      <w:color w:val="auto"/>
                      <w:spacing w:val="9"/>
                      <w:sz w:val="21"/>
                      <w:szCs w:val="21"/>
                    </w:rPr>
                    <w:t>消毒牙签</w:t>
                  </w:r>
                </w:p>
              </w:tc>
              <w:tc>
                <w:tcPr>
                  <w:tcW w:w="537" w:type="pct"/>
                  <w:tcBorders>
                    <w:tl2br w:val="nil"/>
                    <w:tr2bl w:val="nil"/>
                  </w:tcBorders>
                  <w:vAlign w:val="center"/>
                </w:tcPr>
                <w:p w14:paraId="4745F81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老师</w:t>
                  </w:r>
                  <w:r>
                    <w:rPr>
                      <w:rFonts w:ascii="宋体" w:hAnsi="宋体" w:eastAsia="宋体" w:cs="宋体"/>
                      <w:color w:val="auto"/>
                      <w:spacing w:val="4"/>
                      <w:sz w:val="21"/>
                      <w:szCs w:val="21"/>
                    </w:rPr>
                    <w:t>演示</w:t>
                  </w:r>
                </w:p>
              </w:tc>
            </w:tr>
            <w:tr w14:paraId="72D076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749B5E3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4</w:t>
                  </w:r>
                </w:p>
              </w:tc>
              <w:tc>
                <w:tcPr>
                  <w:tcW w:w="690" w:type="pct"/>
                  <w:tcBorders>
                    <w:tl2br w:val="nil"/>
                    <w:tr2bl w:val="nil"/>
                  </w:tcBorders>
                  <w:vAlign w:val="center"/>
                </w:tcPr>
                <w:p w14:paraId="09B2B46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观察草履</w:t>
                  </w:r>
                  <w:r>
                    <w:rPr>
                      <w:rFonts w:ascii="宋体" w:hAnsi="宋体" w:eastAsia="宋体" w:cs="宋体"/>
                      <w:color w:val="auto"/>
                      <w:spacing w:val="5"/>
                      <w:sz w:val="21"/>
                      <w:szCs w:val="21"/>
                    </w:rPr>
                    <w:t>虫或变形</w:t>
                  </w:r>
                  <w:r>
                    <w:rPr>
                      <w:rFonts w:ascii="宋体" w:hAnsi="宋体" w:eastAsia="宋体" w:cs="宋体"/>
                      <w:color w:val="auto"/>
                      <w:sz w:val="21"/>
                      <w:szCs w:val="21"/>
                    </w:rPr>
                    <w:t>虫</w:t>
                  </w:r>
                </w:p>
              </w:tc>
              <w:tc>
                <w:tcPr>
                  <w:tcW w:w="1769" w:type="pct"/>
                  <w:tcBorders>
                    <w:tl2br w:val="nil"/>
                    <w:tr2bl w:val="nil"/>
                  </w:tcBorders>
                  <w:vAlign w:val="center"/>
                </w:tcPr>
                <w:p w14:paraId="561DA6A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9"/>
                      <w:sz w:val="21"/>
                      <w:szCs w:val="21"/>
                    </w:rPr>
                    <w:t>1.</w:t>
                  </w:r>
                  <w:r>
                    <w:rPr>
                      <w:rFonts w:ascii="宋体" w:hAnsi="宋体" w:eastAsia="宋体" w:cs="宋体"/>
                      <w:color w:val="auto"/>
                      <w:spacing w:val="19"/>
                      <w:sz w:val="21"/>
                      <w:szCs w:val="21"/>
                    </w:rPr>
                    <w:t>从草履虫培养液中吸取</w:t>
                  </w:r>
                  <w:r>
                    <w:rPr>
                      <w:rFonts w:ascii="宋体" w:hAnsi="宋体" w:eastAsia="宋体" w:cs="宋体"/>
                      <w:color w:val="auto"/>
                      <w:spacing w:val="1"/>
                      <w:sz w:val="21"/>
                      <w:szCs w:val="21"/>
                    </w:rPr>
                    <w:t>一滴，放在载玻片上，用肉</w:t>
                  </w:r>
                  <w:r>
                    <w:rPr>
                      <w:rFonts w:ascii="宋体" w:hAnsi="宋体" w:eastAsia="宋体" w:cs="宋体"/>
                      <w:color w:val="auto"/>
                      <w:spacing w:val="7"/>
                      <w:sz w:val="21"/>
                      <w:szCs w:val="21"/>
                    </w:rPr>
                    <w:t>眼和放大镜观察草履虫。</w:t>
                  </w:r>
                </w:p>
                <w:p w14:paraId="618F1D69">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7"/>
                      <w:sz w:val="21"/>
                      <w:szCs w:val="21"/>
                    </w:rPr>
                    <w:t>2.</w:t>
                  </w:r>
                  <w:r>
                    <w:rPr>
                      <w:rFonts w:ascii="宋体" w:hAnsi="宋体" w:eastAsia="宋体" w:cs="宋体"/>
                      <w:color w:val="auto"/>
                      <w:spacing w:val="17"/>
                      <w:sz w:val="21"/>
                      <w:szCs w:val="21"/>
                    </w:rPr>
                    <w:t>盖上盖玻片</w:t>
                  </w:r>
                  <w:r>
                    <w:rPr>
                      <w:rFonts w:ascii="宋体" w:hAnsi="宋体" w:eastAsia="宋体" w:cs="宋体"/>
                      <w:color w:val="auto"/>
                      <w:spacing w:val="-56"/>
                      <w:sz w:val="21"/>
                      <w:szCs w:val="21"/>
                    </w:rPr>
                    <w:t xml:space="preserve"> </w:t>
                  </w:r>
                  <w:r>
                    <w:rPr>
                      <w:rFonts w:ascii="宋体" w:hAnsi="宋体" w:eastAsia="宋体" w:cs="宋体"/>
                      <w:color w:val="auto"/>
                      <w:spacing w:val="17"/>
                      <w:sz w:val="21"/>
                      <w:szCs w:val="21"/>
                    </w:rPr>
                    <w:t>，观察其运</w:t>
                  </w:r>
                  <w:r>
                    <w:rPr>
                      <w:rFonts w:ascii="宋体" w:hAnsi="宋体" w:eastAsia="宋体" w:cs="宋体"/>
                      <w:color w:val="auto"/>
                      <w:spacing w:val="2"/>
                      <w:sz w:val="21"/>
                      <w:szCs w:val="21"/>
                    </w:rPr>
                    <w:t>动。如果运动过快，可以在</w:t>
                  </w:r>
                  <w:r>
                    <w:rPr>
                      <w:rFonts w:ascii="宋体" w:hAnsi="宋体" w:eastAsia="宋体" w:cs="宋体"/>
                      <w:color w:val="auto"/>
                      <w:spacing w:val="20"/>
                      <w:sz w:val="21"/>
                      <w:szCs w:val="21"/>
                    </w:rPr>
                    <w:t>培养液上放几丝棉花纤维</w:t>
                  </w:r>
                  <w:r>
                    <w:rPr>
                      <w:rFonts w:ascii="宋体" w:hAnsi="宋体" w:eastAsia="宋体" w:cs="宋体"/>
                      <w:color w:val="auto"/>
                      <w:spacing w:val="7"/>
                      <w:sz w:val="21"/>
                      <w:szCs w:val="21"/>
                    </w:rPr>
                    <w:t>来限制运动速度。</w:t>
                  </w:r>
                </w:p>
                <w:p w14:paraId="75E8CFA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20"/>
                      <w:sz w:val="21"/>
                      <w:szCs w:val="21"/>
                    </w:rPr>
                    <w:t>3.</w:t>
                  </w:r>
                  <w:r>
                    <w:rPr>
                      <w:rFonts w:ascii="宋体" w:hAnsi="宋体" w:eastAsia="宋体" w:cs="宋体"/>
                      <w:color w:val="auto"/>
                      <w:spacing w:val="20"/>
                      <w:sz w:val="21"/>
                      <w:szCs w:val="21"/>
                    </w:rPr>
                    <w:t>用显微镜观察草履虫的</w:t>
                  </w:r>
                  <w:r>
                    <w:rPr>
                      <w:rFonts w:ascii="宋体" w:hAnsi="宋体" w:eastAsia="宋体" w:cs="宋体"/>
                      <w:color w:val="auto"/>
                      <w:spacing w:val="7"/>
                      <w:sz w:val="21"/>
                      <w:szCs w:val="21"/>
                    </w:rPr>
                    <w:t>外形、运动方式和反应。</w:t>
                  </w:r>
                </w:p>
              </w:tc>
              <w:tc>
                <w:tcPr>
                  <w:tcW w:w="856" w:type="pct"/>
                  <w:tcBorders>
                    <w:tl2br w:val="nil"/>
                    <w:tr2bl w:val="nil"/>
                  </w:tcBorders>
                  <w:vAlign w:val="center"/>
                </w:tcPr>
                <w:p w14:paraId="62E35B1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草履虫</w:t>
                  </w:r>
                </w:p>
              </w:tc>
              <w:tc>
                <w:tcPr>
                  <w:tcW w:w="675" w:type="pct"/>
                  <w:tcBorders>
                    <w:tl2br w:val="nil"/>
                    <w:tr2bl w:val="nil"/>
                  </w:tcBorders>
                  <w:vAlign w:val="center"/>
                </w:tcPr>
                <w:p w14:paraId="2BF2838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4"/>
                      <w:sz w:val="21"/>
                      <w:szCs w:val="21"/>
                    </w:rPr>
                    <w:t>载玻片、盖玻片、</w:t>
                  </w:r>
                  <w:r>
                    <w:rPr>
                      <w:rFonts w:ascii="宋体" w:hAnsi="宋体" w:eastAsia="宋体" w:cs="宋体"/>
                      <w:color w:val="auto"/>
                      <w:spacing w:val="6"/>
                      <w:sz w:val="21"/>
                      <w:szCs w:val="21"/>
                    </w:rPr>
                    <w:t>滴管、放</w:t>
                  </w:r>
                  <w:r>
                    <w:rPr>
                      <w:rFonts w:ascii="宋体" w:hAnsi="宋体" w:eastAsia="宋体" w:cs="宋体"/>
                      <w:color w:val="auto"/>
                      <w:spacing w:val="7"/>
                      <w:sz w:val="21"/>
                      <w:szCs w:val="21"/>
                    </w:rPr>
                    <w:t>大镜、显</w:t>
                  </w:r>
                  <w:r>
                    <w:rPr>
                      <w:rFonts w:ascii="宋体" w:hAnsi="宋体" w:eastAsia="宋体" w:cs="宋体"/>
                      <w:color w:val="auto"/>
                      <w:spacing w:val="4"/>
                      <w:sz w:val="21"/>
                      <w:szCs w:val="21"/>
                    </w:rPr>
                    <w:t>微镜</w:t>
                  </w:r>
                </w:p>
              </w:tc>
              <w:tc>
                <w:tcPr>
                  <w:tcW w:w="537" w:type="pct"/>
                  <w:tcBorders>
                    <w:tl2br w:val="nil"/>
                    <w:tr2bl w:val="nil"/>
                  </w:tcBorders>
                  <w:vAlign w:val="center"/>
                </w:tcPr>
                <w:p w14:paraId="39E1214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老师</w:t>
                  </w:r>
                  <w:r>
                    <w:rPr>
                      <w:rFonts w:ascii="宋体" w:hAnsi="宋体" w:eastAsia="宋体" w:cs="宋体"/>
                      <w:color w:val="auto"/>
                      <w:spacing w:val="4"/>
                      <w:sz w:val="21"/>
                      <w:szCs w:val="21"/>
                    </w:rPr>
                    <w:t>演示</w:t>
                  </w:r>
                </w:p>
              </w:tc>
            </w:tr>
            <w:tr w14:paraId="45B33B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0337482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w:t>
                  </w:r>
                </w:p>
              </w:tc>
              <w:tc>
                <w:tcPr>
                  <w:tcW w:w="690" w:type="pct"/>
                  <w:tcBorders>
                    <w:tl2br w:val="nil"/>
                    <w:tr2bl w:val="nil"/>
                  </w:tcBorders>
                  <w:vAlign w:val="center"/>
                </w:tcPr>
                <w:p w14:paraId="2444EA3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观察人体</w:t>
                  </w:r>
                  <w:r>
                    <w:rPr>
                      <w:rFonts w:ascii="宋体" w:hAnsi="宋体" w:eastAsia="宋体" w:cs="宋体"/>
                      <w:color w:val="auto"/>
                      <w:spacing w:val="3"/>
                      <w:sz w:val="21"/>
                      <w:szCs w:val="21"/>
                    </w:rPr>
                    <w:t>的基本组</w:t>
                  </w:r>
                  <w:r>
                    <w:rPr>
                      <w:rFonts w:ascii="宋体" w:hAnsi="宋体" w:eastAsia="宋体" w:cs="宋体"/>
                      <w:color w:val="auto"/>
                      <w:sz w:val="21"/>
                      <w:szCs w:val="21"/>
                    </w:rPr>
                    <w:t>织</w:t>
                  </w:r>
                </w:p>
              </w:tc>
              <w:tc>
                <w:tcPr>
                  <w:tcW w:w="1769" w:type="pct"/>
                  <w:tcBorders>
                    <w:tl2br w:val="nil"/>
                    <w:tr2bl w:val="nil"/>
                  </w:tcBorders>
                  <w:vAlign w:val="center"/>
                </w:tcPr>
                <w:p w14:paraId="33987C6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宋体" w:hAnsi="宋体" w:eastAsia="宋体" w:cs="宋体"/>
                      <w:color w:val="auto"/>
                      <w:spacing w:val="20"/>
                      <w:sz w:val="21"/>
                      <w:szCs w:val="21"/>
                    </w:rPr>
                    <w:t>用显微镜分别观察四种基</w:t>
                  </w:r>
                  <w:r>
                    <w:rPr>
                      <w:rFonts w:ascii="宋体" w:hAnsi="宋体" w:eastAsia="宋体" w:cs="宋体"/>
                      <w:color w:val="auto"/>
                      <w:spacing w:val="6"/>
                      <w:sz w:val="21"/>
                      <w:szCs w:val="21"/>
                    </w:rPr>
                    <w:t>本组织的切片。</w:t>
                  </w:r>
                </w:p>
              </w:tc>
              <w:tc>
                <w:tcPr>
                  <w:tcW w:w="856" w:type="pct"/>
                  <w:tcBorders>
                    <w:tl2br w:val="nil"/>
                    <w:tr2bl w:val="nil"/>
                  </w:tcBorders>
                  <w:vAlign w:val="center"/>
                </w:tcPr>
                <w:p w14:paraId="09F50F6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人体四种基本组织的永久切</w:t>
                  </w:r>
                  <w:r>
                    <w:rPr>
                      <w:rFonts w:ascii="宋体" w:hAnsi="宋体" w:eastAsia="宋体" w:cs="宋体"/>
                      <w:color w:val="auto"/>
                      <w:sz w:val="21"/>
                      <w:szCs w:val="21"/>
                    </w:rPr>
                    <w:t>片</w:t>
                  </w:r>
                </w:p>
              </w:tc>
              <w:tc>
                <w:tcPr>
                  <w:tcW w:w="675" w:type="pct"/>
                  <w:tcBorders>
                    <w:tl2br w:val="nil"/>
                    <w:tr2bl w:val="nil"/>
                  </w:tcBorders>
                  <w:vAlign w:val="center"/>
                </w:tcPr>
                <w:p w14:paraId="306DF39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显微镜</w:t>
                  </w:r>
                </w:p>
              </w:tc>
              <w:tc>
                <w:tcPr>
                  <w:tcW w:w="537" w:type="pct"/>
                  <w:tcBorders>
                    <w:tl2br w:val="nil"/>
                    <w:tr2bl w:val="nil"/>
                  </w:tcBorders>
                  <w:vAlign w:val="center"/>
                </w:tcPr>
                <w:p w14:paraId="39563D1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494B29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7B024CB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6</w:t>
                  </w:r>
                </w:p>
              </w:tc>
              <w:tc>
                <w:tcPr>
                  <w:tcW w:w="690" w:type="pct"/>
                  <w:tcBorders>
                    <w:tl2br w:val="nil"/>
                    <w:tr2bl w:val="nil"/>
                  </w:tcBorders>
                  <w:vAlign w:val="center"/>
                </w:tcPr>
                <w:p w14:paraId="2EB0A6C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解剖观察</w:t>
                  </w:r>
                  <w:r>
                    <w:rPr>
                      <w:rFonts w:hint="default" w:ascii="Times New Roman" w:hAnsi="Times New Roman" w:eastAsia="宋体" w:cs="Times New Roman"/>
                      <w:color w:val="auto"/>
                      <w:spacing w:val="5"/>
                      <w:sz w:val="21"/>
                      <w:szCs w:val="21"/>
                    </w:rPr>
                    <w:t>鸡翅</w:t>
                  </w:r>
                </w:p>
              </w:tc>
              <w:tc>
                <w:tcPr>
                  <w:tcW w:w="1769" w:type="pct"/>
                  <w:tcBorders>
                    <w:tl2br w:val="nil"/>
                    <w:tr2bl w:val="nil"/>
                  </w:tcBorders>
                  <w:vAlign w:val="center"/>
                </w:tcPr>
                <w:p w14:paraId="3917DC8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w:t>
                  </w:r>
                  <w:r>
                    <w:rPr>
                      <w:rFonts w:hint="default" w:ascii="Times New Roman" w:hAnsi="Times New Roman" w:eastAsia="Times New Roman" w:cs="Times New Roman"/>
                      <w:color w:val="auto"/>
                      <w:spacing w:val="2"/>
                      <w:sz w:val="21"/>
                      <w:szCs w:val="21"/>
                    </w:rPr>
                    <w:t>.</w:t>
                  </w:r>
                  <w:r>
                    <w:rPr>
                      <w:rFonts w:hint="default" w:ascii="Times New Roman" w:hAnsi="Times New Roman" w:eastAsia="宋体" w:cs="Times New Roman"/>
                      <w:color w:val="auto"/>
                      <w:spacing w:val="2"/>
                      <w:sz w:val="21"/>
                      <w:szCs w:val="21"/>
                    </w:rPr>
                    <w:t>将鸡翅放在解剖盘中；</w:t>
                  </w:r>
                </w:p>
                <w:p w14:paraId="5128953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2</w:t>
                  </w:r>
                  <w:r>
                    <w:rPr>
                      <w:rFonts w:hint="default" w:ascii="Times New Roman" w:hAnsi="Times New Roman" w:eastAsia="Times New Roman" w:cs="Times New Roman"/>
                      <w:color w:val="auto"/>
                      <w:spacing w:val="11"/>
                      <w:sz w:val="21"/>
                      <w:szCs w:val="21"/>
                    </w:rPr>
                    <w:t>.</w:t>
                  </w:r>
                  <w:r>
                    <w:rPr>
                      <w:rFonts w:hint="default" w:ascii="Times New Roman" w:hAnsi="Times New Roman" w:eastAsia="宋体" w:cs="Times New Roman"/>
                      <w:color w:val="auto"/>
                      <w:spacing w:val="11"/>
                      <w:sz w:val="21"/>
                      <w:szCs w:val="21"/>
                    </w:rPr>
                    <w:t>用剪刀小心剥去鸡翅上</w:t>
                  </w:r>
                  <w:r>
                    <w:rPr>
                      <w:rFonts w:hint="default" w:ascii="Times New Roman" w:hAnsi="Times New Roman" w:eastAsia="宋体" w:cs="Times New Roman"/>
                      <w:color w:val="auto"/>
                      <w:spacing w:val="6"/>
                      <w:sz w:val="21"/>
                      <w:szCs w:val="21"/>
                    </w:rPr>
                    <w:t>的皮肤，吸去多余水分；</w:t>
                  </w:r>
                </w:p>
                <w:p w14:paraId="2FB4B42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3</w:t>
                  </w:r>
                  <w:r>
                    <w:rPr>
                      <w:rFonts w:hint="default" w:ascii="Times New Roman" w:hAnsi="Times New Roman" w:eastAsia="Times New Roman" w:cs="Times New Roman"/>
                      <w:color w:val="auto"/>
                      <w:spacing w:val="11"/>
                      <w:sz w:val="21"/>
                      <w:szCs w:val="21"/>
                    </w:rPr>
                    <w:t>.</w:t>
                  </w:r>
                  <w:r>
                    <w:rPr>
                      <w:rFonts w:hint="default" w:ascii="Times New Roman" w:hAnsi="Times New Roman" w:eastAsia="宋体" w:cs="Times New Roman"/>
                      <w:color w:val="auto"/>
                      <w:spacing w:val="11"/>
                      <w:sz w:val="21"/>
                      <w:szCs w:val="21"/>
                    </w:rPr>
                    <w:t>找出附在皮肤下面呈微</w:t>
                  </w:r>
                  <w:r>
                    <w:rPr>
                      <w:rFonts w:hint="default" w:ascii="Times New Roman" w:hAnsi="Times New Roman" w:eastAsia="宋体" w:cs="Times New Roman"/>
                      <w:color w:val="auto"/>
                      <w:spacing w:val="8"/>
                      <w:sz w:val="21"/>
                      <w:szCs w:val="21"/>
                    </w:rPr>
                    <w:t>黄色的脂肪，呈小块状；</w:t>
                  </w:r>
                </w:p>
                <w:p w14:paraId="5DEBFC7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2"/>
                      <w:sz w:val="21"/>
                      <w:szCs w:val="21"/>
                    </w:rPr>
                    <w:t>4</w:t>
                  </w:r>
                  <w:r>
                    <w:rPr>
                      <w:rFonts w:hint="default" w:ascii="Times New Roman" w:hAnsi="Times New Roman" w:eastAsia="Times New Roman" w:cs="Times New Roman"/>
                      <w:color w:val="auto"/>
                      <w:spacing w:val="12"/>
                      <w:sz w:val="21"/>
                      <w:szCs w:val="21"/>
                    </w:rPr>
                    <w:t>.</w:t>
                  </w:r>
                  <w:r>
                    <w:rPr>
                      <w:rFonts w:hint="default" w:ascii="Times New Roman" w:hAnsi="Times New Roman" w:eastAsia="宋体" w:cs="Times New Roman"/>
                      <w:color w:val="auto"/>
                      <w:spacing w:val="12"/>
                      <w:sz w:val="21"/>
                      <w:szCs w:val="21"/>
                    </w:rPr>
                    <w:t>用解剖刀或解剖针小心</w:t>
                  </w:r>
                  <w:r>
                    <w:rPr>
                      <w:rFonts w:hint="default" w:ascii="Times New Roman" w:hAnsi="Times New Roman" w:eastAsia="宋体" w:cs="Times New Roman"/>
                      <w:color w:val="auto"/>
                      <w:spacing w:val="2"/>
                      <w:sz w:val="21"/>
                      <w:szCs w:val="21"/>
                    </w:rPr>
                    <w:t>将肌肉分开，可找出白色的</w:t>
                  </w:r>
                  <w:r>
                    <w:rPr>
                      <w:rFonts w:hint="default" w:ascii="Times New Roman" w:hAnsi="Times New Roman" w:eastAsia="宋体" w:cs="Times New Roman"/>
                      <w:color w:val="auto"/>
                      <w:spacing w:val="8"/>
                      <w:sz w:val="21"/>
                      <w:szCs w:val="21"/>
                    </w:rPr>
                    <w:t>像铅笔芯粗细差不</w:t>
                  </w:r>
                  <w:r>
                    <w:rPr>
                      <w:rFonts w:hint="default" w:ascii="Times New Roman" w:hAnsi="Times New Roman" w:eastAsia="宋体" w:cs="Times New Roman"/>
                      <w:color w:val="auto"/>
                      <w:spacing w:val="3"/>
                      <w:sz w:val="21"/>
                      <w:szCs w:val="21"/>
                    </w:rPr>
                    <w:t>多的神经。</w:t>
                  </w:r>
                </w:p>
                <w:p w14:paraId="270F1DD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5</w:t>
                  </w:r>
                  <w:r>
                    <w:rPr>
                      <w:rFonts w:hint="default" w:ascii="Times New Roman" w:hAnsi="Times New Roman" w:eastAsia="Times New Roman" w:cs="Times New Roman"/>
                      <w:color w:val="auto"/>
                      <w:spacing w:val="11"/>
                      <w:sz w:val="21"/>
                      <w:szCs w:val="21"/>
                    </w:rPr>
                    <w:t>.</w:t>
                  </w:r>
                  <w:r>
                    <w:rPr>
                      <w:rFonts w:hint="default" w:ascii="Times New Roman" w:hAnsi="Times New Roman" w:eastAsia="宋体" w:cs="Times New Roman"/>
                      <w:color w:val="auto"/>
                      <w:spacing w:val="11"/>
                      <w:sz w:val="21"/>
                      <w:szCs w:val="21"/>
                    </w:rPr>
                    <w:t>找到肌肉两端白色的肌</w:t>
                  </w:r>
                  <w:r>
                    <w:rPr>
                      <w:rFonts w:hint="default" w:ascii="Times New Roman" w:hAnsi="Times New Roman" w:eastAsia="宋体" w:cs="Times New Roman"/>
                      <w:color w:val="auto"/>
                      <w:spacing w:val="1"/>
                      <w:sz w:val="21"/>
                      <w:szCs w:val="21"/>
                    </w:rPr>
                    <w:t>腱，可以看到它将肌肉与骨</w:t>
                  </w:r>
                  <w:r>
                    <w:rPr>
                      <w:rFonts w:hint="default" w:ascii="Times New Roman" w:hAnsi="Times New Roman" w:eastAsia="宋体" w:cs="Times New Roman"/>
                      <w:color w:val="auto"/>
                      <w:spacing w:val="6"/>
                      <w:sz w:val="21"/>
                      <w:szCs w:val="21"/>
                    </w:rPr>
                    <w:t>骼连在一起；</w:t>
                  </w:r>
                </w:p>
                <w:p w14:paraId="79C4221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6</w:t>
                  </w:r>
                  <w:r>
                    <w:rPr>
                      <w:rFonts w:hint="default" w:ascii="Times New Roman" w:hAnsi="Times New Roman" w:eastAsia="Times New Roman" w:cs="Times New Roman"/>
                      <w:color w:val="auto"/>
                      <w:spacing w:val="11"/>
                      <w:sz w:val="21"/>
                      <w:szCs w:val="21"/>
                    </w:rPr>
                    <w:t>.</w:t>
                  </w:r>
                  <w:r>
                    <w:rPr>
                      <w:rFonts w:hint="default" w:ascii="Times New Roman" w:hAnsi="Times New Roman" w:eastAsia="宋体" w:cs="Times New Roman"/>
                      <w:color w:val="auto"/>
                      <w:spacing w:val="11"/>
                      <w:sz w:val="21"/>
                      <w:szCs w:val="21"/>
                    </w:rPr>
                    <w:t>在两骨连接处再找出包</w:t>
                  </w:r>
                  <w:r>
                    <w:rPr>
                      <w:rFonts w:hint="default" w:ascii="Times New Roman" w:hAnsi="Times New Roman" w:eastAsia="宋体" w:cs="Times New Roman"/>
                      <w:color w:val="auto"/>
                      <w:spacing w:val="7"/>
                      <w:sz w:val="21"/>
                      <w:szCs w:val="21"/>
                    </w:rPr>
                    <w:t>绕在外侧的韧带。</w:t>
                  </w:r>
                </w:p>
              </w:tc>
              <w:tc>
                <w:tcPr>
                  <w:tcW w:w="856" w:type="pct"/>
                  <w:tcBorders>
                    <w:tl2br w:val="nil"/>
                    <w:tr2bl w:val="nil"/>
                  </w:tcBorders>
                  <w:vAlign w:val="center"/>
                </w:tcPr>
                <w:p w14:paraId="5BE0284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新鲜鸡翅</w:t>
                  </w:r>
                </w:p>
              </w:tc>
              <w:tc>
                <w:tcPr>
                  <w:tcW w:w="675" w:type="pct"/>
                  <w:tcBorders>
                    <w:tl2br w:val="nil"/>
                    <w:tr2bl w:val="nil"/>
                  </w:tcBorders>
                  <w:vAlign w:val="center"/>
                </w:tcPr>
                <w:p w14:paraId="3480867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剪刀、解剖刀、解剖盘、解</w:t>
                  </w:r>
                  <w:r>
                    <w:rPr>
                      <w:rFonts w:hint="default" w:ascii="Times New Roman" w:hAnsi="Times New Roman" w:eastAsia="宋体" w:cs="Times New Roman"/>
                      <w:color w:val="auto"/>
                      <w:spacing w:val="9"/>
                      <w:sz w:val="21"/>
                      <w:szCs w:val="21"/>
                    </w:rPr>
                    <w:t>剖针、吸</w:t>
                  </w:r>
                  <w:r>
                    <w:rPr>
                      <w:rFonts w:hint="default" w:ascii="Times New Roman" w:hAnsi="Times New Roman" w:eastAsia="宋体" w:cs="Times New Roman"/>
                      <w:color w:val="auto"/>
                      <w:spacing w:val="2"/>
                      <w:sz w:val="21"/>
                      <w:szCs w:val="21"/>
                    </w:rPr>
                    <w:t>水纸。</w:t>
                  </w:r>
                </w:p>
              </w:tc>
              <w:tc>
                <w:tcPr>
                  <w:tcW w:w="537" w:type="pct"/>
                  <w:tcBorders>
                    <w:tl2br w:val="nil"/>
                    <w:tr2bl w:val="nil"/>
                  </w:tcBorders>
                  <w:vAlign w:val="center"/>
                </w:tcPr>
                <w:p w14:paraId="196B8E0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老师</w:t>
                  </w:r>
                  <w:r>
                    <w:rPr>
                      <w:rFonts w:hint="default" w:ascii="Times New Roman" w:hAnsi="Times New Roman" w:eastAsia="宋体" w:cs="Times New Roman"/>
                      <w:color w:val="auto"/>
                      <w:spacing w:val="4"/>
                      <w:sz w:val="21"/>
                      <w:szCs w:val="21"/>
                    </w:rPr>
                    <w:t>演示</w:t>
                  </w:r>
                </w:p>
              </w:tc>
            </w:tr>
            <w:tr w14:paraId="128E36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6C90F3E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7</w:t>
                  </w:r>
                </w:p>
              </w:tc>
              <w:tc>
                <w:tcPr>
                  <w:tcW w:w="690" w:type="pct"/>
                  <w:tcBorders>
                    <w:tl2br w:val="nil"/>
                    <w:tr2bl w:val="nil"/>
                  </w:tcBorders>
                  <w:vAlign w:val="center"/>
                </w:tcPr>
                <w:p w14:paraId="5DD5112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非生物因素对某种</w:t>
                  </w:r>
                  <w:r>
                    <w:rPr>
                      <w:rFonts w:ascii="宋体" w:hAnsi="宋体" w:eastAsia="宋体" w:cs="宋体"/>
                      <w:color w:val="auto"/>
                      <w:spacing w:val="7"/>
                      <w:sz w:val="21"/>
                      <w:szCs w:val="21"/>
                    </w:rPr>
                    <w:t>动物（如</w:t>
                  </w:r>
                  <w:r>
                    <w:rPr>
                      <w:rFonts w:ascii="宋体" w:hAnsi="宋体" w:eastAsia="宋体" w:cs="宋体"/>
                      <w:color w:val="auto"/>
                      <w:spacing w:val="1"/>
                      <w:sz w:val="21"/>
                      <w:szCs w:val="21"/>
                    </w:rPr>
                    <w:t>鼠妇、黄粉</w:t>
                  </w:r>
                  <w:r>
                    <w:rPr>
                      <w:rFonts w:ascii="宋体" w:hAnsi="宋体" w:eastAsia="宋体" w:cs="宋体"/>
                      <w:color w:val="auto"/>
                      <w:spacing w:val="5"/>
                      <w:sz w:val="21"/>
                      <w:szCs w:val="21"/>
                    </w:rPr>
                    <w:t>虫）的影</w:t>
                  </w:r>
                  <w:r>
                    <w:rPr>
                      <w:rFonts w:ascii="宋体" w:hAnsi="宋体" w:eastAsia="宋体" w:cs="宋体"/>
                      <w:color w:val="auto"/>
                      <w:sz w:val="21"/>
                      <w:szCs w:val="21"/>
                    </w:rPr>
                    <w:t>响</w:t>
                  </w:r>
                </w:p>
              </w:tc>
              <w:tc>
                <w:tcPr>
                  <w:tcW w:w="1769" w:type="pct"/>
                  <w:tcBorders>
                    <w:tl2br w:val="nil"/>
                    <w:tr2bl w:val="nil"/>
                  </w:tcBorders>
                  <w:vAlign w:val="center"/>
                </w:tcPr>
                <w:p w14:paraId="5EF0316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9"/>
                      <w:sz w:val="21"/>
                      <w:szCs w:val="21"/>
                    </w:rPr>
                    <w:t>1.</w:t>
                  </w:r>
                  <w:r>
                    <w:rPr>
                      <w:rFonts w:ascii="宋体" w:hAnsi="宋体" w:eastAsia="宋体" w:cs="宋体"/>
                      <w:color w:val="auto"/>
                      <w:spacing w:val="19"/>
                      <w:sz w:val="21"/>
                      <w:szCs w:val="21"/>
                    </w:rPr>
                    <w:t>在塑料盘内平铺一层潮</w:t>
                  </w:r>
                  <w:r>
                    <w:rPr>
                      <w:rFonts w:ascii="宋体" w:hAnsi="宋体" w:eastAsia="宋体" w:cs="宋体"/>
                      <w:color w:val="auto"/>
                      <w:spacing w:val="2"/>
                      <w:sz w:val="21"/>
                      <w:szCs w:val="21"/>
                    </w:rPr>
                    <w:t>湿土壤，压实，以横轴中线为界，一侧盖上纸板，另一</w:t>
                  </w:r>
                  <w:r>
                    <w:rPr>
                      <w:rFonts w:ascii="宋体" w:hAnsi="宋体" w:eastAsia="宋体" w:cs="宋体"/>
                      <w:color w:val="auto"/>
                      <w:spacing w:val="7"/>
                      <w:sz w:val="21"/>
                      <w:szCs w:val="21"/>
                    </w:rPr>
                    <w:t>侧盖上玻璃板。</w:t>
                  </w:r>
                </w:p>
                <w:p w14:paraId="73A88D3C">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0"/>
                      <w:sz w:val="21"/>
                      <w:szCs w:val="21"/>
                    </w:rPr>
                    <w:t>2.</w:t>
                  </w:r>
                  <w:r>
                    <w:rPr>
                      <w:rFonts w:ascii="宋体" w:hAnsi="宋体" w:eastAsia="宋体" w:cs="宋体"/>
                      <w:color w:val="auto"/>
                      <w:spacing w:val="10"/>
                      <w:sz w:val="21"/>
                      <w:szCs w:val="21"/>
                    </w:rPr>
                    <w:t>在两侧中央各放</w:t>
                  </w:r>
                  <w:r>
                    <w:rPr>
                      <w:rFonts w:ascii="Times New Roman" w:hAnsi="Times New Roman" w:eastAsia="Times New Roman" w:cs="Times New Roman"/>
                      <w:color w:val="auto"/>
                      <w:spacing w:val="10"/>
                      <w:sz w:val="21"/>
                      <w:szCs w:val="21"/>
                    </w:rPr>
                    <w:t>5</w:t>
                  </w:r>
                  <w:r>
                    <w:rPr>
                      <w:rFonts w:ascii="宋体" w:hAnsi="宋体" w:eastAsia="宋体" w:cs="宋体"/>
                      <w:color w:val="auto"/>
                      <w:spacing w:val="10"/>
                      <w:sz w:val="21"/>
                      <w:szCs w:val="21"/>
                    </w:rPr>
                    <w:t>只</w:t>
                  </w:r>
                  <w:r>
                    <w:rPr>
                      <w:rFonts w:ascii="宋体" w:hAnsi="宋体" w:eastAsia="宋体" w:cs="宋体"/>
                      <w:color w:val="auto"/>
                      <w:spacing w:val="-48"/>
                      <w:sz w:val="21"/>
                      <w:szCs w:val="21"/>
                    </w:rPr>
                    <w:t xml:space="preserve"> </w:t>
                  </w:r>
                  <w:r>
                    <w:rPr>
                      <w:rFonts w:ascii="宋体" w:hAnsi="宋体" w:eastAsia="宋体" w:cs="宋体"/>
                      <w:color w:val="auto"/>
                      <w:spacing w:val="10"/>
                      <w:sz w:val="21"/>
                      <w:szCs w:val="21"/>
                    </w:rPr>
                    <w:t>鼠</w:t>
                  </w:r>
                  <w:r>
                    <w:rPr>
                      <w:rFonts w:ascii="宋体" w:hAnsi="宋体" w:eastAsia="宋体" w:cs="宋体"/>
                      <w:color w:val="auto"/>
                      <w:spacing w:val="4"/>
                      <w:sz w:val="21"/>
                      <w:szCs w:val="21"/>
                    </w:rPr>
                    <w:t>妇，静置</w:t>
                  </w:r>
                  <w:r>
                    <w:rPr>
                      <w:rFonts w:hint="default" w:ascii="Times New Roman" w:hAnsi="Times New Roman" w:eastAsia="宋体" w:cs="Times New Roman"/>
                      <w:color w:val="auto"/>
                      <w:spacing w:val="-38"/>
                      <w:sz w:val="21"/>
                      <w:szCs w:val="21"/>
                      <w:lang w:val="en-US" w:eastAsia="zh-CN"/>
                    </w:rPr>
                    <w:t>2</w:t>
                  </w:r>
                  <w:r>
                    <w:rPr>
                      <w:rFonts w:ascii="宋体" w:hAnsi="宋体" w:eastAsia="宋体" w:cs="宋体"/>
                      <w:color w:val="auto"/>
                      <w:spacing w:val="4"/>
                      <w:sz w:val="21"/>
                      <w:szCs w:val="21"/>
                    </w:rPr>
                    <w:t>分钟。</w:t>
                  </w:r>
                </w:p>
                <w:p w14:paraId="491AE50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3"/>
                      <w:sz w:val="21"/>
                      <w:szCs w:val="21"/>
                    </w:rPr>
                    <w:t>3.</w:t>
                  </w:r>
                  <w:r>
                    <w:rPr>
                      <w:rFonts w:ascii="宋体" w:hAnsi="宋体" w:eastAsia="宋体" w:cs="宋体"/>
                      <w:color w:val="auto"/>
                      <w:spacing w:val="3"/>
                      <w:sz w:val="21"/>
                      <w:szCs w:val="21"/>
                    </w:rPr>
                    <w:t>每</w:t>
                  </w:r>
                  <w:r>
                    <w:rPr>
                      <w:rFonts w:ascii="Times New Roman" w:hAnsi="Times New Roman" w:eastAsia="Times New Roman" w:cs="Times New Roman"/>
                      <w:color w:val="auto"/>
                      <w:spacing w:val="3"/>
                      <w:sz w:val="21"/>
                      <w:szCs w:val="21"/>
                    </w:rPr>
                    <w:t>1</w:t>
                  </w:r>
                  <w:r>
                    <w:rPr>
                      <w:rFonts w:ascii="宋体" w:hAnsi="宋体" w:eastAsia="宋体" w:cs="宋体"/>
                      <w:color w:val="auto"/>
                      <w:spacing w:val="3"/>
                      <w:sz w:val="21"/>
                      <w:szCs w:val="21"/>
                    </w:rPr>
                    <w:t>分钟统计一次阴暗、</w:t>
                  </w:r>
                  <w:r>
                    <w:rPr>
                      <w:rFonts w:ascii="宋体" w:hAnsi="宋体" w:eastAsia="宋体" w:cs="宋体"/>
                      <w:color w:val="auto"/>
                      <w:spacing w:val="1"/>
                      <w:sz w:val="21"/>
                      <w:szCs w:val="21"/>
                    </w:rPr>
                    <w:t>明亮处鼠妇数目，记录于表</w:t>
                  </w:r>
                  <w:r>
                    <w:rPr>
                      <w:rFonts w:ascii="宋体" w:hAnsi="宋体" w:eastAsia="宋体" w:cs="宋体"/>
                      <w:color w:val="auto"/>
                      <w:spacing w:val="8"/>
                      <w:sz w:val="21"/>
                      <w:szCs w:val="21"/>
                    </w:rPr>
                    <w:t>格中，并计算出平均值。</w:t>
                  </w:r>
                </w:p>
              </w:tc>
              <w:tc>
                <w:tcPr>
                  <w:tcW w:w="856" w:type="pct"/>
                  <w:tcBorders>
                    <w:tl2br w:val="nil"/>
                    <w:tr2bl w:val="nil"/>
                  </w:tcBorders>
                  <w:vAlign w:val="center"/>
                </w:tcPr>
                <w:p w14:paraId="34F4C7D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鼠妇</w:t>
                  </w:r>
                </w:p>
              </w:tc>
              <w:tc>
                <w:tcPr>
                  <w:tcW w:w="675" w:type="pct"/>
                  <w:tcBorders>
                    <w:tl2br w:val="nil"/>
                    <w:tr2bl w:val="nil"/>
                  </w:tcBorders>
                  <w:vAlign w:val="center"/>
                </w:tcPr>
                <w:p w14:paraId="7CB35C5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湿土、铁</w:t>
                  </w:r>
                  <w:r>
                    <w:rPr>
                      <w:rFonts w:ascii="宋体" w:hAnsi="宋体" w:eastAsia="宋体" w:cs="宋体"/>
                      <w:color w:val="auto"/>
                      <w:spacing w:val="-17"/>
                      <w:sz w:val="21"/>
                      <w:szCs w:val="21"/>
                    </w:rPr>
                    <w:t>盘、纸板、</w:t>
                  </w:r>
                  <w:r>
                    <w:rPr>
                      <w:rFonts w:ascii="宋体" w:hAnsi="宋体" w:eastAsia="宋体" w:cs="宋体"/>
                      <w:color w:val="auto"/>
                      <w:spacing w:val="7"/>
                      <w:sz w:val="21"/>
                      <w:szCs w:val="21"/>
                    </w:rPr>
                    <w:t>玻璃板。</w:t>
                  </w:r>
                </w:p>
              </w:tc>
              <w:tc>
                <w:tcPr>
                  <w:tcW w:w="537" w:type="pct"/>
                  <w:tcBorders>
                    <w:tl2br w:val="nil"/>
                    <w:tr2bl w:val="nil"/>
                  </w:tcBorders>
                  <w:vAlign w:val="center"/>
                </w:tcPr>
                <w:p w14:paraId="22785F9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老师</w:t>
                  </w:r>
                  <w:r>
                    <w:rPr>
                      <w:rFonts w:ascii="宋体" w:hAnsi="宋体" w:eastAsia="宋体" w:cs="宋体"/>
                      <w:color w:val="auto"/>
                      <w:spacing w:val="4"/>
                      <w:sz w:val="21"/>
                      <w:szCs w:val="21"/>
                    </w:rPr>
                    <w:t>演示</w:t>
                  </w:r>
                </w:p>
              </w:tc>
            </w:tr>
            <w:tr w14:paraId="6A864E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74F94B5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c>
                <w:tcPr>
                  <w:tcW w:w="690" w:type="pct"/>
                  <w:tcBorders>
                    <w:tl2br w:val="nil"/>
                    <w:tr2bl w:val="nil"/>
                  </w:tcBorders>
                  <w:vAlign w:val="center"/>
                </w:tcPr>
                <w:p w14:paraId="18A12F9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观察玉米种子的结</w:t>
                  </w:r>
                  <w:r>
                    <w:rPr>
                      <w:rFonts w:hint="default" w:ascii="Times New Roman" w:hAnsi="Times New Roman" w:eastAsia="宋体" w:cs="Times New Roman"/>
                      <w:color w:val="auto"/>
                      <w:sz w:val="21"/>
                      <w:szCs w:val="21"/>
                    </w:rPr>
                    <w:t>构</w:t>
                  </w:r>
                </w:p>
              </w:tc>
              <w:tc>
                <w:tcPr>
                  <w:tcW w:w="1769" w:type="pct"/>
                  <w:tcBorders>
                    <w:tl2br w:val="nil"/>
                    <w:tr2bl w:val="nil"/>
                  </w:tcBorders>
                  <w:vAlign w:val="center"/>
                </w:tcPr>
                <w:p w14:paraId="2F4BC41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lang w:val="en-US" w:eastAsia="zh-CN"/>
                    </w:rPr>
                    <w:t>1.</w:t>
                  </w:r>
                  <w:r>
                    <w:rPr>
                      <w:rFonts w:hint="default" w:ascii="Times New Roman" w:hAnsi="Times New Roman" w:eastAsia="宋体" w:cs="Times New Roman"/>
                      <w:color w:val="auto"/>
                      <w:spacing w:val="1"/>
                      <w:sz w:val="21"/>
                      <w:szCs w:val="21"/>
                    </w:rPr>
                    <w:t>取一粒浸软的玉米种子，观</w:t>
                  </w:r>
                  <w:r>
                    <w:rPr>
                      <w:rFonts w:hint="default" w:ascii="Times New Roman" w:hAnsi="Times New Roman" w:eastAsia="宋体" w:cs="Times New Roman"/>
                      <w:color w:val="auto"/>
                      <w:spacing w:val="6"/>
                      <w:sz w:val="21"/>
                      <w:szCs w:val="21"/>
                    </w:rPr>
                    <w:t>察它的外形；</w:t>
                  </w:r>
                </w:p>
                <w:p w14:paraId="7B39652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0"/>
                      <w:sz w:val="21"/>
                      <w:szCs w:val="21"/>
                      <w:lang w:val="en-US" w:eastAsia="zh-CN"/>
                    </w:rPr>
                    <w:t>2.</w:t>
                  </w:r>
                  <w:r>
                    <w:rPr>
                      <w:rFonts w:hint="default" w:ascii="Times New Roman" w:hAnsi="Times New Roman" w:eastAsia="宋体" w:cs="Times New Roman"/>
                      <w:color w:val="auto"/>
                      <w:spacing w:val="20"/>
                      <w:sz w:val="21"/>
                      <w:szCs w:val="21"/>
                    </w:rPr>
                    <w:t>用刀片将玉米种子从中央</w:t>
                  </w:r>
                  <w:r>
                    <w:rPr>
                      <w:rFonts w:hint="default" w:ascii="Times New Roman" w:hAnsi="Times New Roman" w:eastAsia="宋体" w:cs="Times New Roman"/>
                      <w:color w:val="auto"/>
                      <w:spacing w:val="5"/>
                      <w:sz w:val="21"/>
                      <w:szCs w:val="21"/>
                    </w:rPr>
                    <w:t>纵向剖开；</w:t>
                  </w:r>
                </w:p>
                <w:p w14:paraId="5E61FF9C">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Times New Roman" w:cs="Times New Roman"/>
                      <w:color w:val="auto"/>
                      <w:spacing w:val="8"/>
                      <w:sz w:val="21"/>
                      <w:szCs w:val="21"/>
                    </w:rPr>
                    <w:t>3</w:t>
                  </w:r>
                  <w:r>
                    <w:rPr>
                      <w:rFonts w:hint="eastAsia" w:ascii="Times New Roman" w:hAnsi="Times New Roman" w:eastAsia="宋体" w:cs="Times New Roman"/>
                      <w:color w:val="auto"/>
                      <w:spacing w:val="-22"/>
                      <w:sz w:val="21"/>
                      <w:szCs w:val="21"/>
                      <w:lang w:eastAsia="zh-CN"/>
                    </w:rPr>
                    <w:t>.</w:t>
                  </w:r>
                  <w:r>
                    <w:rPr>
                      <w:rFonts w:hint="default" w:ascii="Times New Roman" w:hAnsi="Times New Roman" w:eastAsia="宋体" w:cs="Times New Roman"/>
                      <w:color w:val="auto"/>
                      <w:spacing w:val="8"/>
                      <w:sz w:val="21"/>
                      <w:szCs w:val="21"/>
                    </w:rPr>
                    <w:t>在剖面上滴一滴碘液，</w:t>
                  </w:r>
                  <w:r>
                    <w:rPr>
                      <w:rFonts w:hint="default" w:ascii="Times New Roman" w:hAnsi="Times New Roman" w:eastAsia="宋体" w:cs="Times New Roman"/>
                      <w:color w:val="auto"/>
                      <w:spacing w:val="20"/>
                      <w:sz w:val="21"/>
                      <w:szCs w:val="21"/>
                    </w:rPr>
                    <w:t>再用放大镜仔细观察被碘液染成蓝色的胚乳及未被</w:t>
                  </w:r>
                  <w:r>
                    <w:rPr>
                      <w:rFonts w:hint="default" w:ascii="Times New Roman" w:hAnsi="Times New Roman" w:eastAsia="宋体" w:cs="Times New Roman"/>
                      <w:color w:val="auto"/>
                      <w:spacing w:val="2"/>
                      <w:sz w:val="21"/>
                      <w:szCs w:val="21"/>
                    </w:rPr>
                    <w:t>染成蓝色的果皮和种皮、胚</w:t>
                  </w:r>
                  <w:r>
                    <w:rPr>
                      <w:rFonts w:hint="default" w:ascii="Times New Roman" w:hAnsi="Times New Roman" w:eastAsia="宋体" w:cs="Times New Roman"/>
                      <w:color w:val="auto"/>
                      <w:spacing w:val="8"/>
                      <w:sz w:val="21"/>
                      <w:szCs w:val="21"/>
                    </w:rPr>
                    <w:t>根、胚芽和胚轴和子叶。</w:t>
                  </w:r>
                </w:p>
              </w:tc>
              <w:tc>
                <w:tcPr>
                  <w:tcW w:w="856" w:type="pct"/>
                  <w:tcBorders>
                    <w:tl2br w:val="nil"/>
                    <w:tr2bl w:val="nil"/>
                  </w:tcBorders>
                  <w:vAlign w:val="center"/>
                </w:tcPr>
                <w:p w14:paraId="4B759E7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玉米、碘液、</w:t>
                  </w:r>
                  <w:r>
                    <w:rPr>
                      <w:rFonts w:ascii="宋体" w:hAnsi="宋体" w:eastAsia="宋体" w:cs="宋体"/>
                      <w:color w:val="auto"/>
                      <w:spacing w:val="4"/>
                      <w:sz w:val="21"/>
                      <w:szCs w:val="21"/>
                    </w:rPr>
                    <w:t>清水</w:t>
                  </w:r>
                </w:p>
              </w:tc>
              <w:tc>
                <w:tcPr>
                  <w:tcW w:w="675" w:type="pct"/>
                  <w:tcBorders>
                    <w:tl2br w:val="nil"/>
                    <w:tr2bl w:val="nil"/>
                  </w:tcBorders>
                  <w:vAlign w:val="center"/>
                </w:tcPr>
                <w:p w14:paraId="556DF89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4"/>
                      <w:sz w:val="21"/>
                      <w:szCs w:val="21"/>
                    </w:rPr>
                    <w:t>培养皿、</w:t>
                  </w:r>
                  <w:r>
                    <w:rPr>
                      <w:rFonts w:ascii="宋体" w:hAnsi="宋体" w:eastAsia="宋体" w:cs="宋体"/>
                      <w:color w:val="auto"/>
                      <w:spacing w:val="6"/>
                      <w:sz w:val="21"/>
                      <w:szCs w:val="21"/>
                    </w:rPr>
                    <w:t>单面刀片、解剖</w:t>
                  </w:r>
                  <w:r>
                    <w:rPr>
                      <w:rFonts w:ascii="宋体" w:hAnsi="宋体" w:eastAsia="宋体" w:cs="宋体"/>
                      <w:color w:val="auto"/>
                      <w:spacing w:val="-12"/>
                      <w:sz w:val="21"/>
                      <w:szCs w:val="21"/>
                    </w:rPr>
                    <w:t>针、镊子、</w:t>
                  </w:r>
                  <w:r>
                    <w:rPr>
                      <w:rFonts w:ascii="宋体" w:hAnsi="宋体" w:eastAsia="宋体" w:cs="宋体"/>
                      <w:color w:val="auto"/>
                      <w:spacing w:val="3"/>
                      <w:sz w:val="21"/>
                      <w:szCs w:val="21"/>
                    </w:rPr>
                    <w:t>显微镜、滴管</w:t>
                  </w:r>
                </w:p>
              </w:tc>
              <w:tc>
                <w:tcPr>
                  <w:tcW w:w="537" w:type="pct"/>
                  <w:tcBorders>
                    <w:tl2br w:val="nil"/>
                    <w:tr2bl w:val="nil"/>
                  </w:tcBorders>
                  <w:vAlign w:val="center"/>
                </w:tcPr>
                <w:p w14:paraId="3044D74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295F65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31C26E2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9</w:t>
                  </w:r>
                </w:p>
              </w:tc>
              <w:tc>
                <w:tcPr>
                  <w:tcW w:w="690" w:type="pct"/>
                  <w:tcBorders>
                    <w:tl2br w:val="nil"/>
                    <w:tr2bl w:val="nil"/>
                  </w:tcBorders>
                  <w:vAlign w:val="center"/>
                </w:tcPr>
                <w:p w14:paraId="714597B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探究种子</w:t>
                  </w:r>
                  <w:r>
                    <w:rPr>
                      <w:rFonts w:ascii="宋体" w:hAnsi="宋体" w:eastAsia="宋体" w:cs="宋体"/>
                      <w:color w:val="auto"/>
                      <w:spacing w:val="6"/>
                      <w:sz w:val="21"/>
                      <w:szCs w:val="21"/>
                    </w:rPr>
                    <w:t>萌发的环境条件</w:t>
                  </w:r>
                </w:p>
              </w:tc>
              <w:tc>
                <w:tcPr>
                  <w:tcW w:w="1769" w:type="pct"/>
                  <w:tcBorders>
                    <w:tl2br w:val="nil"/>
                    <w:tr2bl w:val="nil"/>
                  </w:tcBorders>
                  <w:vAlign w:val="center"/>
                </w:tcPr>
                <w:p w14:paraId="577A90AA">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5"/>
                      <w:sz w:val="21"/>
                      <w:szCs w:val="21"/>
                    </w:rPr>
                    <w:t>1</w:t>
                  </w:r>
                  <w:r>
                    <w:rPr>
                      <w:rFonts w:hint="eastAsia" w:ascii="Times New Roman" w:hAnsi="Times New Roman" w:eastAsia="宋体" w:cs="Times New Roman"/>
                      <w:color w:val="auto"/>
                      <w:spacing w:val="5"/>
                      <w:sz w:val="21"/>
                      <w:szCs w:val="21"/>
                      <w:lang w:eastAsia="zh-CN"/>
                    </w:rPr>
                    <w:t>.</w:t>
                  </w:r>
                  <w:r>
                    <w:rPr>
                      <w:rFonts w:ascii="宋体" w:hAnsi="宋体" w:eastAsia="宋体" w:cs="宋体"/>
                      <w:color w:val="auto"/>
                      <w:spacing w:val="5"/>
                      <w:sz w:val="21"/>
                      <w:szCs w:val="21"/>
                    </w:rPr>
                    <w:t>在四个标签上分别写上</w:t>
                  </w:r>
                  <w:r>
                    <w:rPr>
                      <w:rFonts w:ascii="Times New Roman" w:hAnsi="Times New Roman" w:eastAsia="Times New Roman" w:cs="Times New Roman"/>
                      <w:color w:val="auto"/>
                      <w:spacing w:val="13"/>
                      <w:sz w:val="21"/>
                      <w:szCs w:val="21"/>
                    </w:rPr>
                    <w:t>1.2.3.4</w:t>
                  </w:r>
                  <w:r>
                    <w:rPr>
                      <w:rFonts w:ascii="宋体" w:hAnsi="宋体" w:eastAsia="宋体" w:cs="宋体"/>
                      <w:color w:val="auto"/>
                      <w:spacing w:val="13"/>
                      <w:sz w:val="21"/>
                      <w:szCs w:val="21"/>
                    </w:rPr>
                    <w:t>分别贴在四个罐头</w:t>
                  </w:r>
                  <w:r>
                    <w:rPr>
                      <w:rFonts w:ascii="宋体" w:hAnsi="宋体" w:eastAsia="宋体" w:cs="宋体"/>
                      <w:color w:val="auto"/>
                      <w:spacing w:val="14"/>
                      <w:sz w:val="21"/>
                      <w:szCs w:val="21"/>
                    </w:rPr>
                    <w:t>瓶上</w:t>
                  </w:r>
                  <w:r>
                    <w:rPr>
                      <w:rFonts w:hint="eastAsia" w:ascii="Times New Roman" w:hAnsi="Times New Roman" w:eastAsia="宋体" w:cs="Times New Roman"/>
                      <w:color w:val="auto"/>
                      <w:spacing w:val="14"/>
                      <w:sz w:val="21"/>
                      <w:szCs w:val="21"/>
                      <w:lang w:eastAsia="zh-CN"/>
                    </w:rPr>
                    <w:t>，</w:t>
                  </w:r>
                  <w:r>
                    <w:rPr>
                      <w:rFonts w:ascii="宋体" w:hAnsi="宋体" w:eastAsia="宋体" w:cs="宋体"/>
                      <w:color w:val="auto"/>
                      <w:spacing w:val="14"/>
                      <w:sz w:val="21"/>
                      <w:szCs w:val="21"/>
                    </w:rPr>
                    <w:t>将这四个罐头瓶都放</w:t>
                  </w:r>
                  <w:r>
                    <w:rPr>
                      <w:rFonts w:ascii="宋体" w:hAnsi="宋体" w:eastAsia="宋体" w:cs="宋体"/>
                      <w:color w:val="auto"/>
                      <w:spacing w:val="34"/>
                      <w:sz w:val="21"/>
                      <w:szCs w:val="21"/>
                    </w:rPr>
                    <w:t>到</w:t>
                  </w:r>
                  <w:r>
                    <w:rPr>
                      <w:rFonts w:hint="eastAsia" w:ascii="Times New Roman" w:hAnsi="Times New Roman" w:eastAsia="宋体" w:cs="Times New Roman"/>
                      <w:color w:val="auto"/>
                      <w:spacing w:val="34"/>
                      <w:sz w:val="21"/>
                      <w:szCs w:val="21"/>
                      <w:lang w:eastAsia="zh-CN"/>
                    </w:rPr>
                    <w:t>，</w:t>
                  </w:r>
                  <w:r>
                    <w:rPr>
                      <w:rFonts w:ascii="宋体" w:hAnsi="宋体" w:eastAsia="宋体" w:cs="宋体"/>
                      <w:color w:val="auto"/>
                      <w:spacing w:val="34"/>
                      <w:sz w:val="21"/>
                      <w:szCs w:val="21"/>
                    </w:rPr>
                    <w:t>每个瓶中放上两餐巾</w:t>
                  </w:r>
                  <w:r>
                    <w:rPr>
                      <w:rFonts w:ascii="宋体" w:hAnsi="宋体" w:eastAsia="宋体" w:cs="宋体"/>
                      <w:color w:val="auto"/>
                      <w:sz w:val="21"/>
                      <w:szCs w:val="21"/>
                    </w:rPr>
                    <w:t>纸。</w:t>
                  </w:r>
                </w:p>
                <w:p w14:paraId="6AAD31F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z w:val="21"/>
                      <w:szCs w:val="21"/>
                    </w:rPr>
                    <w:t>2</w:t>
                  </w:r>
                  <w:r>
                    <w:rPr>
                      <w:rFonts w:hint="eastAsia" w:ascii="宋体" w:hAnsi="宋体" w:eastAsia="宋体" w:cs="宋体"/>
                      <w:color w:val="auto"/>
                      <w:sz w:val="21"/>
                      <w:szCs w:val="21"/>
                      <w:lang w:eastAsia="zh-CN"/>
                    </w:rPr>
                    <w:t>.</w:t>
                  </w:r>
                  <w:r>
                    <w:rPr>
                      <w:rFonts w:ascii="宋体" w:hAnsi="宋体" w:eastAsia="宋体" w:cs="宋体"/>
                      <w:color w:val="auto"/>
                      <w:sz w:val="21"/>
                      <w:szCs w:val="21"/>
                    </w:rPr>
                    <w:t>用小勺在</w:t>
                  </w:r>
                  <w:r>
                    <w:rPr>
                      <w:rFonts w:ascii="Times New Roman" w:hAnsi="Times New Roman" w:eastAsia="Times New Roman" w:cs="Times New Roman"/>
                      <w:color w:val="auto"/>
                      <w:sz w:val="21"/>
                      <w:szCs w:val="21"/>
                    </w:rPr>
                    <w:t>1</w:t>
                  </w:r>
                  <w:r>
                    <w:rPr>
                      <w:rFonts w:ascii="宋体" w:hAnsi="宋体" w:eastAsia="宋体" w:cs="宋体"/>
                      <w:color w:val="auto"/>
                      <w:sz w:val="21"/>
                      <w:szCs w:val="21"/>
                    </w:rPr>
                    <w:t>号底中撒</w:t>
                  </w:r>
                  <w:r>
                    <w:rPr>
                      <w:rFonts w:ascii="Times New Roman" w:hAnsi="Times New Roman" w:eastAsia="Times New Roman" w:cs="Times New Roman"/>
                      <w:color w:val="auto"/>
                      <w:sz w:val="21"/>
                      <w:szCs w:val="21"/>
                    </w:rPr>
                    <w:t>10</w:t>
                  </w:r>
                  <w:r>
                    <w:rPr>
                      <w:rFonts w:ascii="宋体" w:hAnsi="宋体" w:eastAsia="宋体" w:cs="宋体"/>
                      <w:color w:val="auto"/>
                      <w:spacing w:val="8"/>
                      <w:sz w:val="21"/>
                      <w:szCs w:val="21"/>
                    </w:rPr>
                    <w:t>拉种子、将耀盖柠鉴</w:t>
                  </w:r>
                </w:p>
                <w:p w14:paraId="52378FA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3"/>
                      <w:sz w:val="21"/>
                      <w:szCs w:val="21"/>
                    </w:rPr>
                    <w:t>3</w:t>
                  </w:r>
                  <w:r>
                    <w:rPr>
                      <w:rFonts w:hint="eastAsia" w:ascii="宋体" w:hAnsi="宋体" w:eastAsia="宋体" w:cs="宋体"/>
                      <w:color w:val="auto"/>
                      <w:spacing w:val="3"/>
                      <w:sz w:val="21"/>
                      <w:szCs w:val="21"/>
                      <w:lang w:eastAsia="zh-CN"/>
                    </w:rPr>
                    <w:t>.</w:t>
                  </w:r>
                  <w:r>
                    <w:rPr>
                      <w:rFonts w:ascii="宋体" w:hAnsi="宋体" w:eastAsia="宋体" w:cs="宋体"/>
                      <w:color w:val="auto"/>
                      <w:spacing w:val="3"/>
                      <w:sz w:val="21"/>
                      <w:szCs w:val="21"/>
                    </w:rPr>
                    <w:t>分别向</w:t>
                  </w:r>
                  <w:r>
                    <w:rPr>
                      <w:rFonts w:ascii="宋体" w:hAnsi="宋体" w:eastAsia="宋体" w:cs="宋体"/>
                      <w:color w:val="auto"/>
                      <w:spacing w:val="-41"/>
                      <w:sz w:val="21"/>
                      <w:szCs w:val="21"/>
                    </w:rPr>
                    <w:t xml:space="preserve"> </w:t>
                  </w:r>
                  <w:r>
                    <w:rPr>
                      <w:rFonts w:ascii="Times New Roman" w:hAnsi="Times New Roman" w:eastAsia="Times New Roman" w:cs="Times New Roman"/>
                      <w:color w:val="auto"/>
                      <w:spacing w:val="3"/>
                      <w:sz w:val="21"/>
                      <w:szCs w:val="21"/>
                    </w:rPr>
                    <w:t>2</w:t>
                  </w:r>
                  <w:r>
                    <w:rPr>
                      <w:rFonts w:ascii="宋体" w:hAnsi="宋体" w:eastAsia="宋体" w:cs="宋体"/>
                      <w:color w:val="auto"/>
                      <w:spacing w:val="3"/>
                      <w:sz w:val="21"/>
                      <w:szCs w:val="21"/>
                    </w:rPr>
                    <w:t>号和</w:t>
                  </w:r>
                  <w:r>
                    <w:rPr>
                      <w:rFonts w:ascii="宋体" w:hAnsi="宋体" w:eastAsia="宋体" w:cs="宋体"/>
                      <w:color w:val="auto"/>
                      <w:spacing w:val="-34"/>
                      <w:sz w:val="21"/>
                      <w:szCs w:val="21"/>
                    </w:rPr>
                    <w:t xml:space="preserve"> </w:t>
                  </w:r>
                  <w:r>
                    <w:rPr>
                      <w:rFonts w:ascii="Times New Roman" w:hAnsi="Times New Roman" w:eastAsia="Times New Roman" w:cs="Times New Roman"/>
                      <w:color w:val="auto"/>
                      <w:spacing w:val="3"/>
                      <w:sz w:val="21"/>
                      <w:szCs w:val="21"/>
                    </w:rPr>
                    <w:t>3</w:t>
                  </w:r>
                  <w:r>
                    <w:rPr>
                      <w:rFonts w:ascii="宋体" w:hAnsi="宋体" w:eastAsia="宋体" w:cs="宋体"/>
                      <w:color w:val="auto"/>
                      <w:spacing w:val="3"/>
                      <w:sz w:val="21"/>
                      <w:szCs w:val="21"/>
                    </w:rPr>
                    <w:t>号瓶中</w:t>
                  </w:r>
                  <w:r>
                    <w:rPr>
                      <w:rFonts w:ascii="宋体" w:hAnsi="宋体" w:eastAsia="宋体" w:cs="宋体"/>
                      <w:color w:val="auto"/>
                      <w:spacing w:val="2"/>
                      <w:sz w:val="21"/>
                      <w:szCs w:val="21"/>
                    </w:rPr>
                    <w:t>撒一些水，使里面的纸变得</w:t>
                  </w:r>
                  <w:r>
                    <w:rPr>
                      <w:rFonts w:ascii="宋体" w:hAnsi="宋体" w:eastAsia="宋体" w:cs="宋体"/>
                      <w:color w:val="auto"/>
                      <w:spacing w:val="4"/>
                      <w:sz w:val="21"/>
                      <w:szCs w:val="21"/>
                    </w:rPr>
                    <w:t>潮湿。用小勺向</w:t>
                  </w:r>
                  <w:r>
                    <w:rPr>
                      <w:rFonts w:ascii="Times New Roman" w:hAnsi="Times New Roman" w:eastAsia="Times New Roman" w:cs="Times New Roman"/>
                      <w:color w:val="auto"/>
                      <w:spacing w:val="4"/>
                      <w:sz w:val="21"/>
                      <w:szCs w:val="21"/>
                    </w:rPr>
                    <w:t>4</w:t>
                  </w:r>
                  <w:r>
                    <w:rPr>
                      <w:rFonts w:ascii="宋体" w:hAnsi="宋体" w:eastAsia="宋体" w:cs="宋体"/>
                      <w:color w:val="auto"/>
                      <w:spacing w:val="4"/>
                      <w:sz w:val="21"/>
                      <w:szCs w:val="21"/>
                    </w:rPr>
                    <w:t>号瓶中到</w:t>
                  </w:r>
                  <w:r>
                    <w:rPr>
                      <w:rFonts w:ascii="宋体" w:hAnsi="宋体" w:eastAsia="宋体" w:cs="宋体"/>
                      <w:color w:val="auto"/>
                      <w:spacing w:val="2"/>
                      <w:sz w:val="21"/>
                      <w:szCs w:val="21"/>
                    </w:rPr>
                    <w:t>较多的水，直到水即将从瓶</w:t>
                  </w:r>
                  <w:r>
                    <w:rPr>
                      <w:rFonts w:ascii="宋体" w:hAnsi="宋体" w:eastAsia="宋体" w:cs="宋体"/>
                      <w:color w:val="auto"/>
                      <w:spacing w:val="8"/>
                      <w:sz w:val="21"/>
                      <w:szCs w:val="21"/>
                    </w:rPr>
                    <w:t>口流出为止</w:t>
                  </w:r>
                </w:p>
                <w:p w14:paraId="73FAFFD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
                      <w:sz w:val="21"/>
                      <w:szCs w:val="21"/>
                    </w:rPr>
                    <w:t>4</w:t>
                  </w:r>
                  <w:r>
                    <w:rPr>
                      <w:rFonts w:hint="eastAsia" w:ascii="宋体" w:hAnsi="宋体" w:eastAsia="宋体" w:cs="宋体"/>
                      <w:color w:val="auto"/>
                      <w:spacing w:val="1"/>
                      <w:sz w:val="21"/>
                      <w:szCs w:val="21"/>
                      <w:lang w:eastAsia="zh-CN"/>
                    </w:rPr>
                    <w:t>.</w:t>
                  </w:r>
                  <w:r>
                    <w:rPr>
                      <w:rFonts w:ascii="宋体" w:hAnsi="宋体" w:eastAsia="宋体" w:cs="宋体"/>
                      <w:color w:val="auto"/>
                      <w:spacing w:val="1"/>
                      <w:sz w:val="21"/>
                      <w:szCs w:val="21"/>
                    </w:rPr>
                    <w:t>分别向</w:t>
                  </w:r>
                  <w:r>
                    <w:rPr>
                      <w:rFonts w:ascii="宋体" w:hAnsi="宋体" w:eastAsia="宋体" w:cs="宋体"/>
                      <w:color w:val="auto"/>
                      <w:spacing w:val="-38"/>
                      <w:sz w:val="21"/>
                      <w:szCs w:val="21"/>
                    </w:rPr>
                    <w:t xml:space="preserve"> </w:t>
                  </w:r>
                  <w:r>
                    <w:rPr>
                      <w:rFonts w:ascii="Times New Roman" w:hAnsi="Times New Roman" w:eastAsia="Times New Roman" w:cs="Times New Roman"/>
                      <w:color w:val="auto"/>
                      <w:spacing w:val="1"/>
                      <w:sz w:val="21"/>
                      <w:szCs w:val="21"/>
                    </w:rPr>
                    <w:t>2</w:t>
                  </w:r>
                  <w:r>
                    <w:rPr>
                      <w:rFonts w:ascii="宋体" w:hAnsi="宋体" w:eastAsia="宋体" w:cs="宋体"/>
                      <w:color w:val="auto"/>
                      <w:spacing w:val="1"/>
                      <w:sz w:val="21"/>
                      <w:szCs w:val="21"/>
                    </w:rPr>
                    <w:t>、</w:t>
                  </w:r>
                  <w:r>
                    <w:rPr>
                      <w:rFonts w:ascii="Times New Roman" w:hAnsi="Times New Roman" w:eastAsia="Times New Roman" w:cs="Times New Roman"/>
                      <w:color w:val="auto"/>
                      <w:spacing w:val="1"/>
                      <w:sz w:val="21"/>
                      <w:szCs w:val="21"/>
                    </w:rPr>
                    <w:t>3</w:t>
                  </w:r>
                  <w:r>
                    <w:rPr>
                      <w:rFonts w:ascii="宋体" w:hAnsi="宋体" w:eastAsia="宋体" w:cs="宋体"/>
                      <w:color w:val="auto"/>
                      <w:spacing w:val="1"/>
                      <w:sz w:val="21"/>
                      <w:szCs w:val="21"/>
                    </w:rPr>
                    <w:t>、</w:t>
                  </w:r>
                  <w:r>
                    <w:rPr>
                      <w:rFonts w:ascii="Times New Roman" w:hAnsi="Times New Roman" w:eastAsia="Times New Roman" w:cs="Times New Roman"/>
                      <w:color w:val="auto"/>
                      <w:spacing w:val="1"/>
                      <w:sz w:val="21"/>
                      <w:szCs w:val="21"/>
                    </w:rPr>
                    <w:t>4</w:t>
                  </w:r>
                  <w:r>
                    <w:rPr>
                      <w:rFonts w:ascii="宋体" w:hAnsi="宋体" w:eastAsia="宋体" w:cs="宋体"/>
                      <w:color w:val="auto"/>
                      <w:spacing w:val="1"/>
                      <w:sz w:val="21"/>
                      <w:szCs w:val="21"/>
                    </w:rPr>
                    <w:t>号瓶中</w:t>
                  </w:r>
                  <w:r>
                    <w:rPr>
                      <w:rFonts w:ascii="宋体" w:hAnsi="宋体" w:eastAsia="宋体" w:cs="宋体"/>
                      <w:color w:val="auto"/>
                      <w:spacing w:val="7"/>
                      <w:sz w:val="21"/>
                      <w:szCs w:val="21"/>
                    </w:rPr>
                    <w:t>纸上撒</w:t>
                  </w:r>
                  <w:r>
                    <w:rPr>
                      <w:rFonts w:ascii="Times New Roman" w:hAnsi="Times New Roman" w:eastAsia="Times New Roman" w:cs="Times New Roman"/>
                      <w:color w:val="auto"/>
                      <w:spacing w:val="7"/>
                      <w:sz w:val="21"/>
                      <w:szCs w:val="21"/>
                    </w:rPr>
                    <w:t>10</w:t>
                  </w:r>
                  <w:r>
                    <w:rPr>
                      <w:rFonts w:ascii="宋体" w:hAnsi="宋体" w:eastAsia="宋体" w:cs="宋体"/>
                      <w:color w:val="auto"/>
                      <w:spacing w:val="7"/>
                      <w:sz w:val="21"/>
                      <w:szCs w:val="21"/>
                    </w:rPr>
                    <w:t>粒种子，然后拧</w:t>
                  </w:r>
                  <w:r>
                    <w:rPr>
                      <w:rFonts w:ascii="宋体" w:hAnsi="宋体" w:eastAsia="宋体" w:cs="宋体"/>
                      <w:color w:val="auto"/>
                      <w:spacing w:val="4"/>
                      <w:sz w:val="21"/>
                      <w:szCs w:val="21"/>
                    </w:rPr>
                    <w:t>紧瓶盖。</w:t>
                  </w:r>
                </w:p>
                <w:p w14:paraId="4F2CD93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z w:val="21"/>
                      <w:szCs w:val="21"/>
                    </w:rPr>
                    <w:t>5</w:t>
                  </w:r>
                  <w:r>
                    <w:rPr>
                      <w:rFonts w:hint="eastAsia" w:ascii="宋体" w:hAnsi="宋体" w:eastAsia="宋体" w:cs="宋体"/>
                      <w:color w:val="auto"/>
                      <w:sz w:val="21"/>
                      <w:szCs w:val="21"/>
                      <w:lang w:eastAsia="zh-CN"/>
                    </w:rPr>
                    <w:t>.</w:t>
                  </w:r>
                  <w:r>
                    <w:rPr>
                      <w:rFonts w:ascii="宋体" w:hAnsi="宋体" w:eastAsia="宋体" w:cs="宋体"/>
                      <w:color w:val="auto"/>
                      <w:sz w:val="21"/>
                      <w:szCs w:val="21"/>
                    </w:rPr>
                    <w:t>将</w:t>
                  </w:r>
                  <w:r>
                    <w:rPr>
                      <w:rFonts w:ascii="Times New Roman" w:hAnsi="Times New Roman" w:eastAsia="Times New Roman" w:cs="Times New Roman"/>
                      <w:color w:val="auto"/>
                      <w:sz w:val="21"/>
                      <w:szCs w:val="21"/>
                    </w:rPr>
                    <w:t>1</w:t>
                  </w:r>
                  <w:r>
                    <w:rPr>
                      <w:rFonts w:ascii="宋体" w:hAnsi="宋体" w:eastAsia="宋体" w:cs="宋体"/>
                      <w:color w:val="auto"/>
                      <w:sz w:val="21"/>
                      <w:szCs w:val="21"/>
                    </w:rPr>
                    <w:t>、</w:t>
                  </w:r>
                  <w:r>
                    <w:rPr>
                      <w:rFonts w:ascii="Times New Roman" w:hAnsi="Times New Roman" w:eastAsia="Times New Roman" w:cs="Times New Roman"/>
                      <w:color w:val="auto"/>
                      <w:sz w:val="21"/>
                      <w:szCs w:val="21"/>
                    </w:rPr>
                    <w:t>2</w:t>
                  </w:r>
                  <w:r>
                    <w:rPr>
                      <w:rFonts w:ascii="宋体" w:hAnsi="宋体" w:eastAsia="宋体" w:cs="宋体"/>
                      <w:color w:val="auto"/>
                      <w:sz w:val="21"/>
                      <w:szCs w:val="21"/>
                    </w:rPr>
                    <w:t>、</w:t>
                  </w:r>
                  <w:r>
                    <w:rPr>
                      <w:rFonts w:ascii="Times New Roman" w:hAnsi="Times New Roman" w:eastAsia="Times New Roman" w:cs="Times New Roman"/>
                      <w:color w:val="auto"/>
                      <w:sz w:val="21"/>
                      <w:szCs w:val="21"/>
                    </w:rPr>
                    <w:t>4</w:t>
                  </w:r>
                  <w:r>
                    <w:rPr>
                      <w:rFonts w:ascii="宋体" w:hAnsi="宋体" w:eastAsia="宋体" w:cs="宋体"/>
                      <w:color w:val="auto"/>
                      <w:sz w:val="21"/>
                      <w:szCs w:val="21"/>
                    </w:rPr>
                    <w:t>号瓶放入厨</w:t>
                  </w:r>
                  <w:r>
                    <w:rPr>
                      <w:rFonts w:ascii="宋体" w:hAnsi="宋体" w:eastAsia="宋体" w:cs="宋体"/>
                      <w:color w:val="auto"/>
                      <w:spacing w:val="15"/>
                      <w:sz w:val="21"/>
                      <w:szCs w:val="21"/>
                    </w:rPr>
                    <w:t>柜中，将</w:t>
                  </w:r>
                  <w:r>
                    <w:rPr>
                      <w:rFonts w:ascii="Times New Roman" w:hAnsi="Times New Roman" w:eastAsia="Times New Roman" w:cs="Times New Roman"/>
                      <w:color w:val="auto"/>
                      <w:spacing w:val="15"/>
                      <w:sz w:val="21"/>
                      <w:szCs w:val="21"/>
                    </w:rPr>
                    <w:t>3</w:t>
                  </w:r>
                  <w:r>
                    <w:rPr>
                      <w:rFonts w:ascii="宋体" w:hAnsi="宋体" w:eastAsia="宋体" w:cs="宋体"/>
                      <w:color w:val="auto"/>
                      <w:spacing w:val="15"/>
                      <w:sz w:val="21"/>
                      <w:szCs w:val="21"/>
                    </w:rPr>
                    <w:t>号瓶放入冰箱</w:t>
                  </w:r>
                  <w:r>
                    <w:rPr>
                      <w:rFonts w:ascii="宋体" w:hAnsi="宋体" w:eastAsia="宋体" w:cs="宋体"/>
                      <w:color w:val="auto"/>
                      <w:spacing w:val="2"/>
                      <w:sz w:val="21"/>
                      <w:szCs w:val="21"/>
                    </w:rPr>
                    <w:t>中。过几天再观察看哪个瓶</w:t>
                  </w:r>
                  <w:r>
                    <w:rPr>
                      <w:rFonts w:ascii="宋体" w:hAnsi="宋体" w:eastAsia="宋体" w:cs="宋体"/>
                      <w:color w:val="auto"/>
                      <w:spacing w:val="8"/>
                      <w:sz w:val="21"/>
                      <w:szCs w:val="21"/>
                    </w:rPr>
                    <w:t>里的种子长成了幼苗。</w:t>
                  </w:r>
                </w:p>
              </w:tc>
              <w:tc>
                <w:tcPr>
                  <w:tcW w:w="856" w:type="pct"/>
                  <w:tcBorders>
                    <w:tl2br w:val="nil"/>
                    <w:tr2bl w:val="nil"/>
                  </w:tcBorders>
                  <w:vAlign w:val="center"/>
                </w:tcPr>
                <w:p w14:paraId="3A5DD36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植物的种子</w:t>
                  </w:r>
                  <w:r>
                    <w:rPr>
                      <w:rFonts w:ascii="Times New Roman" w:hAnsi="Times New Roman" w:eastAsia="Times New Roman" w:cs="Times New Roman"/>
                      <w:color w:val="auto"/>
                      <w:spacing w:val="2"/>
                      <w:sz w:val="21"/>
                      <w:szCs w:val="21"/>
                    </w:rPr>
                    <w:t>40</w:t>
                  </w:r>
                  <w:r>
                    <w:rPr>
                      <w:rFonts w:ascii="宋体" w:hAnsi="宋体" w:eastAsia="宋体" w:cs="宋体"/>
                      <w:color w:val="auto"/>
                      <w:spacing w:val="2"/>
                      <w:sz w:val="21"/>
                      <w:szCs w:val="21"/>
                    </w:rPr>
                    <w:t>粒</w:t>
                  </w:r>
                </w:p>
              </w:tc>
              <w:tc>
                <w:tcPr>
                  <w:tcW w:w="675" w:type="pct"/>
                  <w:tcBorders>
                    <w:tl2br w:val="nil"/>
                    <w:tr2bl w:val="nil"/>
                  </w:tcBorders>
                  <w:vAlign w:val="center"/>
                </w:tcPr>
                <w:p w14:paraId="2D5A5E4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能够盖紧</w:t>
                  </w:r>
                  <w:r>
                    <w:rPr>
                      <w:rFonts w:ascii="宋体" w:hAnsi="宋体" w:eastAsia="宋体" w:cs="宋体"/>
                      <w:color w:val="auto"/>
                      <w:spacing w:val="1"/>
                      <w:sz w:val="21"/>
                      <w:szCs w:val="21"/>
                    </w:rPr>
                    <w:t>的玻璃</w:t>
                  </w:r>
                  <w:r>
                    <w:rPr>
                      <w:rFonts w:ascii="宋体" w:hAnsi="宋体" w:eastAsia="宋体" w:cs="宋体"/>
                      <w:color w:val="auto"/>
                      <w:spacing w:val="-12"/>
                      <w:sz w:val="21"/>
                      <w:szCs w:val="21"/>
                    </w:rPr>
                    <w:t>瓶、小勺、</w:t>
                  </w:r>
                </w:p>
                <w:p w14:paraId="1FDE5AC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4"/>
                      <w:sz w:val="21"/>
                      <w:szCs w:val="21"/>
                    </w:rPr>
                    <w:t>餐巾纸、</w:t>
                  </w:r>
                  <w:r>
                    <w:rPr>
                      <w:rFonts w:ascii="宋体" w:hAnsi="宋体" w:eastAsia="宋体" w:cs="宋体"/>
                      <w:color w:val="auto"/>
                      <w:spacing w:val="6"/>
                      <w:sz w:val="21"/>
                      <w:szCs w:val="21"/>
                    </w:rPr>
                    <w:t>标签纸</w:t>
                  </w:r>
                </w:p>
              </w:tc>
              <w:tc>
                <w:tcPr>
                  <w:tcW w:w="537" w:type="pct"/>
                  <w:tcBorders>
                    <w:tl2br w:val="nil"/>
                    <w:tr2bl w:val="nil"/>
                  </w:tcBorders>
                  <w:vAlign w:val="center"/>
                </w:tcPr>
                <w:p w14:paraId="0DE6266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老师</w:t>
                  </w:r>
                  <w:r>
                    <w:rPr>
                      <w:rFonts w:ascii="宋体" w:hAnsi="宋体" w:eastAsia="宋体" w:cs="宋体"/>
                      <w:color w:val="auto"/>
                      <w:spacing w:val="4"/>
                      <w:sz w:val="21"/>
                      <w:szCs w:val="21"/>
                    </w:rPr>
                    <w:t>演示</w:t>
                  </w:r>
                </w:p>
              </w:tc>
            </w:tr>
            <w:tr w14:paraId="51B67C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16184B8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10</w:t>
                  </w:r>
                </w:p>
              </w:tc>
              <w:tc>
                <w:tcPr>
                  <w:tcW w:w="690" w:type="pct"/>
                  <w:tcBorders>
                    <w:tl2br w:val="nil"/>
                    <w:tr2bl w:val="nil"/>
                  </w:tcBorders>
                  <w:vAlign w:val="center"/>
                </w:tcPr>
                <w:p w14:paraId="6E905BB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观察根毛和根尖的</w:t>
                  </w:r>
                  <w:r>
                    <w:rPr>
                      <w:rFonts w:ascii="宋体" w:hAnsi="宋体" w:eastAsia="宋体" w:cs="宋体"/>
                      <w:color w:val="auto"/>
                      <w:spacing w:val="2"/>
                      <w:sz w:val="21"/>
                      <w:szCs w:val="21"/>
                    </w:rPr>
                    <w:t>结构</w:t>
                  </w:r>
                </w:p>
              </w:tc>
              <w:tc>
                <w:tcPr>
                  <w:tcW w:w="1769" w:type="pct"/>
                  <w:tcBorders>
                    <w:tl2br w:val="nil"/>
                    <w:tr2bl w:val="nil"/>
                  </w:tcBorders>
                  <w:vAlign w:val="center"/>
                </w:tcPr>
                <w:p w14:paraId="5D122F5A">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7"/>
                      <w:sz w:val="21"/>
                      <w:szCs w:val="21"/>
                    </w:rPr>
                    <w:t>1</w:t>
                  </w:r>
                  <w:r>
                    <w:rPr>
                      <w:rFonts w:ascii="宋体" w:hAnsi="宋体" w:eastAsia="宋体" w:cs="宋体"/>
                      <w:color w:val="auto"/>
                      <w:spacing w:val="17"/>
                      <w:sz w:val="21"/>
                      <w:szCs w:val="21"/>
                    </w:rPr>
                    <w:t>、先用肉</w:t>
                  </w:r>
                  <w:r>
                    <w:rPr>
                      <w:rFonts w:ascii="宋体" w:hAnsi="宋体" w:eastAsia="宋体" w:cs="宋体"/>
                      <w:color w:val="auto"/>
                      <w:spacing w:val="-50"/>
                      <w:sz w:val="21"/>
                      <w:szCs w:val="21"/>
                    </w:rPr>
                    <w:t xml:space="preserve"> </w:t>
                  </w:r>
                  <w:r>
                    <w:rPr>
                      <w:rFonts w:ascii="宋体" w:hAnsi="宋体" w:eastAsia="宋体" w:cs="宋体"/>
                      <w:color w:val="auto"/>
                      <w:spacing w:val="17"/>
                      <w:sz w:val="21"/>
                      <w:szCs w:val="21"/>
                    </w:rPr>
                    <w:t>眼</w:t>
                  </w:r>
                  <w:r>
                    <w:rPr>
                      <w:rFonts w:ascii="宋体" w:hAnsi="宋体" w:eastAsia="宋体" w:cs="宋体"/>
                      <w:color w:val="auto"/>
                      <w:spacing w:val="-60"/>
                      <w:sz w:val="21"/>
                      <w:szCs w:val="21"/>
                    </w:rPr>
                    <w:t xml:space="preserve"> </w:t>
                  </w:r>
                  <w:r>
                    <w:rPr>
                      <w:rFonts w:ascii="宋体" w:hAnsi="宋体" w:eastAsia="宋体" w:cs="宋体"/>
                      <w:color w:val="auto"/>
                      <w:spacing w:val="17"/>
                      <w:sz w:val="21"/>
                      <w:szCs w:val="21"/>
                    </w:rPr>
                    <w:t>直接观察幼</w:t>
                  </w:r>
                  <w:r>
                    <w:rPr>
                      <w:rFonts w:ascii="宋体" w:hAnsi="宋体" w:eastAsia="宋体" w:cs="宋体"/>
                      <w:color w:val="auto"/>
                      <w:spacing w:val="1"/>
                      <w:sz w:val="21"/>
                      <w:szCs w:val="21"/>
                    </w:rPr>
                    <w:t>根，找到着生在幼根上的白</w:t>
                  </w:r>
                  <w:r>
                    <w:rPr>
                      <w:rFonts w:ascii="宋体" w:hAnsi="宋体" w:eastAsia="宋体" w:cs="宋体"/>
                      <w:color w:val="auto"/>
                      <w:spacing w:val="3"/>
                      <w:sz w:val="21"/>
                      <w:szCs w:val="21"/>
                    </w:rPr>
                    <w:t>色</w:t>
                  </w:r>
                  <w:r>
                    <w:rPr>
                      <w:rFonts w:hint="eastAsia" w:ascii="Times New Roman" w:hAnsi="Times New Roman" w:eastAsia="宋体" w:cs="Times New Roman"/>
                      <w:color w:val="auto"/>
                      <w:spacing w:val="3"/>
                      <w:sz w:val="21"/>
                      <w:szCs w:val="21"/>
                      <w:lang w:eastAsia="zh-CN"/>
                    </w:rPr>
                    <w:t>“</w:t>
                  </w:r>
                  <w:r>
                    <w:rPr>
                      <w:rFonts w:ascii="宋体" w:hAnsi="宋体" w:eastAsia="宋体" w:cs="宋体"/>
                      <w:color w:val="auto"/>
                      <w:spacing w:val="3"/>
                      <w:sz w:val="21"/>
                      <w:szCs w:val="21"/>
                    </w:rPr>
                    <w:t>绒毛</w:t>
                  </w:r>
                  <w:r>
                    <w:rPr>
                      <w:rFonts w:hint="eastAsia" w:ascii="Times New Roman" w:hAnsi="Times New Roman" w:eastAsia="宋体" w:cs="Times New Roman"/>
                      <w:color w:val="auto"/>
                      <w:spacing w:val="3"/>
                      <w:sz w:val="21"/>
                      <w:szCs w:val="21"/>
                      <w:lang w:eastAsia="zh-CN"/>
                    </w:rPr>
                    <w:t>”</w:t>
                  </w:r>
                  <w:r>
                    <w:rPr>
                      <w:rFonts w:ascii="宋体" w:hAnsi="宋体" w:eastAsia="宋体" w:cs="宋体"/>
                      <w:color w:val="auto"/>
                      <w:spacing w:val="3"/>
                      <w:sz w:val="21"/>
                      <w:szCs w:val="21"/>
                    </w:rPr>
                    <w:t>，这就是根毛。通</w:t>
                  </w:r>
                  <w:r>
                    <w:rPr>
                      <w:rFonts w:ascii="宋体" w:hAnsi="宋体" w:eastAsia="宋体" w:cs="宋体"/>
                      <w:color w:val="auto"/>
                      <w:spacing w:val="8"/>
                      <w:sz w:val="21"/>
                      <w:szCs w:val="21"/>
                    </w:rPr>
                    <w:t>过放大镜仔细观察根毛。</w:t>
                  </w:r>
                </w:p>
                <w:p w14:paraId="71A3784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2</w:t>
                  </w:r>
                  <w:r>
                    <w:rPr>
                      <w:rFonts w:ascii="宋体" w:hAnsi="宋体" w:eastAsia="宋体" w:cs="宋体"/>
                      <w:color w:val="auto"/>
                      <w:spacing w:val="8"/>
                      <w:sz w:val="21"/>
                      <w:szCs w:val="21"/>
                    </w:rPr>
                    <w:t>、通过显微镜观察根尖的</w:t>
                  </w:r>
                  <w:r>
                    <w:rPr>
                      <w:rFonts w:ascii="宋体" w:hAnsi="宋体" w:eastAsia="宋体" w:cs="宋体"/>
                      <w:color w:val="auto"/>
                      <w:spacing w:val="1"/>
                      <w:sz w:val="21"/>
                      <w:szCs w:val="21"/>
                    </w:rPr>
                    <w:t>永久切片，看看构成根尖的</w:t>
                  </w:r>
                  <w:r>
                    <w:rPr>
                      <w:rFonts w:ascii="宋体" w:hAnsi="宋体" w:eastAsia="宋体" w:cs="宋体"/>
                      <w:color w:val="auto"/>
                      <w:spacing w:val="20"/>
                      <w:sz w:val="21"/>
                      <w:szCs w:val="21"/>
                    </w:rPr>
                    <w:t>不同部位的细胞有什么特</w:t>
                  </w:r>
                  <w:r>
                    <w:rPr>
                      <w:rFonts w:ascii="宋体" w:hAnsi="宋体" w:eastAsia="宋体" w:cs="宋体"/>
                      <w:color w:val="auto"/>
                      <w:spacing w:val="-1"/>
                      <w:sz w:val="21"/>
                      <w:szCs w:val="21"/>
                    </w:rPr>
                    <w:t>点。</w:t>
                  </w:r>
                </w:p>
              </w:tc>
              <w:tc>
                <w:tcPr>
                  <w:tcW w:w="856" w:type="pct"/>
                  <w:tcBorders>
                    <w:tl2br w:val="nil"/>
                    <w:tr2bl w:val="nil"/>
                  </w:tcBorders>
                  <w:vAlign w:val="center"/>
                </w:tcPr>
                <w:p w14:paraId="05FB37B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4"/>
                      <w:sz w:val="21"/>
                      <w:szCs w:val="21"/>
                    </w:rPr>
                    <w:t>已经长出根毛</w:t>
                  </w:r>
                  <w:r>
                    <w:rPr>
                      <w:rFonts w:ascii="宋体" w:hAnsi="宋体" w:eastAsia="宋体" w:cs="宋体"/>
                      <w:color w:val="auto"/>
                      <w:spacing w:val="5"/>
                      <w:sz w:val="21"/>
                      <w:szCs w:val="21"/>
                    </w:rPr>
                    <w:t>的幼苗，根尖</w:t>
                  </w:r>
                  <w:r>
                    <w:rPr>
                      <w:rFonts w:ascii="宋体" w:hAnsi="宋体" w:eastAsia="宋体" w:cs="宋体"/>
                      <w:color w:val="auto"/>
                      <w:spacing w:val="25"/>
                      <w:sz w:val="21"/>
                      <w:szCs w:val="21"/>
                    </w:rPr>
                    <w:t>的永久切片</w:t>
                  </w:r>
                </w:p>
              </w:tc>
              <w:tc>
                <w:tcPr>
                  <w:tcW w:w="675" w:type="pct"/>
                  <w:tcBorders>
                    <w:tl2br w:val="nil"/>
                    <w:tr2bl w:val="nil"/>
                  </w:tcBorders>
                  <w:vAlign w:val="center"/>
                </w:tcPr>
                <w:p w14:paraId="32F2FFE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1"/>
                      <w:sz w:val="21"/>
                      <w:szCs w:val="21"/>
                    </w:rPr>
                    <w:t>已经长出</w:t>
                  </w:r>
                  <w:r>
                    <w:rPr>
                      <w:rFonts w:ascii="宋体" w:hAnsi="宋体" w:eastAsia="宋体" w:cs="宋体"/>
                      <w:color w:val="auto"/>
                      <w:spacing w:val="7"/>
                      <w:sz w:val="21"/>
                      <w:szCs w:val="21"/>
                    </w:rPr>
                    <w:t>根毛的幼</w:t>
                  </w:r>
                  <w:r>
                    <w:rPr>
                      <w:rFonts w:ascii="宋体" w:hAnsi="宋体" w:eastAsia="宋体" w:cs="宋体"/>
                      <w:color w:val="auto"/>
                      <w:spacing w:val="6"/>
                      <w:sz w:val="21"/>
                      <w:szCs w:val="21"/>
                    </w:rPr>
                    <w:t>苗，根尖</w:t>
                  </w:r>
                  <w:r>
                    <w:rPr>
                      <w:rFonts w:ascii="宋体" w:hAnsi="宋体" w:eastAsia="宋体" w:cs="宋体"/>
                      <w:color w:val="auto"/>
                      <w:spacing w:val="3"/>
                      <w:sz w:val="21"/>
                      <w:szCs w:val="21"/>
                    </w:rPr>
                    <w:t>的永久切</w:t>
                  </w:r>
                  <w:r>
                    <w:rPr>
                      <w:rFonts w:ascii="宋体" w:hAnsi="宋体" w:eastAsia="宋体" w:cs="宋体"/>
                      <w:color w:val="auto"/>
                      <w:sz w:val="21"/>
                      <w:szCs w:val="21"/>
                    </w:rPr>
                    <w:t>片</w:t>
                  </w:r>
                </w:p>
              </w:tc>
              <w:tc>
                <w:tcPr>
                  <w:tcW w:w="537" w:type="pct"/>
                  <w:tcBorders>
                    <w:tl2br w:val="nil"/>
                    <w:tr2bl w:val="nil"/>
                  </w:tcBorders>
                  <w:vAlign w:val="center"/>
                </w:tcPr>
                <w:p w14:paraId="5C1F6BC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老师</w:t>
                  </w:r>
                  <w:r>
                    <w:rPr>
                      <w:rFonts w:ascii="宋体" w:hAnsi="宋体" w:eastAsia="宋体" w:cs="宋体"/>
                      <w:color w:val="auto"/>
                      <w:spacing w:val="4"/>
                      <w:sz w:val="21"/>
                      <w:szCs w:val="21"/>
                    </w:rPr>
                    <w:t>演示</w:t>
                  </w:r>
                </w:p>
              </w:tc>
            </w:tr>
            <w:tr w14:paraId="2FEF0B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439B540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0"/>
                      <w:sz w:val="21"/>
                      <w:szCs w:val="21"/>
                    </w:rPr>
                    <w:t>11</w:t>
                  </w:r>
                </w:p>
              </w:tc>
              <w:tc>
                <w:tcPr>
                  <w:tcW w:w="690" w:type="pct"/>
                  <w:tcBorders>
                    <w:tl2br w:val="nil"/>
                    <w:tr2bl w:val="nil"/>
                  </w:tcBorders>
                  <w:vAlign w:val="center"/>
                </w:tcPr>
                <w:p w14:paraId="03C1AEE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观察桃花</w:t>
                  </w:r>
                  <w:r>
                    <w:rPr>
                      <w:rFonts w:ascii="宋体" w:hAnsi="宋体" w:eastAsia="宋体" w:cs="宋体"/>
                      <w:color w:val="auto"/>
                      <w:spacing w:val="1"/>
                      <w:sz w:val="21"/>
                      <w:szCs w:val="21"/>
                    </w:rPr>
                    <w:t>的结构</w:t>
                  </w:r>
                </w:p>
              </w:tc>
              <w:tc>
                <w:tcPr>
                  <w:tcW w:w="1769" w:type="pct"/>
                  <w:tcBorders>
                    <w:tl2br w:val="nil"/>
                    <w:tr2bl w:val="nil"/>
                  </w:tcBorders>
                  <w:vAlign w:val="center"/>
                </w:tcPr>
                <w:p w14:paraId="79F9E82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宋体" w:hAnsi="宋体" w:eastAsia="宋体" w:cs="宋体"/>
                      <w:color w:val="auto"/>
                      <w:sz w:val="21"/>
                      <w:szCs w:val="21"/>
                      <w:lang w:eastAsia="zh-CN"/>
                    </w:rPr>
                  </w:pPr>
                  <w:r>
                    <w:rPr>
                      <w:rFonts w:ascii="Times New Roman" w:hAnsi="Times New Roman" w:eastAsia="Times New Roman" w:cs="Times New Roman"/>
                      <w:color w:val="auto"/>
                      <w:spacing w:val="4"/>
                      <w:sz w:val="21"/>
                      <w:szCs w:val="21"/>
                    </w:rPr>
                    <w:t>1.</w:t>
                  </w:r>
                  <w:r>
                    <w:rPr>
                      <w:rFonts w:ascii="宋体" w:hAnsi="宋体" w:eastAsia="宋体" w:cs="宋体"/>
                      <w:color w:val="auto"/>
                      <w:spacing w:val="4"/>
                      <w:sz w:val="21"/>
                      <w:szCs w:val="21"/>
                    </w:rPr>
                    <w:t>取一朵桃花，观察它的外</w:t>
                  </w:r>
                  <w:r>
                    <w:rPr>
                      <w:rFonts w:ascii="宋体" w:hAnsi="宋体" w:eastAsia="宋体" w:cs="宋体"/>
                      <w:color w:val="auto"/>
                      <w:sz w:val="21"/>
                      <w:szCs w:val="21"/>
                    </w:rPr>
                    <w:t>形</w:t>
                  </w:r>
                  <w:r>
                    <w:rPr>
                      <w:rFonts w:hint="eastAsia" w:ascii="宋体" w:hAnsi="宋体" w:eastAsia="宋体" w:cs="宋体"/>
                      <w:color w:val="auto"/>
                      <w:sz w:val="21"/>
                      <w:szCs w:val="21"/>
                      <w:lang w:eastAsia="zh-CN"/>
                    </w:rPr>
                    <w:t>。</w:t>
                  </w:r>
                </w:p>
                <w:p w14:paraId="335079A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宋体" w:hAnsi="宋体" w:eastAsia="宋体" w:cs="宋体"/>
                      <w:color w:val="auto"/>
                      <w:sz w:val="21"/>
                      <w:szCs w:val="21"/>
                      <w:lang w:eastAsia="zh-CN"/>
                    </w:rPr>
                  </w:pPr>
                  <w:r>
                    <w:rPr>
                      <w:rFonts w:ascii="Times New Roman" w:hAnsi="Times New Roman" w:eastAsia="Times New Roman" w:cs="Times New Roman"/>
                      <w:color w:val="auto"/>
                      <w:spacing w:val="20"/>
                      <w:sz w:val="21"/>
                      <w:szCs w:val="21"/>
                    </w:rPr>
                    <w:t>2.</w:t>
                  </w:r>
                  <w:r>
                    <w:rPr>
                      <w:rFonts w:ascii="宋体" w:hAnsi="宋体" w:eastAsia="宋体" w:cs="宋体"/>
                      <w:color w:val="auto"/>
                      <w:spacing w:val="20"/>
                      <w:sz w:val="21"/>
                      <w:szCs w:val="21"/>
                    </w:rPr>
                    <w:t>用镊子从外向内依次摘</w:t>
                  </w:r>
                  <w:r>
                    <w:rPr>
                      <w:rFonts w:ascii="宋体" w:hAnsi="宋体" w:eastAsia="宋体" w:cs="宋体"/>
                      <w:color w:val="auto"/>
                      <w:spacing w:val="-10"/>
                      <w:sz w:val="21"/>
                      <w:szCs w:val="21"/>
                    </w:rPr>
                    <w:t>下萼片、花瓣、雄蕊和雌蕊，</w:t>
                  </w:r>
                  <w:r>
                    <w:rPr>
                      <w:rFonts w:ascii="宋体" w:hAnsi="宋体" w:eastAsia="宋体" w:cs="宋体"/>
                      <w:color w:val="auto"/>
                      <w:spacing w:val="20"/>
                      <w:sz w:val="21"/>
                      <w:szCs w:val="21"/>
                    </w:rPr>
                    <w:t>仔细观察雄蕊和雌蕊的结</w:t>
                  </w:r>
                  <w:r>
                    <w:rPr>
                      <w:rFonts w:ascii="宋体" w:hAnsi="宋体" w:eastAsia="宋体" w:cs="宋体"/>
                      <w:color w:val="auto"/>
                      <w:sz w:val="21"/>
                      <w:szCs w:val="21"/>
                    </w:rPr>
                    <w:t>构</w:t>
                  </w:r>
                  <w:r>
                    <w:rPr>
                      <w:rFonts w:hint="eastAsia" w:ascii="宋体" w:hAnsi="宋体" w:eastAsia="宋体" w:cs="宋体"/>
                      <w:color w:val="auto"/>
                      <w:sz w:val="21"/>
                      <w:szCs w:val="21"/>
                      <w:lang w:eastAsia="zh-CN"/>
                    </w:rPr>
                    <w:t>。</w:t>
                  </w:r>
                </w:p>
                <w:p w14:paraId="1F5727D6">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5"/>
                      <w:sz w:val="21"/>
                      <w:szCs w:val="21"/>
                    </w:rPr>
                    <w:t>3.</w:t>
                  </w:r>
                  <w:r>
                    <w:rPr>
                      <w:rFonts w:ascii="宋体" w:hAnsi="宋体" w:eastAsia="宋体" w:cs="宋体"/>
                      <w:color w:val="auto"/>
                      <w:spacing w:val="5"/>
                      <w:sz w:val="21"/>
                      <w:szCs w:val="21"/>
                    </w:rPr>
                    <w:t>用镊子夹开一个花药，在</w:t>
                  </w:r>
                  <w:r>
                    <w:rPr>
                      <w:rFonts w:ascii="宋体" w:hAnsi="宋体" w:eastAsia="宋体" w:cs="宋体"/>
                      <w:color w:val="auto"/>
                      <w:spacing w:val="20"/>
                      <w:sz w:val="21"/>
                      <w:szCs w:val="21"/>
                    </w:rPr>
                    <w:t>放大镜下观察花药里面的</w:t>
                  </w:r>
                  <w:r>
                    <w:rPr>
                      <w:rFonts w:ascii="宋体" w:hAnsi="宋体" w:eastAsia="宋体" w:cs="宋体"/>
                      <w:color w:val="auto"/>
                      <w:spacing w:val="3"/>
                      <w:sz w:val="21"/>
                      <w:szCs w:val="21"/>
                    </w:rPr>
                    <w:t>花粉。</w:t>
                  </w:r>
                </w:p>
                <w:p w14:paraId="4D44D1E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6"/>
                      <w:sz w:val="21"/>
                      <w:szCs w:val="21"/>
                    </w:rPr>
                    <w:t>4.</w:t>
                  </w:r>
                  <w:r>
                    <w:rPr>
                      <w:rFonts w:ascii="宋体" w:hAnsi="宋体" w:eastAsia="宋体" w:cs="宋体"/>
                      <w:color w:val="auto"/>
                      <w:spacing w:val="6"/>
                      <w:sz w:val="21"/>
                      <w:szCs w:val="21"/>
                    </w:rPr>
                    <w:t>用刀片纵向剖开子房，在</w:t>
                  </w:r>
                  <w:r>
                    <w:rPr>
                      <w:rFonts w:ascii="宋体" w:hAnsi="宋体" w:eastAsia="宋体" w:cs="宋体"/>
                      <w:color w:val="auto"/>
                      <w:spacing w:val="20"/>
                      <w:sz w:val="21"/>
                      <w:szCs w:val="21"/>
                    </w:rPr>
                    <w:t>放大镜下观察子房里面的</w:t>
                  </w:r>
                  <w:r>
                    <w:rPr>
                      <w:rFonts w:ascii="宋体" w:hAnsi="宋体" w:eastAsia="宋体" w:cs="宋体"/>
                      <w:color w:val="auto"/>
                      <w:spacing w:val="3"/>
                      <w:sz w:val="21"/>
                      <w:szCs w:val="21"/>
                    </w:rPr>
                    <w:t>胚珠。</w:t>
                  </w:r>
                </w:p>
              </w:tc>
              <w:tc>
                <w:tcPr>
                  <w:tcW w:w="856" w:type="pct"/>
                  <w:tcBorders>
                    <w:tl2br w:val="nil"/>
                    <w:tr2bl w:val="nil"/>
                  </w:tcBorders>
                  <w:vAlign w:val="center"/>
                </w:tcPr>
                <w:p w14:paraId="07A7683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4"/>
                      <w:sz w:val="21"/>
                      <w:szCs w:val="21"/>
                    </w:rPr>
                    <w:t>桃花</w:t>
                  </w:r>
                </w:p>
              </w:tc>
              <w:tc>
                <w:tcPr>
                  <w:tcW w:w="675" w:type="pct"/>
                  <w:tcBorders>
                    <w:tl2br w:val="nil"/>
                    <w:tr2bl w:val="nil"/>
                  </w:tcBorders>
                  <w:vAlign w:val="center"/>
                </w:tcPr>
                <w:p w14:paraId="713FFF4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镊子、刀片、放大</w:t>
                  </w:r>
                  <w:r>
                    <w:rPr>
                      <w:rFonts w:ascii="宋体" w:hAnsi="宋体" w:eastAsia="宋体" w:cs="宋体"/>
                      <w:color w:val="auto"/>
                      <w:spacing w:val="-5"/>
                      <w:sz w:val="21"/>
                      <w:szCs w:val="21"/>
                    </w:rPr>
                    <w:t>镜、</w:t>
                  </w:r>
                  <w:r>
                    <w:rPr>
                      <w:rFonts w:ascii="宋体" w:hAnsi="宋体" w:eastAsia="宋体" w:cs="宋体"/>
                      <w:color w:val="auto"/>
                      <w:spacing w:val="-53"/>
                      <w:sz w:val="21"/>
                      <w:szCs w:val="21"/>
                    </w:rPr>
                    <w:t xml:space="preserve"> </w:t>
                  </w:r>
                  <w:r>
                    <w:rPr>
                      <w:rFonts w:ascii="宋体" w:hAnsi="宋体" w:eastAsia="宋体" w:cs="宋体"/>
                      <w:color w:val="auto"/>
                      <w:spacing w:val="-5"/>
                      <w:sz w:val="21"/>
                      <w:szCs w:val="21"/>
                    </w:rPr>
                    <w:t>白纸</w:t>
                  </w:r>
                </w:p>
              </w:tc>
              <w:tc>
                <w:tcPr>
                  <w:tcW w:w="537" w:type="pct"/>
                  <w:tcBorders>
                    <w:tl2br w:val="nil"/>
                    <w:tr2bl w:val="nil"/>
                  </w:tcBorders>
                  <w:vAlign w:val="center"/>
                </w:tcPr>
                <w:p w14:paraId="1894248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07B121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4DB594A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12</w:t>
                  </w:r>
                </w:p>
              </w:tc>
              <w:tc>
                <w:tcPr>
                  <w:tcW w:w="690" w:type="pct"/>
                  <w:tcBorders>
                    <w:tl2br w:val="nil"/>
                    <w:tr2bl w:val="nil"/>
                  </w:tcBorders>
                  <w:vAlign w:val="center"/>
                </w:tcPr>
                <w:p w14:paraId="71DAE7C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观察叶片</w:t>
                  </w:r>
                  <w:r>
                    <w:rPr>
                      <w:rFonts w:ascii="宋体" w:hAnsi="宋体" w:eastAsia="宋体" w:cs="宋体"/>
                      <w:color w:val="auto"/>
                      <w:spacing w:val="1"/>
                      <w:sz w:val="21"/>
                      <w:szCs w:val="21"/>
                    </w:rPr>
                    <w:t>的结构</w:t>
                  </w:r>
                </w:p>
              </w:tc>
              <w:tc>
                <w:tcPr>
                  <w:tcW w:w="1769" w:type="pct"/>
                  <w:tcBorders>
                    <w:tl2br w:val="nil"/>
                    <w:tr2bl w:val="nil"/>
                  </w:tcBorders>
                  <w:vAlign w:val="center"/>
                </w:tcPr>
                <w:p w14:paraId="1CA79AA7">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6"/>
                      <w:sz w:val="21"/>
                      <w:szCs w:val="21"/>
                    </w:rPr>
                    <w:t>1.</w:t>
                  </w:r>
                  <w:r>
                    <w:rPr>
                      <w:rFonts w:ascii="宋体" w:hAnsi="宋体" w:eastAsia="宋体" w:cs="宋体"/>
                      <w:color w:val="auto"/>
                      <w:spacing w:val="6"/>
                      <w:sz w:val="21"/>
                      <w:szCs w:val="21"/>
                    </w:rPr>
                    <w:t>将新鲜叶片放置在显微镜玻璃片上。</w:t>
                  </w:r>
                </w:p>
                <w:p w14:paraId="24EE057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2.</w:t>
                  </w:r>
                  <w:r>
                    <w:rPr>
                      <w:rFonts w:ascii="宋体" w:hAnsi="宋体" w:eastAsia="宋体" w:cs="宋体"/>
                      <w:color w:val="auto"/>
                      <w:spacing w:val="8"/>
                      <w:sz w:val="21"/>
                      <w:szCs w:val="21"/>
                    </w:rPr>
                    <w:t>用显微镜观察叶片的整</w:t>
                  </w:r>
                  <w:r>
                    <w:rPr>
                      <w:rFonts w:ascii="宋体" w:hAnsi="宋体" w:eastAsia="宋体" w:cs="宋体"/>
                      <w:color w:val="auto"/>
                      <w:spacing w:val="7"/>
                      <w:sz w:val="21"/>
                      <w:szCs w:val="21"/>
                    </w:rPr>
                    <w:t>体形态和细胞结构。</w:t>
                  </w:r>
                </w:p>
                <w:p w14:paraId="19943C6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5"/>
                      <w:sz w:val="21"/>
                      <w:szCs w:val="21"/>
                    </w:rPr>
                    <w:t>3.</w:t>
                  </w:r>
                  <w:r>
                    <w:rPr>
                      <w:rFonts w:ascii="宋体" w:hAnsi="宋体" w:eastAsia="宋体" w:cs="宋体"/>
                      <w:color w:val="auto"/>
                      <w:spacing w:val="5"/>
                      <w:sz w:val="21"/>
                      <w:szCs w:val="21"/>
                    </w:rPr>
                    <w:t>如果叶片过厚，可以将其</w:t>
                  </w:r>
                  <w:r>
                    <w:rPr>
                      <w:rFonts w:ascii="宋体" w:hAnsi="宋体" w:eastAsia="宋体" w:cs="宋体"/>
                      <w:color w:val="auto"/>
                      <w:spacing w:val="7"/>
                      <w:sz w:val="21"/>
                      <w:szCs w:val="21"/>
                    </w:rPr>
                    <w:t>切片后再观察。</w:t>
                  </w:r>
                </w:p>
                <w:p w14:paraId="396AA77B">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4.</w:t>
                  </w:r>
                  <w:r>
                    <w:rPr>
                      <w:rFonts w:ascii="宋体" w:hAnsi="宋体" w:eastAsia="宋体" w:cs="宋体"/>
                      <w:color w:val="auto"/>
                      <w:spacing w:val="8"/>
                      <w:sz w:val="21"/>
                      <w:szCs w:val="21"/>
                    </w:rPr>
                    <w:t>用盐水或石蜡处理叶片</w:t>
                  </w:r>
                  <w:r>
                    <w:rPr>
                      <w:rFonts w:ascii="宋体" w:hAnsi="宋体" w:eastAsia="宋体" w:cs="宋体"/>
                      <w:color w:val="auto"/>
                      <w:spacing w:val="2"/>
                      <w:sz w:val="21"/>
                      <w:szCs w:val="21"/>
                    </w:rPr>
                    <w:t>样本，以便更清楚地观察细</w:t>
                  </w:r>
                  <w:r>
                    <w:rPr>
                      <w:rFonts w:ascii="宋体" w:hAnsi="宋体" w:eastAsia="宋体" w:cs="宋体"/>
                      <w:color w:val="auto"/>
                      <w:spacing w:val="5"/>
                      <w:sz w:val="21"/>
                      <w:szCs w:val="21"/>
                    </w:rPr>
                    <w:t>胞结构。</w:t>
                  </w:r>
                </w:p>
                <w:p w14:paraId="41417837">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7"/>
                      <w:sz w:val="21"/>
                      <w:szCs w:val="21"/>
                    </w:rPr>
                    <w:t>5.</w:t>
                  </w:r>
                  <w:r>
                    <w:rPr>
                      <w:rFonts w:ascii="宋体" w:hAnsi="宋体" w:eastAsia="宋体" w:cs="宋体"/>
                      <w:color w:val="auto"/>
                      <w:spacing w:val="7"/>
                      <w:sz w:val="21"/>
                      <w:szCs w:val="21"/>
                    </w:rPr>
                    <w:t>制作徒手切片，用显微</w:t>
                  </w:r>
                  <w:r>
                    <w:rPr>
                      <w:rFonts w:ascii="宋体" w:hAnsi="宋体" w:eastAsia="宋体" w:cs="宋体"/>
                      <w:color w:val="auto"/>
                      <w:spacing w:val="9"/>
                      <w:sz w:val="21"/>
                      <w:szCs w:val="21"/>
                    </w:rPr>
                    <w:t>镜观察叶片的横切面和表</w:t>
                  </w:r>
                  <w:r>
                    <w:rPr>
                      <w:rFonts w:ascii="宋体" w:hAnsi="宋体" w:eastAsia="宋体" w:cs="宋体"/>
                      <w:color w:val="auto"/>
                      <w:spacing w:val="8"/>
                      <w:sz w:val="21"/>
                      <w:szCs w:val="21"/>
                    </w:rPr>
                    <w:t>皮，识别叶片的结构</w:t>
                  </w:r>
                </w:p>
              </w:tc>
              <w:tc>
                <w:tcPr>
                  <w:tcW w:w="856" w:type="pct"/>
                  <w:tcBorders>
                    <w:tl2br w:val="nil"/>
                    <w:tr2bl w:val="nil"/>
                  </w:tcBorders>
                  <w:vAlign w:val="center"/>
                </w:tcPr>
                <w:p w14:paraId="592565B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新鲜叶片样</w:t>
                  </w:r>
                  <w:r>
                    <w:rPr>
                      <w:rFonts w:ascii="宋体" w:hAnsi="宋体" w:eastAsia="宋体" w:cs="宋体"/>
                      <w:color w:val="auto"/>
                      <w:spacing w:val="8"/>
                      <w:sz w:val="21"/>
                      <w:szCs w:val="21"/>
                    </w:rPr>
                    <w:t>本、盐水或石</w:t>
                  </w:r>
                  <w:r>
                    <w:rPr>
                      <w:rFonts w:ascii="宋体" w:hAnsi="宋体" w:eastAsia="宋体" w:cs="宋体"/>
                      <w:color w:val="auto"/>
                      <w:sz w:val="21"/>
                      <w:szCs w:val="21"/>
                    </w:rPr>
                    <w:t>蜡</w:t>
                  </w:r>
                </w:p>
              </w:tc>
              <w:tc>
                <w:tcPr>
                  <w:tcW w:w="675" w:type="pct"/>
                  <w:tcBorders>
                    <w:tl2br w:val="nil"/>
                    <w:tr2bl w:val="nil"/>
                  </w:tcBorders>
                  <w:vAlign w:val="center"/>
                </w:tcPr>
                <w:p w14:paraId="63C64C4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显微镜</w:t>
                  </w:r>
                </w:p>
              </w:tc>
              <w:tc>
                <w:tcPr>
                  <w:tcW w:w="537" w:type="pct"/>
                  <w:tcBorders>
                    <w:tl2br w:val="nil"/>
                    <w:tr2bl w:val="nil"/>
                  </w:tcBorders>
                  <w:vAlign w:val="center"/>
                </w:tcPr>
                <w:p w14:paraId="056B1A9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57795E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1353BDC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13</w:t>
                  </w:r>
                </w:p>
              </w:tc>
              <w:tc>
                <w:tcPr>
                  <w:tcW w:w="690" w:type="pct"/>
                  <w:tcBorders>
                    <w:tl2br w:val="nil"/>
                    <w:tr2bl w:val="nil"/>
                  </w:tcBorders>
                  <w:vAlign w:val="center"/>
                </w:tcPr>
                <w:p w14:paraId="2C9B707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植物细胞</w:t>
                  </w:r>
                  <w:r>
                    <w:rPr>
                      <w:rFonts w:ascii="宋体" w:hAnsi="宋体" w:eastAsia="宋体" w:cs="宋体"/>
                      <w:color w:val="auto"/>
                      <w:spacing w:val="3"/>
                      <w:sz w:val="21"/>
                      <w:szCs w:val="21"/>
                    </w:rPr>
                    <w:t>的吸水和</w:t>
                  </w:r>
                  <w:r>
                    <w:rPr>
                      <w:rFonts w:ascii="宋体" w:hAnsi="宋体" w:eastAsia="宋体" w:cs="宋体"/>
                      <w:color w:val="auto"/>
                      <w:spacing w:val="2"/>
                      <w:sz w:val="21"/>
                      <w:szCs w:val="21"/>
                    </w:rPr>
                    <w:t>失水</w:t>
                  </w:r>
                </w:p>
              </w:tc>
              <w:tc>
                <w:tcPr>
                  <w:tcW w:w="1769" w:type="pct"/>
                  <w:tcBorders>
                    <w:tl2br w:val="nil"/>
                    <w:tr2bl w:val="nil"/>
                  </w:tcBorders>
                  <w:vAlign w:val="center"/>
                </w:tcPr>
                <w:p w14:paraId="0B3C42CC">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7"/>
                      <w:sz w:val="21"/>
                      <w:szCs w:val="21"/>
                    </w:rPr>
                    <w:t>1</w:t>
                  </w:r>
                  <w:r>
                    <w:rPr>
                      <w:rFonts w:ascii="宋体" w:hAnsi="宋体" w:eastAsia="宋体" w:cs="宋体"/>
                      <w:color w:val="auto"/>
                      <w:spacing w:val="7"/>
                      <w:sz w:val="21"/>
                      <w:szCs w:val="21"/>
                    </w:rPr>
                    <w:t>、制作装片：首先，在洁</w:t>
                  </w:r>
                  <w:r>
                    <w:rPr>
                      <w:rFonts w:ascii="宋体" w:hAnsi="宋体" w:eastAsia="宋体" w:cs="宋体"/>
                      <w:color w:val="auto"/>
                      <w:spacing w:val="5"/>
                      <w:sz w:val="21"/>
                      <w:szCs w:val="21"/>
                    </w:rPr>
                    <w:t>净的载玻片上滴一滴清水，然后选取新鲜洋葱鳞片叶，</w:t>
                  </w:r>
                  <w:r>
                    <w:rPr>
                      <w:rFonts w:ascii="宋体" w:hAnsi="宋体" w:eastAsia="宋体" w:cs="宋体"/>
                      <w:color w:val="auto"/>
                      <w:spacing w:val="20"/>
                      <w:sz w:val="21"/>
                      <w:szCs w:val="21"/>
                    </w:rPr>
                    <w:t>用刀片在外表皮上划一方</w:t>
                  </w:r>
                  <w:r>
                    <w:rPr>
                      <w:rFonts w:ascii="宋体" w:hAnsi="宋体" w:eastAsia="宋体" w:cs="宋体"/>
                      <w:color w:val="auto"/>
                      <w:spacing w:val="5"/>
                      <w:sz w:val="21"/>
                      <w:szCs w:val="21"/>
                    </w:rPr>
                    <w:t>框，接着用镊子撕下表皮，</w:t>
                  </w:r>
                  <w:r>
                    <w:rPr>
                      <w:rFonts w:ascii="宋体" w:hAnsi="宋体" w:eastAsia="宋体" w:cs="宋体"/>
                      <w:color w:val="auto"/>
                      <w:spacing w:val="20"/>
                      <w:sz w:val="21"/>
                      <w:szCs w:val="21"/>
                    </w:rPr>
                    <w:t>并将撕下的表皮放在水滴</w:t>
                  </w:r>
                  <w:r>
                    <w:rPr>
                      <w:rFonts w:ascii="宋体" w:hAnsi="宋体" w:eastAsia="宋体" w:cs="宋体"/>
                      <w:color w:val="auto"/>
                      <w:spacing w:val="2"/>
                      <w:sz w:val="21"/>
                      <w:szCs w:val="21"/>
                    </w:rPr>
                    <w:t>中展平。之后，缓慢盖上盖玻片，防止产生气泡，制成</w:t>
                  </w:r>
                  <w:r>
                    <w:rPr>
                      <w:rFonts w:ascii="宋体" w:hAnsi="宋体" w:eastAsia="宋体" w:cs="宋体"/>
                      <w:color w:val="auto"/>
                      <w:spacing w:val="6"/>
                      <w:sz w:val="21"/>
                      <w:szCs w:val="21"/>
                    </w:rPr>
                    <w:t>临时装片。</w:t>
                  </w:r>
                </w:p>
                <w:p w14:paraId="65173F9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2</w:t>
                  </w:r>
                  <w:r>
                    <w:rPr>
                      <w:rFonts w:ascii="宋体" w:hAnsi="宋体" w:eastAsia="宋体" w:cs="宋体"/>
                      <w:color w:val="auto"/>
                      <w:spacing w:val="8"/>
                      <w:sz w:val="21"/>
                      <w:szCs w:val="21"/>
                    </w:rPr>
                    <w:t>、观察细胞原态：将临时</w:t>
                  </w:r>
                  <w:r>
                    <w:rPr>
                      <w:rFonts w:ascii="宋体" w:hAnsi="宋体" w:eastAsia="宋体" w:cs="宋体"/>
                      <w:color w:val="auto"/>
                      <w:spacing w:val="20"/>
                      <w:sz w:val="21"/>
                      <w:szCs w:val="21"/>
                    </w:rPr>
                    <w:t>装片放在显微镜的载物台</w:t>
                  </w:r>
                  <w:r>
                    <w:rPr>
                      <w:rFonts w:ascii="宋体" w:hAnsi="宋体" w:eastAsia="宋体" w:cs="宋体"/>
                      <w:color w:val="auto"/>
                      <w:spacing w:val="1"/>
                      <w:sz w:val="21"/>
                      <w:szCs w:val="21"/>
                    </w:rPr>
                    <w:t>上，调节粗准焦螺旋找到洋葱细胞，并调节细准焦螺旋使物像更清晰。此时，可以</w:t>
                  </w:r>
                  <w:r>
                    <w:rPr>
                      <w:rFonts w:ascii="宋体" w:hAnsi="宋体" w:eastAsia="宋体" w:cs="宋体"/>
                      <w:color w:val="auto"/>
                      <w:spacing w:val="20"/>
                      <w:sz w:val="21"/>
                      <w:szCs w:val="21"/>
                    </w:rPr>
                    <w:t>观察到紫色中央大液泡的大小以及原生质层紧贴细</w:t>
                  </w:r>
                  <w:r>
                    <w:rPr>
                      <w:rFonts w:ascii="宋体" w:hAnsi="宋体" w:eastAsia="宋体" w:cs="宋体"/>
                      <w:color w:val="auto"/>
                      <w:spacing w:val="6"/>
                      <w:sz w:val="21"/>
                      <w:szCs w:val="21"/>
                    </w:rPr>
                    <w:t>胞壁的状态。</w:t>
                  </w:r>
                </w:p>
                <w:p w14:paraId="3959B9DC">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7"/>
                      <w:sz w:val="21"/>
                      <w:szCs w:val="21"/>
                    </w:rPr>
                    <w:t>3</w:t>
                  </w:r>
                  <w:r>
                    <w:rPr>
                      <w:rFonts w:ascii="宋体" w:hAnsi="宋体" w:eastAsia="宋体" w:cs="宋体"/>
                      <w:color w:val="auto"/>
                      <w:spacing w:val="7"/>
                      <w:sz w:val="21"/>
                      <w:szCs w:val="21"/>
                    </w:rPr>
                    <w:t>、诱导细胞吸水和失水：</w:t>
                  </w:r>
                  <w:r>
                    <w:rPr>
                      <w:rFonts w:ascii="宋体" w:hAnsi="宋体" w:eastAsia="宋体" w:cs="宋体"/>
                      <w:color w:val="auto"/>
                      <w:spacing w:val="20"/>
                      <w:sz w:val="21"/>
                      <w:szCs w:val="21"/>
                    </w:rPr>
                    <w:t>从盖玻片的一侧滴入质量</w:t>
                  </w:r>
                  <w:r>
                    <w:rPr>
                      <w:rFonts w:ascii="宋体" w:hAnsi="宋体" w:eastAsia="宋体" w:cs="宋体"/>
                      <w:color w:val="auto"/>
                      <w:spacing w:val="8"/>
                      <w:sz w:val="21"/>
                      <w:szCs w:val="21"/>
                    </w:rPr>
                    <w:t>浓度</w:t>
                  </w:r>
                  <w:r>
                    <w:rPr>
                      <w:rFonts w:ascii="宋体" w:hAnsi="宋体" w:eastAsia="宋体" w:cs="宋体"/>
                      <w:color w:val="auto"/>
                      <w:spacing w:val="-57"/>
                      <w:sz w:val="21"/>
                      <w:szCs w:val="21"/>
                    </w:rPr>
                    <w:t xml:space="preserve"> </w:t>
                  </w:r>
                  <w:r>
                    <w:rPr>
                      <w:rFonts w:ascii="宋体" w:hAnsi="宋体" w:eastAsia="宋体" w:cs="宋体"/>
                      <w:color w:val="auto"/>
                      <w:spacing w:val="8"/>
                      <w:sz w:val="21"/>
                      <w:szCs w:val="21"/>
                    </w:rPr>
                    <w:t>为</w:t>
                  </w:r>
                  <w:r>
                    <w:rPr>
                      <w:rFonts w:ascii="Times New Roman" w:hAnsi="Times New Roman" w:eastAsia="Times New Roman" w:cs="Times New Roman"/>
                      <w:color w:val="auto"/>
                      <w:spacing w:val="8"/>
                      <w:sz w:val="21"/>
                      <w:szCs w:val="21"/>
                    </w:rPr>
                    <w:t>0.3g/</w:t>
                  </w:r>
                  <w:r>
                    <w:rPr>
                      <w:rFonts w:ascii="Times New Roman" w:hAnsi="Times New Roman" w:eastAsia="Times New Roman" w:cs="Times New Roman"/>
                      <w:color w:val="auto"/>
                      <w:sz w:val="21"/>
                      <w:szCs w:val="21"/>
                    </w:rPr>
                    <w:t>ml</w:t>
                  </w:r>
                  <w:r>
                    <w:rPr>
                      <w:rFonts w:ascii="宋体" w:hAnsi="宋体" w:eastAsia="宋体" w:cs="宋体"/>
                      <w:color w:val="auto"/>
                      <w:spacing w:val="8"/>
                      <w:sz w:val="21"/>
                      <w:szCs w:val="21"/>
                    </w:rPr>
                    <w:t>的蔗糖</w:t>
                  </w:r>
                  <w:r>
                    <w:rPr>
                      <w:rFonts w:ascii="宋体" w:hAnsi="宋体" w:eastAsia="宋体" w:cs="宋体"/>
                      <w:color w:val="auto"/>
                      <w:spacing w:val="-58"/>
                      <w:sz w:val="21"/>
                      <w:szCs w:val="21"/>
                    </w:rPr>
                    <w:t xml:space="preserve"> </w:t>
                  </w:r>
                  <w:r>
                    <w:rPr>
                      <w:rFonts w:ascii="宋体" w:hAnsi="宋体" w:eastAsia="宋体" w:cs="宋体"/>
                      <w:color w:val="auto"/>
                      <w:spacing w:val="8"/>
                      <w:sz w:val="21"/>
                      <w:szCs w:val="21"/>
                    </w:rPr>
                    <w:t>溶</w:t>
                  </w:r>
                  <w:r>
                    <w:rPr>
                      <w:rFonts w:ascii="宋体" w:hAnsi="宋体" w:eastAsia="宋体" w:cs="宋体"/>
                      <w:color w:val="auto"/>
                      <w:spacing w:val="1"/>
                      <w:sz w:val="21"/>
                      <w:szCs w:val="21"/>
                    </w:rPr>
                    <w:t>液，在盖玻片的另一侧用吸水纸吸引，重复几次。这将</w:t>
                  </w:r>
                  <w:r>
                    <w:rPr>
                      <w:rFonts w:ascii="宋体" w:hAnsi="宋体" w:eastAsia="宋体" w:cs="宋体"/>
                      <w:color w:val="auto"/>
                      <w:spacing w:val="2"/>
                      <w:sz w:val="21"/>
                      <w:szCs w:val="21"/>
                    </w:rPr>
                    <w:t>诱导细胞失水，导致液泡变小，颜色变深，原生质层与</w:t>
                  </w:r>
                  <w:r>
                    <w:rPr>
                      <w:rFonts w:ascii="宋体" w:hAnsi="宋体" w:eastAsia="宋体" w:cs="宋体"/>
                      <w:color w:val="auto"/>
                      <w:spacing w:val="1"/>
                      <w:sz w:val="21"/>
                      <w:szCs w:val="21"/>
                    </w:rPr>
                    <w:t>细胞壁逐渐分离，观察到质</w:t>
                  </w:r>
                  <w:r>
                    <w:rPr>
                      <w:rFonts w:ascii="宋体" w:hAnsi="宋体" w:eastAsia="宋体" w:cs="宋体"/>
                      <w:color w:val="auto"/>
                      <w:spacing w:val="7"/>
                      <w:sz w:val="21"/>
                      <w:szCs w:val="21"/>
                    </w:rPr>
                    <w:t>壁分离的现象。</w:t>
                  </w:r>
                </w:p>
                <w:p w14:paraId="7F665F4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4</w:t>
                  </w:r>
                  <w:r>
                    <w:rPr>
                      <w:rFonts w:ascii="宋体" w:hAnsi="宋体" w:eastAsia="宋体" w:cs="宋体"/>
                      <w:color w:val="auto"/>
                      <w:spacing w:val="8"/>
                      <w:sz w:val="21"/>
                      <w:szCs w:val="21"/>
                    </w:rPr>
                    <w:t>、观察质壁分离现象：继</w:t>
                  </w:r>
                  <w:r>
                    <w:rPr>
                      <w:rFonts w:ascii="宋体" w:hAnsi="宋体" w:eastAsia="宋体" w:cs="宋体"/>
                      <w:color w:val="auto"/>
                      <w:spacing w:val="2"/>
                      <w:sz w:val="21"/>
                      <w:szCs w:val="21"/>
                    </w:rPr>
                    <w:t>续用低倍显微镜观察，可以</w:t>
                  </w:r>
                  <w:r>
                    <w:rPr>
                      <w:rFonts w:ascii="宋体" w:hAnsi="宋体" w:eastAsia="宋体" w:cs="宋体"/>
                      <w:color w:val="auto"/>
                      <w:spacing w:val="20"/>
                      <w:sz w:val="21"/>
                      <w:szCs w:val="21"/>
                    </w:rPr>
                    <w:t>观察到原生质层与细胞壁</w:t>
                  </w:r>
                  <w:r>
                    <w:rPr>
                      <w:rFonts w:ascii="宋体" w:hAnsi="宋体" w:eastAsia="宋体" w:cs="宋体"/>
                      <w:color w:val="auto"/>
                      <w:spacing w:val="2"/>
                      <w:sz w:val="21"/>
                      <w:szCs w:val="21"/>
                    </w:rPr>
                    <w:t>之间的空间逐渐增大，细胞</w:t>
                  </w:r>
                  <w:r>
                    <w:rPr>
                      <w:rFonts w:ascii="宋体" w:hAnsi="宋体" w:eastAsia="宋体" w:cs="宋体"/>
                      <w:color w:val="auto"/>
                      <w:spacing w:val="5"/>
                      <w:sz w:val="21"/>
                      <w:szCs w:val="21"/>
                    </w:rPr>
                    <w:t>大小基本不变，液泡变小，</w:t>
                  </w:r>
                  <w:r>
                    <w:rPr>
                      <w:rFonts w:ascii="宋体" w:hAnsi="宋体" w:eastAsia="宋体" w:cs="宋体"/>
                      <w:color w:val="auto"/>
                      <w:spacing w:val="6"/>
                      <w:sz w:val="21"/>
                      <w:szCs w:val="21"/>
                    </w:rPr>
                    <w:t>颜色变深。</w:t>
                  </w:r>
                </w:p>
                <w:p w14:paraId="30B4069C">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5</w:t>
                  </w:r>
                  <w:r>
                    <w:rPr>
                      <w:rFonts w:ascii="宋体" w:hAnsi="宋体" w:eastAsia="宋体" w:cs="宋体"/>
                      <w:color w:val="auto"/>
                      <w:spacing w:val="8"/>
                      <w:sz w:val="21"/>
                      <w:szCs w:val="21"/>
                    </w:rPr>
                    <w:t>、诱导细胞复原：在盖玻</w:t>
                  </w:r>
                  <w:r>
                    <w:rPr>
                      <w:rFonts w:ascii="宋体" w:hAnsi="宋体" w:eastAsia="宋体" w:cs="宋体"/>
                      <w:color w:val="auto"/>
                      <w:spacing w:val="2"/>
                      <w:sz w:val="21"/>
                      <w:szCs w:val="21"/>
                    </w:rPr>
                    <w:t>片的一侧滴入清水，在另一</w:t>
                  </w:r>
                  <w:r>
                    <w:rPr>
                      <w:rFonts w:ascii="宋体" w:hAnsi="宋体" w:eastAsia="宋体" w:cs="宋体"/>
                      <w:color w:val="auto"/>
                      <w:spacing w:val="20"/>
                      <w:sz w:val="21"/>
                      <w:szCs w:val="21"/>
                    </w:rPr>
                    <w:t>侧用吸水纸吸引，重复几</w:t>
                  </w:r>
                  <w:r>
                    <w:rPr>
                      <w:rFonts w:ascii="宋体" w:hAnsi="宋体" w:eastAsia="宋体" w:cs="宋体"/>
                      <w:color w:val="auto"/>
                      <w:spacing w:val="2"/>
                      <w:sz w:val="21"/>
                      <w:szCs w:val="21"/>
                    </w:rPr>
                    <w:t>次。这将诱导细胞吸水，液</w:t>
                  </w:r>
                  <w:r>
                    <w:rPr>
                      <w:rFonts w:ascii="宋体" w:hAnsi="宋体" w:eastAsia="宋体" w:cs="宋体"/>
                      <w:color w:val="auto"/>
                      <w:spacing w:val="20"/>
                      <w:sz w:val="21"/>
                      <w:szCs w:val="21"/>
                    </w:rPr>
                    <w:t>泡由小变大，颜色由深变</w:t>
                  </w:r>
                  <w:r>
                    <w:rPr>
                      <w:rFonts w:ascii="宋体" w:hAnsi="宋体" w:eastAsia="宋体" w:cs="宋体"/>
                      <w:color w:val="auto"/>
                      <w:spacing w:val="2"/>
                      <w:sz w:val="21"/>
                      <w:szCs w:val="21"/>
                    </w:rPr>
                    <w:t>浅，原生质层恢复原状，观</w:t>
                  </w:r>
                  <w:r>
                    <w:rPr>
                      <w:rFonts w:ascii="宋体" w:hAnsi="宋体" w:eastAsia="宋体" w:cs="宋体"/>
                      <w:color w:val="auto"/>
                      <w:spacing w:val="6"/>
                      <w:sz w:val="21"/>
                      <w:szCs w:val="21"/>
                    </w:rPr>
                    <w:t>察到质壁分离复原的现象。</w:t>
                  </w:r>
                </w:p>
                <w:p w14:paraId="4F6D6BC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6</w:t>
                  </w:r>
                  <w:r>
                    <w:rPr>
                      <w:rFonts w:ascii="宋体" w:hAnsi="宋体" w:eastAsia="宋体" w:cs="宋体"/>
                      <w:color w:val="auto"/>
                      <w:spacing w:val="8"/>
                      <w:sz w:val="21"/>
                      <w:szCs w:val="21"/>
                    </w:rPr>
                    <w:t>、观察复原现象：再次用</w:t>
                  </w:r>
                  <w:r>
                    <w:rPr>
                      <w:rFonts w:ascii="宋体" w:hAnsi="宋体" w:eastAsia="宋体" w:cs="宋体"/>
                      <w:color w:val="auto"/>
                      <w:spacing w:val="2"/>
                      <w:sz w:val="21"/>
                      <w:szCs w:val="21"/>
                    </w:rPr>
                    <w:t>低倍显微镜观察，可以看到</w:t>
                  </w:r>
                  <w:r>
                    <w:rPr>
                      <w:rFonts w:ascii="宋体" w:hAnsi="宋体" w:eastAsia="宋体" w:cs="宋体"/>
                      <w:color w:val="auto"/>
                      <w:spacing w:val="5"/>
                      <w:sz w:val="21"/>
                      <w:szCs w:val="21"/>
                    </w:rPr>
                    <w:t>原生质层逐渐贴近细胞壁，</w:t>
                  </w:r>
                  <w:r>
                    <w:rPr>
                      <w:rFonts w:ascii="宋体" w:hAnsi="宋体" w:eastAsia="宋体" w:cs="宋体"/>
                      <w:color w:val="auto"/>
                      <w:spacing w:val="2"/>
                      <w:sz w:val="21"/>
                      <w:szCs w:val="21"/>
                    </w:rPr>
                    <w:t>恢复原来的位置，紫色中央</w:t>
                  </w:r>
                  <w:r>
                    <w:rPr>
                      <w:rFonts w:ascii="宋体" w:hAnsi="宋体" w:eastAsia="宋体" w:cs="宋体"/>
                      <w:color w:val="auto"/>
                      <w:spacing w:val="5"/>
                      <w:sz w:val="21"/>
                      <w:szCs w:val="21"/>
                    </w:rPr>
                    <w:t>大液泡逐渐恢复原来大小，</w:t>
                  </w:r>
                  <w:r>
                    <w:rPr>
                      <w:rFonts w:ascii="宋体" w:hAnsi="宋体" w:eastAsia="宋体" w:cs="宋体"/>
                      <w:color w:val="auto"/>
                      <w:spacing w:val="2"/>
                      <w:sz w:val="21"/>
                      <w:szCs w:val="21"/>
                    </w:rPr>
                    <w:t>颜色变浅，细胞大小基本不变，观察到质壁分离复原的</w:t>
                  </w:r>
                  <w:r>
                    <w:rPr>
                      <w:rFonts w:ascii="宋体" w:hAnsi="宋体" w:eastAsia="宋体" w:cs="宋体"/>
                      <w:color w:val="auto"/>
                      <w:spacing w:val="3"/>
                      <w:sz w:val="21"/>
                      <w:szCs w:val="21"/>
                    </w:rPr>
                    <w:t>现象。</w:t>
                  </w:r>
                </w:p>
              </w:tc>
              <w:tc>
                <w:tcPr>
                  <w:tcW w:w="856" w:type="pct"/>
                  <w:tcBorders>
                    <w:tl2br w:val="nil"/>
                    <w:tr2bl w:val="nil"/>
                  </w:tcBorders>
                  <w:vAlign w:val="center"/>
                </w:tcPr>
                <w:p w14:paraId="3082FF7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紫色特别深的</w:t>
                  </w:r>
                  <w:r>
                    <w:rPr>
                      <w:rFonts w:ascii="宋体" w:hAnsi="宋体" w:eastAsia="宋体" w:cs="宋体"/>
                      <w:color w:val="auto"/>
                      <w:spacing w:val="8"/>
                      <w:sz w:val="21"/>
                      <w:szCs w:val="21"/>
                    </w:rPr>
                    <w:t>洋葱外表皮、</w:t>
                  </w:r>
                  <w:r>
                    <w:rPr>
                      <w:rFonts w:ascii="宋体" w:hAnsi="宋体" w:eastAsia="宋体" w:cs="宋体"/>
                      <w:color w:val="auto"/>
                      <w:spacing w:val="28"/>
                      <w:sz w:val="21"/>
                      <w:szCs w:val="21"/>
                    </w:rPr>
                    <w:t>质量浓度为</w:t>
                  </w:r>
                  <w:r>
                    <w:rPr>
                      <w:rFonts w:ascii="Times New Roman" w:hAnsi="Times New Roman" w:eastAsia="Times New Roman" w:cs="Times New Roman"/>
                      <w:color w:val="auto"/>
                      <w:spacing w:val="11"/>
                      <w:sz w:val="21"/>
                      <w:szCs w:val="21"/>
                    </w:rPr>
                    <w:t>0.3g/</w:t>
                  </w:r>
                  <w:r>
                    <w:rPr>
                      <w:rFonts w:ascii="Times New Roman" w:hAnsi="Times New Roman" w:eastAsia="Times New Roman" w:cs="Times New Roman"/>
                      <w:color w:val="auto"/>
                      <w:sz w:val="21"/>
                      <w:szCs w:val="21"/>
                    </w:rPr>
                    <w:t>ml</w:t>
                  </w:r>
                  <w:r>
                    <w:rPr>
                      <w:rFonts w:ascii="Times New Roman" w:hAnsi="Times New Roman" w:eastAsia="Times New Roman" w:cs="Times New Roman"/>
                      <w:color w:val="auto"/>
                      <w:spacing w:val="35"/>
                      <w:sz w:val="21"/>
                      <w:szCs w:val="21"/>
                    </w:rPr>
                    <w:t xml:space="preserve"> </w:t>
                  </w:r>
                  <w:r>
                    <w:rPr>
                      <w:rFonts w:ascii="宋体" w:hAnsi="宋体" w:eastAsia="宋体" w:cs="宋体"/>
                      <w:color w:val="auto"/>
                      <w:spacing w:val="11"/>
                      <w:sz w:val="21"/>
                      <w:szCs w:val="21"/>
                    </w:rPr>
                    <w:t>的蔗</w:t>
                  </w:r>
                  <w:r>
                    <w:rPr>
                      <w:rFonts w:ascii="宋体" w:hAnsi="宋体" w:eastAsia="宋体" w:cs="宋体"/>
                      <w:color w:val="auto"/>
                      <w:spacing w:val="8"/>
                      <w:sz w:val="21"/>
                      <w:szCs w:val="21"/>
                    </w:rPr>
                    <w:t>糖溶液、清水</w:t>
                  </w:r>
                </w:p>
              </w:tc>
              <w:tc>
                <w:tcPr>
                  <w:tcW w:w="675" w:type="pct"/>
                  <w:tcBorders>
                    <w:tl2br w:val="nil"/>
                    <w:tr2bl w:val="nil"/>
                  </w:tcBorders>
                  <w:vAlign w:val="center"/>
                </w:tcPr>
                <w:p w14:paraId="638AD66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显微镜、</w:t>
                  </w:r>
                  <w:r>
                    <w:rPr>
                      <w:rFonts w:ascii="宋体" w:hAnsi="宋体" w:eastAsia="宋体" w:cs="宋体"/>
                      <w:color w:val="auto"/>
                      <w:spacing w:val="7"/>
                      <w:sz w:val="21"/>
                      <w:szCs w:val="21"/>
                    </w:rPr>
                    <w:t>镊子、刀片、载玻</w:t>
                  </w:r>
                  <w:r>
                    <w:rPr>
                      <w:rFonts w:ascii="宋体" w:hAnsi="宋体" w:eastAsia="宋体" w:cs="宋体"/>
                      <w:color w:val="auto"/>
                      <w:spacing w:val="6"/>
                      <w:sz w:val="21"/>
                      <w:szCs w:val="21"/>
                    </w:rPr>
                    <w:t>片、盖玻</w:t>
                  </w:r>
                  <w:r>
                    <w:rPr>
                      <w:rFonts w:ascii="宋体" w:hAnsi="宋体" w:eastAsia="宋体" w:cs="宋体"/>
                      <w:color w:val="auto"/>
                      <w:spacing w:val="-13"/>
                      <w:sz w:val="21"/>
                      <w:szCs w:val="21"/>
                    </w:rPr>
                    <w:t>片、滴管、</w:t>
                  </w:r>
                  <w:r>
                    <w:rPr>
                      <w:rFonts w:ascii="宋体" w:hAnsi="宋体" w:eastAsia="宋体" w:cs="宋体"/>
                      <w:color w:val="auto"/>
                      <w:spacing w:val="4"/>
                      <w:sz w:val="21"/>
                      <w:szCs w:val="21"/>
                    </w:rPr>
                    <w:t>吸水纸</w:t>
                  </w:r>
                </w:p>
              </w:tc>
              <w:tc>
                <w:tcPr>
                  <w:tcW w:w="537" w:type="pct"/>
                  <w:tcBorders>
                    <w:tl2br w:val="nil"/>
                    <w:tr2bl w:val="nil"/>
                  </w:tcBorders>
                  <w:vAlign w:val="center"/>
                </w:tcPr>
                <w:p w14:paraId="700D253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6FB8A1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3518C1E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14</w:t>
                  </w:r>
                </w:p>
              </w:tc>
              <w:tc>
                <w:tcPr>
                  <w:tcW w:w="690" w:type="pct"/>
                  <w:tcBorders>
                    <w:tl2br w:val="nil"/>
                    <w:tr2bl w:val="nil"/>
                  </w:tcBorders>
                  <w:vAlign w:val="center"/>
                </w:tcPr>
                <w:p w14:paraId="3C44B10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观察茎对</w:t>
                  </w:r>
                  <w:r>
                    <w:rPr>
                      <w:rFonts w:ascii="宋体" w:hAnsi="宋体" w:eastAsia="宋体" w:cs="宋体"/>
                      <w:color w:val="auto"/>
                      <w:spacing w:val="6"/>
                      <w:sz w:val="21"/>
                      <w:szCs w:val="21"/>
                    </w:rPr>
                    <w:t>水和无机盐的运输</w:t>
                  </w:r>
                </w:p>
              </w:tc>
              <w:tc>
                <w:tcPr>
                  <w:tcW w:w="1769" w:type="pct"/>
                  <w:tcBorders>
                    <w:tl2br w:val="nil"/>
                    <w:tr2bl w:val="nil"/>
                  </w:tcBorders>
                  <w:vAlign w:val="center"/>
                </w:tcPr>
                <w:p w14:paraId="387569B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7"/>
                      <w:sz w:val="21"/>
                      <w:szCs w:val="21"/>
                    </w:rPr>
                    <w:t>1.</w:t>
                  </w:r>
                  <w:r>
                    <w:rPr>
                      <w:rFonts w:ascii="宋体" w:hAnsi="宋体" w:eastAsia="宋体" w:cs="宋体"/>
                      <w:color w:val="auto"/>
                      <w:spacing w:val="7"/>
                      <w:sz w:val="21"/>
                      <w:szCs w:val="21"/>
                    </w:rPr>
                    <w:t>将带叶的杨树枝条进行</w:t>
                  </w:r>
                  <w:r>
                    <w:rPr>
                      <w:rFonts w:ascii="宋体" w:hAnsi="宋体" w:eastAsia="宋体" w:cs="宋体"/>
                      <w:color w:val="auto"/>
                      <w:spacing w:val="2"/>
                      <w:sz w:val="21"/>
                      <w:szCs w:val="21"/>
                    </w:rPr>
                    <w:t>处理，甲剥掉树皮，乙不做任何处理，分别放在盛有稀释红墨水的锥形瓶中。将锥形瓶放在温暖、光照充足的</w:t>
                  </w:r>
                  <w:r>
                    <w:rPr>
                      <w:rFonts w:ascii="宋体" w:hAnsi="宋体" w:eastAsia="宋体" w:cs="宋体"/>
                      <w:color w:val="auto"/>
                      <w:spacing w:val="-1"/>
                      <w:sz w:val="21"/>
                      <w:szCs w:val="21"/>
                    </w:rPr>
                    <w:t>地方</w:t>
                  </w:r>
                  <w:r>
                    <w:rPr>
                      <w:rFonts w:ascii="Times New Roman" w:hAnsi="Times New Roman" w:eastAsia="Times New Roman" w:cs="Times New Roman"/>
                      <w:color w:val="auto"/>
                      <w:spacing w:val="-1"/>
                      <w:sz w:val="21"/>
                      <w:szCs w:val="21"/>
                    </w:rPr>
                    <w:t>1</w:t>
                  </w:r>
                  <w:r>
                    <w:rPr>
                      <w:rFonts w:ascii="宋体" w:hAnsi="宋体" w:eastAsia="宋体" w:cs="宋体"/>
                      <w:color w:val="auto"/>
                      <w:spacing w:val="-1"/>
                      <w:sz w:val="21"/>
                      <w:szCs w:val="21"/>
                    </w:rPr>
                    <w:t>小时。</w:t>
                  </w:r>
                </w:p>
                <w:p w14:paraId="53E3792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2.</w:t>
                  </w:r>
                  <w:r>
                    <w:rPr>
                      <w:rFonts w:ascii="宋体" w:hAnsi="宋体" w:eastAsia="宋体" w:cs="宋体"/>
                      <w:color w:val="auto"/>
                      <w:spacing w:val="8"/>
                      <w:sz w:val="21"/>
                      <w:szCs w:val="21"/>
                    </w:rPr>
                    <w:t>实验过程中，注意观察</w:t>
                  </w:r>
                  <w:r>
                    <w:rPr>
                      <w:rFonts w:ascii="宋体" w:hAnsi="宋体" w:eastAsia="宋体" w:cs="宋体"/>
                      <w:color w:val="auto"/>
                      <w:spacing w:val="20"/>
                      <w:sz w:val="21"/>
                      <w:szCs w:val="21"/>
                    </w:rPr>
                    <w:t>叶的变化和锥形瓶中水量</w:t>
                  </w:r>
                  <w:r>
                    <w:rPr>
                      <w:rFonts w:ascii="宋体" w:hAnsi="宋体" w:eastAsia="宋体" w:cs="宋体"/>
                      <w:color w:val="auto"/>
                      <w:spacing w:val="2"/>
                      <w:sz w:val="21"/>
                      <w:szCs w:val="21"/>
                    </w:rPr>
                    <w:t>的变化，并对你的实验结果做出预测，见预测结果填在</w:t>
                  </w:r>
                  <w:r>
                    <w:rPr>
                      <w:rFonts w:ascii="宋体" w:hAnsi="宋体" w:eastAsia="宋体" w:cs="宋体"/>
                      <w:color w:val="auto"/>
                      <w:spacing w:val="6"/>
                      <w:sz w:val="21"/>
                      <w:szCs w:val="21"/>
                    </w:rPr>
                    <w:t>课本表格中。</w:t>
                  </w:r>
                </w:p>
                <w:p w14:paraId="3E44CD56">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3.</w:t>
                  </w:r>
                  <w:r>
                    <w:rPr>
                      <w:rFonts w:ascii="宋体" w:hAnsi="宋体" w:eastAsia="宋体" w:cs="宋体"/>
                      <w:color w:val="auto"/>
                      <w:spacing w:val="8"/>
                      <w:sz w:val="21"/>
                      <w:szCs w:val="21"/>
                    </w:rPr>
                    <w:t>实验结束后，将实际实</w:t>
                  </w:r>
                  <w:r>
                    <w:rPr>
                      <w:rFonts w:ascii="宋体" w:hAnsi="宋体" w:eastAsia="宋体" w:cs="宋体"/>
                      <w:color w:val="auto"/>
                      <w:spacing w:val="2"/>
                      <w:sz w:val="21"/>
                      <w:szCs w:val="21"/>
                    </w:rPr>
                    <w:t>验过程与观察到的结果，也填在课本相应的表格中，并</w:t>
                  </w:r>
                  <w:r>
                    <w:rPr>
                      <w:rFonts w:ascii="宋体" w:hAnsi="宋体" w:eastAsia="宋体" w:cs="宋体"/>
                      <w:color w:val="auto"/>
                      <w:spacing w:val="8"/>
                      <w:sz w:val="21"/>
                      <w:szCs w:val="21"/>
                    </w:rPr>
                    <w:t>与预测结果进行比较。</w:t>
                  </w:r>
                </w:p>
                <w:p w14:paraId="17BA3E7C">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6"/>
                      <w:sz w:val="21"/>
                      <w:szCs w:val="21"/>
                    </w:rPr>
                    <w:t>4.</w:t>
                  </w:r>
                  <w:r>
                    <w:rPr>
                      <w:rFonts w:ascii="宋体" w:hAnsi="宋体" w:eastAsia="宋体" w:cs="宋体"/>
                      <w:color w:val="auto"/>
                      <w:spacing w:val="6"/>
                      <w:sz w:val="21"/>
                      <w:szCs w:val="21"/>
                    </w:rPr>
                    <w:t>取出材料甲和乙，用清水</w:t>
                  </w:r>
                  <w:r>
                    <w:rPr>
                      <w:rFonts w:ascii="宋体" w:hAnsi="宋体" w:eastAsia="宋体" w:cs="宋体"/>
                      <w:color w:val="auto"/>
                      <w:spacing w:val="2"/>
                      <w:sz w:val="21"/>
                      <w:szCs w:val="21"/>
                    </w:rPr>
                    <w:t>冲洗干净。用解剖刀分别做一横切和纵切，用放大镜观</w:t>
                  </w:r>
                  <w:r>
                    <w:rPr>
                      <w:rFonts w:ascii="宋体" w:hAnsi="宋体" w:eastAsia="宋体" w:cs="宋体"/>
                      <w:color w:val="auto"/>
                      <w:spacing w:val="5"/>
                      <w:sz w:val="21"/>
                      <w:szCs w:val="21"/>
                    </w:rPr>
                    <w:t>察横切面和纵切面的情况，</w:t>
                  </w:r>
                  <w:r>
                    <w:rPr>
                      <w:rFonts w:ascii="宋体" w:hAnsi="宋体" w:eastAsia="宋体" w:cs="宋体"/>
                      <w:color w:val="auto"/>
                      <w:spacing w:val="20"/>
                      <w:sz w:val="21"/>
                      <w:szCs w:val="21"/>
                    </w:rPr>
                    <w:t>辨别茎内运输水分和无机</w:t>
                  </w:r>
                  <w:r>
                    <w:rPr>
                      <w:rFonts w:ascii="宋体" w:hAnsi="宋体" w:eastAsia="宋体" w:cs="宋体"/>
                      <w:color w:val="auto"/>
                      <w:spacing w:val="5"/>
                      <w:sz w:val="21"/>
                      <w:szCs w:val="21"/>
                    </w:rPr>
                    <w:t>盐的部位。</w:t>
                  </w:r>
                </w:p>
              </w:tc>
              <w:tc>
                <w:tcPr>
                  <w:tcW w:w="856" w:type="pct"/>
                  <w:tcBorders>
                    <w:tl2br w:val="nil"/>
                    <w:tr2bl w:val="nil"/>
                  </w:tcBorders>
                  <w:vAlign w:val="center"/>
                </w:tcPr>
                <w:p w14:paraId="6D185EB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杨柳枝条、稀</w:t>
                  </w:r>
                  <w:r>
                    <w:rPr>
                      <w:rFonts w:ascii="宋体" w:hAnsi="宋体" w:eastAsia="宋体" w:cs="宋体"/>
                      <w:color w:val="auto"/>
                      <w:spacing w:val="8"/>
                      <w:sz w:val="21"/>
                      <w:szCs w:val="21"/>
                    </w:rPr>
                    <w:t>释的红墨水</w:t>
                  </w:r>
                </w:p>
              </w:tc>
              <w:tc>
                <w:tcPr>
                  <w:tcW w:w="675" w:type="pct"/>
                  <w:tcBorders>
                    <w:tl2br w:val="nil"/>
                    <w:tr2bl w:val="nil"/>
                  </w:tcBorders>
                  <w:vAlign w:val="center"/>
                </w:tcPr>
                <w:p w14:paraId="29F3A24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锥形瓶、</w:t>
                  </w:r>
                  <w:r>
                    <w:rPr>
                      <w:rFonts w:ascii="宋体" w:hAnsi="宋体" w:eastAsia="宋体" w:cs="宋体"/>
                      <w:color w:val="auto"/>
                      <w:spacing w:val="-2"/>
                      <w:sz w:val="21"/>
                      <w:szCs w:val="21"/>
                    </w:rPr>
                    <w:t>解剖刀、</w:t>
                  </w:r>
                  <w:r>
                    <w:rPr>
                      <w:rFonts w:ascii="宋体" w:hAnsi="宋体" w:eastAsia="宋体" w:cs="宋体"/>
                      <w:color w:val="auto"/>
                      <w:spacing w:val="6"/>
                      <w:sz w:val="21"/>
                      <w:szCs w:val="21"/>
                    </w:rPr>
                    <w:t>放大镜</w:t>
                  </w:r>
                </w:p>
              </w:tc>
              <w:tc>
                <w:tcPr>
                  <w:tcW w:w="537" w:type="pct"/>
                  <w:tcBorders>
                    <w:tl2br w:val="nil"/>
                    <w:tr2bl w:val="nil"/>
                  </w:tcBorders>
                  <w:vAlign w:val="center"/>
                </w:tcPr>
                <w:p w14:paraId="33DF1FE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0EDFE9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050CADA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15</w:t>
                  </w:r>
                </w:p>
              </w:tc>
              <w:tc>
                <w:tcPr>
                  <w:tcW w:w="690" w:type="pct"/>
                  <w:tcBorders>
                    <w:tl2br w:val="nil"/>
                    <w:tr2bl w:val="nil"/>
                  </w:tcBorders>
                  <w:vAlign w:val="center"/>
                </w:tcPr>
                <w:p w14:paraId="23CD255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植物的蒸腾失水</w:t>
                  </w:r>
                </w:p>
              </w:tc>
              <w:tc>
                <w:tcPr>
                  <w:tcW w:w="1769" w:type="pct"/>
                  <w:tcBorders>
                    <w:tl2br w:val="nil"/>
                    <w:tr2bl w:val="nil"/>
                  </w:tcBorders>
                  <w:vAlign w:val="center"/>
                </w:tcPr>
                <w:p w14:paraId="3F59E1D6">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Times New Roman" w:cs="Times New Roman"/>
                      <w:color w:val="auto"/>
                      <w:spacing w:val="14"/>
                      <w:sz w:val="21"/>
                      <w:szCs w:val="21"/>
                    </w:rPr>
                  </w:pPr>
                  <w:r>
                    <w:rPr>
                      <w:rFonts w:hint="default" w:ascii="Times New Roman" w:hAnsi="Times New Roman" w:eastAsia="宋体" w:cs="Times New Roman"/>
                      <w:color w:val="auto"/>
                      <w:spacing w:val="14"/>
                      <w:sz w:val="21"/>
                      <w:szCs w:val="21"/>
                      <w:lang w:val="en-US" w:eastAsia="zh-CN"/>
                    </w:rPr>
                    <w:t>1、</w:t>
                  </w:r>
                  <w:r>
                    <w:rPr>
                      <w:rFonts w:hint="default" w:ascii="Times New Roman" w:hAnsi="Times New Roman" w:eastAsia="宋体" w:cs="Times New Roman"/>
                      <w:color w:val="auto"/>
                      <w:spacing w:val="14"/>
                      <w:sz w:val="21"/>
                      <w:szCs w:val="21"/>
                    </w:rPr>
                    <w:t>选材</w:t>
                  </w:r>
                  <w:r>
                    <w:rPr>
                      <w:rFonts w:hint="default" w:ascii="Times New Roman" w:hAnsi="Times New Roman" w:eastAsia="宋体" w:cs="Times New Roman"/>
                      <w:color w:val="auto"/>
                      <w:spacing w:val="9"/>
                      <w:sz w:val="21"/>
                      <w:szCs w:val="21"/>
                      <w:lang w:eastAsia="zh-CN"/>
                    </w:rPr>
                    <w:t>：</w:t>
                  </w:r>
                  <w:r>
                    <w:rPr>
                      <w:rFonts w:hint="default" w:ascii="Times New Roman" w:hAnsi="Times New Roman" w:eastAsia="宋体" w:cs="Times New Roman"/>
                      <w:color w:val="auto"/>
                      <w:spacing w:val="14"/>
                      <w:sz w:val="21"/>
                      <w:szCs w:val="21"/>
                    </w:rPr>
                    <w:t>选取两枝粗细相近</w:t>
                  </w:r>
                  <w:r>
                    <w:rPr>
                      <w:rFonts w:hint="default" w:ascii="Times New Roman" w:hAnsi="Times New Roman" w:eastAsia="宋体" w:cs="Times New Roman"/>
                      <w:color w:val="auto"/>
                      <w:spacing w:val="1"/>
                      <w:sz w:val="21"/>
                      <w:szCs w:val="21"/>
                    </w:rPr>
                    <w:t>的阔叶枝条，如海南蒲桃枝条，一枝将叶片去掉，一枝</w:t>
                  </w:r>
                  <w:r>
                    <w:rPr>
                      <w:rFonts w:hint="default" w:ascii="Times New Roman" w:hAnsi="Times New Roman" w:eastAsia="宋体" w:cs="Times New Roman"/>
                      <w:color w:val="auto"/>
                      <w:spacing w:val="5"/>
                      <w:sz w:val="21"/>
                      <w:szCs w:val="21"/>
                    </w:rPr>
                    <w:t>保留叶片。</w:t>
                  </w:r>
                </w:p>
                <w:p w14:paraId="632AE68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lang w:val="en-US" w:eastAsia="zh-CN"/>
                    </w:rPr>
                    <w:t>2、</w:t>
                  </w:r>
                  <w:r>
                    <w:rPr>
                      <w:rFonts w:hint="default" w:ascii="Times New Roman" w:hAnsi="Times New Roman" w:eastAsia="宋体" w:cs="Times New Roman"/>
                      <w:color w:val="auto"/>
                      <w:spacing w:val="9"/>
                      <w:sz w:val="21"/>
                      <w:szCs w:val="21"/>
                    </w:rPr>
                    <w:t>插管</w:t>
                  </w:r>
                  <w:r>
                    <w:rPr>
                      <w:rFonts w:hint="default" w:ascii="Times New Roman" w:hAnsi="Times New Roman" w:eastAsia="宋体" w:cs="Times New Roman"/>
                      <w:color w:val="auto"/>
                      <w:spacing w:val="9"/>
                      <w:sz w:val="21"/>
                      <w:szCs w:val="21"/>
                      <w:lang w:eastAsia="zh-CN"/>
                    </w:rPr>
                    <w:t>：</w:t>
                  </w:r>
                  <w:r>
                    <w:rPr>
                      <w:rFonts w:hint="default" w:ascii="Times New Roman" w:hAnsi="Times New Roman" w:eastAsia="宋体" w:cs="Times New Roman"/>
                      <w:color w:val="auto"/>
                      <w:spacing w:val="9"/>
                      <w:sz w:val="21"/>
                      <w:szCs w:val="21"/>
                    </w:rPr>
                    <w:t>将两根枝条分别插</w:t>
                  </w:r>
                  <w:r>
                    <w:rPr>
                      <w:rFonts w:hint="default" w:ascii="Times New Roman" w:hAnsi="Times New Roman" w:eastAsia="宋体" w:cs="Times New Roman"/>
                      <w:color w:val="auto"/>
                      <w:spacing w:val="20"/>
                      <w:sz w:val="21"/>
                      <w:szCs w:val="21"/>
                    </w:rPr>
                    <w:t>入两个同一型号的小试管</w:t>
                  </w:r>
                  <w:r>
                    <w:rPr>
                      <w:rFonts w:hint="default" w:ascii="Times New Roman" w:hAnsi="Times New Roman" w:eastAsia="宋体" w:cs="Times New Roman"/>
                      <w:color w:val="auto"/>
                      <w:spacing w:val="2"/>
                      <w:sz w:val="21"/>
                      <w:szCs w:val="21"/>
                    </w:rPr>
                    <w:t>内，枝条要插到试管底，并</w:t>
                  </w:r>
                  <w:r>
                    <w:rPr>
                      <w:rFonts w:hint="default" w:ascii="Times New Roman" w:hAnsi="Times New Roman" w:eastAsia="宋体" w:cs="Times New Roman"/>
                      <w:color w:val="auto"/>
                      <w:spacing w:val="12"/>
                      <w:sz w:val="21"/>
                      <w:szCs w:val="21"/>
                    </w:rPr>
                    <w:t>在两支试管外壁标上</w:t>
                  </w:r>
                  <w:r>
                    <w:rPr>
                      <w:rFonts w:hint="default" w:ascii="Times New Roman" w:hAnsi="Times New Roman" w:eastAsia="Times New Roman" w:cs="Times New Roman"/>
                      <w:color w:val="auto"/>
                      <w:spacing w:val="12"/>
                      <w:sz w:val="21"/>
                      <w:szCs w:val="21"/>
                    </w:rPr>
                    <w:t>A</w:t>
                  </w:r>
                  <w:r>
                    <w:rPr>
                      <w:rFonts w:hint="default" w:ascii="Times New Roman" w:hAnsi="Times New Roman" w:eastAsia="宋体" w:cs="Times New Roman"/>
                      <w:color w:val="auto"/>
                      <w:spacing w:val="12"/>
                      <w:sz w:val="21"/>
                      <w:szCs w:val="21"/>
                    </w:rPr>
                    <w:t>、</w:t>
                  </w:r>
                  <w:r>
                    <w:rPr>
                      <w:rFonts w:hint="default" w:ascii="Times New Roman" w:hAnsi="Times New Roman" w:eastAsia="Times New Roman" w:cs="Times New Roman"/>
                      <w:color w:val="auto"/>
                      <w:spacing w:val="1"/>
                      <w:sz w:val="21"/>
                      <w:szCs w:val="21"/>
                    </w:rPr>
                    <w:t>B</w:t>
                  </w:r>
                  <w:r>
                    <w:rPr>
                      <w:rFonts w:hint="default" w:ascii="Times New Roman" w:hAnsi="Times New Roman" w:eastAsia="宋体" w:cs="Times New Roman"/>
                      <w:color w:val="auto"/>
                      <w:spacing w:val="1"/>
                      <w:sz w:val="21"/>
                      <w:szCs w:val="21"/>
                    </w:rPr>
                    <w:t>。</w:t>
                  </w:r>
                </w:p>
                <w:p w14:paraId="0FC538C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lang w:val="en-US" w:eastAsia="zh-CN"/>
                    </w:rPr>
                    <w:t>3、</w:t>
                  </w:r>
                  <w:r>
                    <w:rPr>
                      <w:rFonts w:hint="default" w:ascii="Times New Roman" w:hAnsi="Times New Roman" w:eastAsia="宋体" w:cs="Times New Roman"/>
                      <w:color w:val="auto"/>
                      <w:spacing w:val="9"/>
                      <w:sz w:val="21"/>
                      <w:szCs w:val="21"/>
                    </w:rPr>
                    <w:t>加液</w:t>
                  </w:r>
                  <w:r>
                    <w:rPr>
                      <w:rFonts w:hint="default" w:ascii="Times New Roman" w:hAnsi="Times New Roman" w:eastAsia="宋体" w:cs="Times New Roman"/>
                      <w:color w:val="auto"/>
                      <w:spacing w:val="9"/>
                      <w:sz w:val="21"/>
                      <w:szCs w:val="21"/>
                      <w:lang w:eastAsia="zh-CN"/>
                    </w:rPr>
                    <w:t>：</w:t>
                  </w:r>
                  <w:r>
                    <w:rPr>
                      <w:rFonts w:hint="default" w:ascii="Times New Roman" w:hAnsi="Times New Roman" w:eastAsia="宋体" w:cs="Times New Roman"/>
                      <w:color w:val="auto"/>
                      <w:spacing w:val="9"/>
                      <w:sz w:val="21"/>
                      <w:szCs w:val="21"/>
                    </w:rPr>
                    <w:t>在两支试管内分别</w:t>
                  </w:r>
                  <w:r>
                    <w:rPr>
                      <w:rFonts w:hint="default" w:ascii="Times New Roman" w:hAnsi="Times New Roman" w:eastAsia="宋体" w:cs="Times New Roman"/>
                      <w:color w:val="auto"/>
                      <w:spacing w:val="20"/>
                      <w:sz w:val="21"/>
                      <w:szCs w:val="21"/>
                    </w:rPr>
                    <w:t>加入一定量的红墨水染红</w:t>
                  </w:r>
                  <w:r>
                    <w:rPr>
                      <w:rFonts w:hint="default" w:ascii="Times New Roman" w:hAnsi="Times New Roman" w:eastAsia="宋体" w:cs="Times New Roman"/>
                      <w:color w:val="auto"/>
                      <w:spacing w:val="14"/>
                      <w:sz w:val="21"/>
                      <w:szCs w:val="21"/>
                    </w:rPr>
                    <w:t>的水，保持两试管内红水</w:t>
                  </w:r>
                  <w:r>
                    <w:rPr>
                      <w:rFonts w:hint="default" w:ascii="Times New Roman" w:hAnsi="Times New Roman" w:eastAsia="宋体" w:cs="Times New Roman"/>
                      <w:color w:val="auto"/>
                      <w:spacing w:val="1"/>
                      <w:sz w:val="21"/>
                      <w:szCs w:val="21"/>
                    </w:rPr>
                    <w:t>的液面高度一样，液面上加</w:t>
                  </w:r>
                  <w:r>
                    <w:rPr>
                      <w:rFonts w:hint="default" w:ascii="Times New Roman" w:hAnsi="Times New Roman" w:eastAsia="宋体" w:cs="Times New Roman"/>
                      <w:color w:val="auto"/>
                      <w:spacing w:val="2"/>
                      <w:sz w:val="21"/>
                      <w:szCs w:val="21"/>
                    </w:rPr>
                    <w:t>适量的食用油，防止水分的</w:t>
                  </w:r>
                  <w:r>
                    <w:rPr>
                      <w:rFonts w:hint="default" w:ascii="Times New Roman" w:hAnsi="Times New Roman" w:eastAsia="宋体" w:cs="Times New Roman"/>
                      <w:color w:val="auto"/>
                      <w:spacing w:val="3"/>
                      <w:sz w:val="21"/>
                      <w:szCs w:val="21"/>
                    </w:rPr>
                    <w:t>蒸发。</w:t>
                  </w:r>
                </w:p>
                <w:p w14:paraId="44C7754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lang w:val="en-US" w:eastAsia="zh-CN"/>
                    </w:rPr>
                    <w:t>4、</w:t>
                  </w:r>
                  <w:r>
                    <w:rPr>
                      <w:rFonts w:hint="default" w:ascii="Times New Roman" w:hAnsi="Times New Roman" w:eastAsia="宋体" w:cs="Times New Roman"/>
                      <w:color w:val="auto"/>
                      <w:spacing w:val="9"/>
                      <w:sz w:val="21"/>
                      <w:szCs w:val="21"/>
                    </w:rPr>
                    <w:t>标记</w:t>
                  </w:r>
                  <w:r>
                    <w:rPr>
                      <w:rFonts w:hint="default" w:ascii="Times New Roman" w:hAnsi="Times New Roman" w:eastAsia="宋体" w:cs="Times New Roman"/>
                      <w:color w:val="auto"/>
                      <w:spacing w:val="9"/>
                      <w:sz w:val="21"/>
                      <w:szCs w:val="21"/>
                      <w:lang w:eastAsia="zh-CN"/>
                    </w:rPr>
                    <w:t>：</w:t>
                  </w:r>
                  <w:r>
                    <w:rPr>
                      <w:rFonts w:hint="default" w:ascii="Times New Roman" w:hAnsi="Times New Roman" w:eastAsia="宋体" w:cs="Times New Roman"/>
                      <w:color w:val="auto"/>
                      <w:spacing w:val="9"/>
                      <w:sz w:val="21"/>
                      <w:szCs w:val="21"/>
                    </w:rPr>
                    <w:t>用红色橡皮筋从试</w:t>
                  </w:r>
                  <w:r>
                    <w:rPr>
                      <w:rFonts w:hint="default" w:ascii="Times New Roman" w:hAnsi="Times New Roman" w:eastAsia="宋体" w:cs="Times New Roman"/>
                      <w:color w:val="auto"/>
                      <w:spacing w:val="20"/>
                      <w:sz w:val="21"/>
                      <w:szCs w:val="21"/>
                    </w:rPr>
                    <w:t>管底套上，移动到液面位</w:t>
                  </w:r>
                  <w:r>
                    <w:rPr>
                      <w:rFonts w:hint="default" w:ascii="Times New Roman" w:hAnsi="Times New Roman" w:eastAsia="宋体" w:cs="Times New Roman"/>
                      <w:color w:val="auto"/>
                      <w:spacing w:val="7"/>
                      <w:sz w:val="21"/>
                      <w:szCs w:val="21"/>
                    </w:rPr>
                    <w:t>置，标记液面高度。</w:t>
                  </w:r>
                </w:p>
                <w:p w14:paraId="1B57EC1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4"/>
                      <w:sz w:val="21"/>
                      <w:szCs w:val="21"/>
                      <w:lang w:val="en-US" w:eastAsia="zh-CN"/>
                    </w:rPr>
                    <w:t>5、</w:t>
                  </w:r>
                  <w:r>
                    <w:rPr>
                      <w:rFonts w:hint="default" w:ascii="Times New Roman" w:hAnsi="Times New Roman" w:eastAsia="宋体" w:cs="Times New Roman"/>
                      <w:color w:val="auto"/>
                      <w:spacing w:val="4"/>
                      <w:sz w:val="21"/>
                      <w:szCs w:val="21"/>
                    </w:rPr>
                    <w:t>固定</w:t>
                  </w:r>
                  <w:r>
                    <w:rPr>
                      <w:rFonts w:hint="default" w:ascii="Times New Roman" w:hAnsi="Times New Roman" w:eastAsia="宋体" w:cs="Times New Roman"/>
                      <w:color w:val="auto"/>
                      <w:spacing w:val="9"/>
                      <w:sz w:val="21"/>
                      <w:szCs w:val="21"/>
                      <w:lang w:eastAsia="zh-CN"/>
                    </w:rPr>
                    <w:t>：</w:t>
                  </w:r>
                  <w:r>
                    <w:rPr>
                      <w:rFonts w:hint="default" w:ascii="Times New Roman" w:hAnsi="Times New Roman" w:eastAsia="宋体" w:cs="Times New Roman"/>
                      <w:color w:val="auto"/>
                      <w:spacing w:val="4"/>
                      <w:sz w:val="21"/>
                      <w:szCs w:val="21"/>
                    </w:rPr>
                    <w:t>用棉絮把枝条包</w:t>
                  </w:r>
                  <w:r>
                    <w:rPr>
                      <w:rFonts w:hint="default" w:ascii="Times New Roman" w:hAnsi="Times New Roman" w:eastAsia="宋体" w:cs="Times New Roman"/>
                      <w:color w:val="auto"/>
                      <w:spacing w:val="2"/>
                      <w:sz w:val="21"/>
                      <w:szCs w:val="21"/>
                    </w:rPr>
                    <w:t>住，固定在试管口，然后将</w:t>
                  </w:r>
                  <w:r>
                    <w:rPr>
                      <w:rFonts w:hint="default" w:ascii="Times New Roman" w:hAnsi="Times New Roman" w:eastAsia="宋体" w:cs="Times New Roman"/>
                      <w:color w:val="auto"/>
                      <w:spacing w:val="9"/>
                      <w:sz w:val="21"/>
                      <w:szCs w:val="21"/>
                    </w:rPr>
                    <w:t>两支试管放置试管架上</w:t>
                  </w:r>
                  <w:r>
                    <w:rPr>
                      <w:rFonts w:hint="eastAsia" w:ascii="Times New Roman" w:hAnsi="Times New Roman" w:eastAsia="宋体" w:cs="Times New Roman"/>
                      <w:color w:val="auto"/>
                      <w:spacing w:val="9"/>
                      <w:sz w:val="21"/>
                      <w:szCs w:val="21"/>
                      <w:lang w:eastAsia="zh-CN"/>
                    </w:rPr>
                    <w:t>。</w:t>
                  </w:r>
                </w:p>
                <w:p w14:paraId="6B77A2CB">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lang w:val="en-US" w:eastAsia="zh-CN"/>
                    </w:rPr>
                    <w:t>6、</w:t>
                  </w:r>
                  <w:r>
                    <w:rPr>
                      <w:rFonts w:hint="default" w:ascii="Times New Roman" w:hAnsi="Times New Roman" w:eastAsia="宋体" w:cs="Times New Roman"/>
                      <w:color w:val="auto"/>
                      <w:spacing w:val="9"/>
                      <w:sz w:val="21"/>
                      <w:szCs w:val="21"/>
                    </w:rPr>
                    <w:t>罩袋</w:t>
                  </w:r>
                  <w:r>
                    <w:rPr>
                      <w:rFonts w:hint="default" w:ascii="Times New Roman" w:hAnsi="Times New Roman" w:eastAsia="宋体" w:cs="Times New Roman"/>
                      <w:color w:val="auto"/>
                      <w:spacing w:val="9"/>
                      <w:sz w:val="21"/>
                      <w:szCs w:val="21"/>
                      <w:lang w:eastAsia="zh-CN"/>
                    </w:rPr>
                    <w:t>：</w:t>
                  </w:r>
                  <w:r>
                    <w:rPr>
                      <w:rFonts w:hint="default" w:ascii="Times New Roman" w:hAnsi="Times New Roman" w:eastAsia="宋体" w:cs="Times New Roman"/>
                      <w:color w:val="auto"/>
                      <w:spacing w:val="9"/>
                      <w:sz w:val="21"/>
                      <w:szCs w:val="21"/>
                    </w:rPr>
                    <w:t>枝条露出试管外的</w:t>
                  </w:r>
                  <w:r>
                    <w:rPr>
                      <w:rFonts w:hint="default" w:ascii="Times New Roman" w:hAnsi="Times New Roman" w:eastAsia="宋体" w:cs="Times New Roman"/>
                      <w:color w:val="auto"/>
                      <w:spacing w:val="20"/>
                      <w:sz w:val="21"/>
                      <w:szCs w:val="21"/>
                    </w:rPr>
                    <w:t>部分分别用透明塑料袋量</w:t>
                  </w:r>
                  <w:r>
                    <w:rPr>
                      <w:rFonts w:hint="default" w:ascii="Times New Roman" w:hAnsi="Times New Roman" w:eastAsia="宋体" w:cs="Times New Roman"/>
                      <w:color w:val="auto"/>
                      <w:spacing w:val="7"/>
                      <w:sz w:val="21"/>
                      <w:szCs w:val="21"/>
                    </w:rPr>
                    <w:t>住，袋口扎紧。</w:t>
                  </w:r>
                </w:p>
                <w:p w14:paraId="63FEF81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lang w:val="en-US" w:eastAsia="zh-CN"/>
                    </w:rPr>
                    <w:t>7、</w:t>
                  </w:r>
                  <w:r>
                    <w:rPr>
                      <w:rFonts w:hint="default" w:ascii="Times New Roman" w:hAnsi="Times New Roman" w:eastAsia="宋体" w:cs="Times New Roman"/>
                      <w:color w:val="auto"/>
                      <w:spacing w:val="9"/>
                      <w:sz w:val="21"/>
                      <w:szCs w:val="21"/>
                    </w:rPr>
                    <w:t>照光</w:t>
                  </w:r>
                  <w:r>
                    <w:rPr>
                      <w:rFonts w:hint="default" w:ascii="Times New Roman" w:hAnsi="Times New Roman" w:eastAsia="宋体" w:cs="Times New Roman"/>
                      <w:color w:val="auto"/>
                      <w:spacing w:val="9"/>
                      <w:sz w:val="21"/>
                      <w:szCs w:val="21"/>
                      <w:lang w:eastAsia="zh-CN"/>
                    </w:rPr>
                    <w:t>：</w:t>
                  </w:r>
                  <w:r>
                    <w:rPr>
                      <w:rFonts w:hint="default" w:ascii="Times New Roman" w:hAnsi="Times New Roman" w:eastAsia="宋体" w:cs="Times New Roman"/>
                      <w:color w:val="auto"/>
                      <w:spacing w:val="9"/>
                      <w:sz w:val="21"/>
                      <w:szCs w:val="21"/>
                    </w:rPr>
                    <w:t>将试管架放到阳光</w:t>
                  </w:r>
                  <w:r>
                    <w:rPr>
                      <w:rFonts w:hint="default" w:ascii="Times New Roman" w:hAnsi="Times New Roman" w:eastAsia="宋体" w:cs="Times New Roman"/>
                      <w:color w:val="auto"/>
                      <w:spacing w:val="2"/>
                      <w:sz w:val="21"/>
                      <w:szCs w:val="21"/>
                    </w:rPr>
                    <w:t>下，约</w:t>
                  </w:r>
                  <w:r>
                    <w:rPr>
                      <w:rFonts w:hint="default" w:ascii="Times New Roman" w:hAnsi="Times New Roman" w:eastAsia="宋体" w:cs="Times New Roman"/>
                      <w:color w:val="auto"/>
                      <w:spacing w:val="-36"/>
                      <w:sz w:val="21"/>
                      <w:szCs w:val="21"/>
                    </w:rPr>
                    <w:t xml:space="preserve"> </w:t>
                  </w:r>
                  <w:r>
                    <w:rPr>
                      <w:rFonts w:hint="default" w:ascii="Times New Roman" w:hAnsi="Times New Roman" w:eastAsia="Times New Roman" w:cs="Times New Roman"/>
                      <w:color w:val="auto"/>
                      <w:spacing w:val="2"/>
                      <w:sz w:val="21"/>
                      <w:szCs w:val="21"/>
                    </w:rPr>
                    <w:t>3h</w:t>
                  </w:r>
                  <w:r>
                    <w:rPr>
                      <w:rFonts w:hint="default" w:ascii="Times New Roman" w:hAnsi="Times New Roman" w:eastAsia="宋体" w:cs="Times New Roman"/>
                      <w:color w:val="auto"/>
                      <w:spacing w:val="2"/>
                      <w:sz w:val="21"/>
                      <w:szCs w:val="21"/>
                    </w:rPr>
                    <w:t>。</w:t>
                  </w:r>
                </w:p>
                <w:p w14:paraId="6555F22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hint="default" w:ascii="Times New Roman" w:hAnsi="Times New Roman" w:eastAsia="宋体" w:cs="Times New Roman"/>
                      <w:color w:val="auto"/>
                      <w:spacing w:val="3"/>
                      <w:sz w:val="21"/>
                      <w:szCs w:val="21"/>
                      <w:lang w:val="en-US" w:eastAsia="zh-CN"/>
                    </w:rPr>
                    <w:t>8、</w:t>
                  </w:r>
                  <w:r>
                    <w:rPr>
                      <w:rFonts w:hint="default" w:ascii="Times New Roman" w:hAnsi="Times New Roman" w:eastAsia="宋体" w:cs="Times New Roman"/>
                      <w:color w:val="auto"/>
                      <w:spacing w:val="3"/>
                      <w:sz w:val="21"/>
                      <w:szCs w:val="21"/>
                    </w:rPr>
                    <w:t>观察。</w:t>
                  </w:r>
                </w:p>
              </w:tc>
              <w:tc>
                <w:tcPr>
                  <w:tcW w:w="856" w:type="pct"/>
                  <w:tcBorders>
                    <w:tl2br w:val="nil"/>
                    <w:tr2bl w:val="nil"/>
                  </w:tcBorders>
                  <w:vAlign w:val="center"/>
                </w:tcPr>
                <w:p w14:paraId="5EB9784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阔叶枝条</w:t>
                  </w:r>
                </w:p>
              </w:tc>
              <w:tc>
                <w:tcPr>
                  <w:tcW w:w="675" w:type="pct"/>
                  <w:tcBorders>
                    <w:tl2br w:val="nil"/>
                    <w:tr2bl w:val="nil"/>
                  </w:tcBorders>
                  <w:vAlign w:val="center"/>
                </w:tcPr>
                <w:p w14:paraId="1E369D9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试管架、</w:t>
                  </w:r>
                  <w:r>
                    <w:rPr>
                      <w:rFonts w:ascii="宋体" w:hAnsi="宋体" w:eastAsia="宋体" w:cs="宋体"/>
                      <w:color w:val="auto"/>
                      <w:spacing w:val="6"/>
                      <w:sz w:val="21"/>
                      <w:szCs w:val="21"/>
                    </w:rPr>
                    <w:t>试管若</w:t>
                  </w:r>
                  <w:r>
                    <w:rPr>
                      <w:rFonts w:ascii="宋体" w:hAnsi="宋体" w:eastAsia="宋体" w:cs="宋体"/>
                      <w:color w:val="auto"/>
                      <w:spacing w:val="7"/>
                      <w:sz w:val="21"/>
                      <w:szCs w:val="21"/>
                    </w:rPr>
                    <w:t>干、透明</w:t>
                  </w:r>
                </w:p>
                <w:p w14:paraId="08B47C3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pacing w:val="6"/>
                      <w:sz w:val="21"/>
                      <w:szCs w:val="21"/>
                    </w:rPr>
                  </w:pPr>
                  <w:r>
                    <w:rPr>
                      <w:rFonts w:ascii="宋体" w:hAnsi="宋体" w:eastAsia="宋体" w:cs="宋体"/>
                      <w:color w:val="auto"/>
                      <w:spacing w:val="6"/>
                      <w:sz w:val="21"/>
                      <w:szCs w:val="21"/>
                    </w:rPr>
                    <w:t>塑料袋七</w:t>
                  </w:r>
                </w:p>
                <w:p w14:paraId="06CD7AF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个左右、</w:t>
                  </w:r>
                  <w:r>
                    <w:rPr>
                      <w:rFonts w:ascii="宋体" w:hAnsi="宋体" w:eastAsia="宋体" w:cs="宋体"/>
                      <w:color w:val="auto"/>
                      <w:spacing w:val="4"/>
                      <w:sz w:val="21"/>
                      <w:szCs w:val="21"/>
                    </w:rPr>
                    <w:t>棉花</w:t>
                  </w:r>
                </w:p>
              </w:tc>
              <w:tc>
                <w:tcPr>
                  <w:tcW w:w="537" w:type="pct"/>
                  <w:tcBorders>
                    <w:tl2br w:val="nil"/>
                    <w:tr2bl w:val="nil"/>
                  </w:tcBorders>
                  <w:vAlign w:val="center"/>
                </w:tcPr>
                <w:p w14:paraId="69F8A4B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老师</w:t>
                  </w:r>
                  <w:r>
                    <w:rPr>
                      <w:rFonts w:ascii="宋体" w:hAnsi="宋体" w:eastAsia="宋体" w:cs="宋体"/>
                      <w:color w:val="auto"/>
                      <w:spacing w:val="4"/>
                      <w:sz w:val="21"/>
                      <w:szCs w:val="21"/>
                    </w:rPr>
                    <w:t>演示</w:t>
                  </w:r>
                </w:p>
              </w:tc>
            </w:tr>
            <w:tr w14:paraId="054781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28706DD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16</w:t>
                  </w:r>
                </w:p>
              </w:tc>
              <w:tc>
                <w:tcPr>
                  <w:tcW w:w="690" w:type="pct"/>
                  <w:tcBorders>
                    <w:tl2br w:val="nil"/>
                    <w:tr2bl w:val="nil"/>
                  </w:tcBorders>
                  <w:vAlign w:val="center"/>
                </w:tcPr>
                <w:p w14:paraId="3AA4377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检验光合作用释放</w:t>
                  </w:r>
                  <w:r>
                    <w:rPr>
                      <w:rFonts w:ascii="宋体" w:hAnsi="宋体" w:eastAsia="宋体" w:cs="宋体"/>
                      <w:color w:val="auto"/>
                      <w:spacing w:val="4"/>
                      <w:sz w:val="21"/>
                      <w:szCs w:val="21"/>
                    </w:rPr>
                    <w:t>氧气</w:t>
                  </w:r>
                </w:p>
              </w:tc>
              <w:tc>
                <w:tcPr>
                  <w:tcW w:w="1769" w:type="pct"/>
                  <w:tcBorders>
                    <w:tl2br w:val="nil"/>
                    <w:tr2bl w:val="nil"/>
                  </w:tcBorders>
                  <w:vAlign w:val="center"/>
                </w:tcPr>
                <w:p w14:paraId="17AD13F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2"/>
                      <w:sz w:val="21"/>
                      <w:szCs w:val="21"/>
                    </w:rPr>
                    <w:t>1.</w:t>
                  </w:r>
                  <w:r>
                    <w:rPr>
                      <w:rFonts w:ascii="宋体" w:hAnsi="宋体" w:eastAsia="宋体" w:cs="宋体"/>
                      <w:color w:val="auto"/>
                      <w:spacing w:val="12"/>
                      <w:sz w:val="21"/>
                      <w:szCs w:val="21"/>
                    </w:rPr>
                    <w:t>取一个玻璃水槽</w:t>
                  </w:r>
                  <w:r>
                    <w:rPr>
                      <w:rFonts w:hint="eastAsia" w:ascii="Times New Roman" w:hAnsi="Times New Roman" w:eastAsia="宋体" w:cs="Times New Roman"/>
                      <w:color w:val="auto"/>
                      <w:spacing w:val="12"/>
                      <w:sz w:val="21"/>
                      <w:szCs w:val="21"/>
                      <w:lang w:eastAsia="zh-CN"/>
                    </w:rPr>
                    <w:t>，</w:t>
                  </w:r>
                  <w:r>
                    <w:rPr>
                      <w:rFonts w:ascii="宋体" w:hAnsi="宋体" w:eastAsia="宋体" w:cs="宋体"/>
                      <w:color w:val="auto"/>
                      <w:spacing w:val="12"/>
                      <w:sz w:val="21"/>
                      <w:szCs w:val="21"/>
                    </w:rPr>
                    <w:t>注满清</w:t>
                  </w:r>
                  <w:r>
                    <w:rPr>
                      <w:rFonts w:ascii="宋体" w:hAnsi="宋体" w:eastAsia="宋体" w:cs="宋体"/>
                      <w:color w:val="auto"/>
                      <w:spacing w:val="-5"/>
                      <w:sz w:val="21"/>
                      <w:szCs w:val="21"/>
                    </w:rPr>
                    <w:t>水，按每</w:t>
                  </w:r>
                  <w:r>
                    <w:rPr>
                      <w:rFonts w:ascii="Times New Roman" w:hAnsi="Times New Roman" w:eastAsia="Times New Roman" w:cs="Times New Roman"/>
                      <w:color w:val="auto"/>
                      <w:spacing w:val="-5"/>
                      <w:sz w:val="21"/>
                      <w:szCs w:val="21"/>
                    </w:rPr>
                    <w:t>100mL</w:t>
                  </w:r>
                  <w:r>
                    <w:rPr>
                      <w:rFonts w:ascii="宋体" w:hAnsi="宋体" w:eastAsia="宋体" w:cs="宋体"/>
                      <w:color w:val="auto"/>
                      <w:spacing w:val="-5"/>
                      <w:sz w:val="21"/>
                      <w:szCs w:val="21"/>
                    </w:rPr>
                    <w:t>水加入</w:t>
                  </w:r>
                  <w:r>
                    <w:rPr>
                      <w:rFonts w:ascii="宋体" w:hAnsi="宋体" w:eastAsia="宋体" w:cs="宋体"/>
                      <w:color w:val="auto"/>
                      <w:spacing w:val="-59"/>
                      <w:sz w:val="21"/>
                      <w:szCs w:val="21"/>
                    </w:rPr>
                    <w:t xml:space="preserve"> </w:t>
                  </w:r>
                  <w:r>
                    <w:rPr>
                      <w:rFonts w:ascii="Times New Roman" w:hAnsi="Times New Roman" w:eastAsia="Times New Roman" w:cs="Times New Roman"/>
                      <w:color w:val="auto"/>
                      <w:spacing w:val="-5"/>
                      <w:sz w:val="21"/>
                      <w:szCs w:val="21"/>
                    </w:rPr>
                    <w:t>0.1g</w:t>
                  </w:r>
                  <w:r>
                    <w:rPr>
                      <w:rFonts w:ascii="宋体" w:hAnsi="宋体" w:eastAsia="宋体" w:cs="宋体"/>
                      <w:color w:val="auto"/>
                      <w:spacing w:val="5"/>
                      <w:sz w:val="21"/>
                      <w:szCs w:val="21"/>
                    </w:rPr>
                    <w:t>碳酸氢钠，用玻璃棒搅拌，</w:t>
                  </w:r>
                  <w:r>
                    <w:rPr>
                      <w:rFonts w:ascii="宋体" w:hAnsi="宋体" w:eastAsia="宋体" w:cs="宋体"/>
                      <w:color w:val="auto"/>
                      <w:spacing w:val="20"/>
                      <w:sz w:val="21"/>
                      <w:szCs w:val="21"/>
                    </w:rPr>
                    <w:t>以增加水中二氧化碳的含</w:t>
                  </w:r>
                  <w:r>
                    <w:rPr>
                      <w:rFonts w:ascii="宋体" w:hAnsi="宋体" w:eastAsia="宋体" w:cs="宋体"/>
                      <w:color w:val="auto"/>
                      <w:sz w:val="21"/>
                      <w:szCs w:val="21"/>
                    </w:rPr>
                    <w:t>量。</w:t>
                  </w:r>
                </w:p>
                <w:p w14:paraId="75BBB84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21"/>
                      <w:sz w:val="21"/>
                      <w:szCs w:val="21"/>
                    </w:rPr>
                    <w:t>2.</w:t>
                  </w:r>
                  <w:r>
                    <w:rPr>
                      <w:rFonts w:ascii="宋体" w:hAnsi="宋体" w:eastAsia="宋体" w:cs="宋体"/>
                      <w:color w:val="auto"/>
                      <w:spacing w:val="21"/>
                      <w:sz w:val="21"/>
                      <w:szCs w:val="21"/>
                    </w:rPr>
                    <w:t>将采集的金鱼藻在水中</w:t>
                  </w:r>
                  <w:r>
                    <w:rPr>
                      <w:rFonts w:ascii="宋体" w:hAnsi="宋体" w:eastAsia="宋体" w:cs="宋体"/>
                      <w:color w:val="auto"/>
                      <w:spacing w:val="20"/>
                      <w:sz w:val="21"/>
                      <w:szCs w:val="21"/>
                    </w:rPr>
                    <w:t>剪取若干带顶端的嫩枝放</w:t>
                  </w:r>
                  <w:r>
                    <w:rPr>
                      <w:rFonts w:ascii="宋体" w:hAnsi="宋体" w:eastAsia="宋体" w:cs="宋体"/>
                      <w:color w:val="auto"/>
                      <w:spacing w:val="2"/>
                      <w:sz w:val="21"/>
                      <w:szCs w:val="21"/>
                    </w:rPr>
                    <w:t>置在水槽内，并使切口的一端向上，然后用短管漏斗将其倒扣在水槽里，在漏斗下</w:t>
                  </w:r>
                  <w:r>
                    <w:rPr>
                      <w:rFonts w:ascii="宋体" w:hAnsi="宋体" w:eastAsia="宋体" w:cs="宋体"/>
                      <w:color w:val="auto"/>
                      <w:spacing w:val="8"/>
                      <w:sz w:val="21"/>
                      <w:szCs w:val="21"/>
                    </w:rPr>
                    <w:t>面垫上两个小木条</w:t>
                  </w:r>
                </w:p>
                <w:p w14:paraId="74A1F29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3.</w:t>
                  </w:r>
                  <w:r>
                    <w:rPr>
                      <w:rFonts w:ascii="宋体" w:hAnsi="宋体" w:eastAsia="宋体" w:cs="宋体"/>
                      <w:color w:val="auto"/>
                      <w:spacing w:val="8"/>
                      <w:sz w:val="21"/>
                      <w:szCs w:val="21"/>
                    </w:rPr>
                    <w:t>取一支盛满清水的试管，</w:t>
                  </w:r>
                  <w:r>
                    <w:rPr>
                      <w:rFonts w:ascii="宋体" w:hAnsi="宋体" w:eastAsia="宋体" w:cs="宋体"/>
                      <w:color w:val="auto"/>
                      <w:spacing w:val="1"/>
                      <w:sz w:val="21"/>
                      <w:szCs w:val="21"/>
                    </w:rPr>
                    <w:t>用拇指堵住管口，倒转移入玻璃水槽的水中，套在漏斗短管上，试管上，试管内要充满水。将实验装置放在温</w:t>
                  </w:r>
                  <w:r>
                    <w:rPr>
                      <w:rFonts w:ascii="宋体" w:hAnsi="宋体" w:eastAsia="宋体" w:cs="宋体"/>
                      <w:color w:val="auto"/>
                      <w:spacing w:val="2"/>
                      <w:sz w:val="21"/>
                      <w:szCs w:val="21"/>
                    </w:rPr>
                    <w:t>暖而阳光充足的环境里，使</w:t>
                  </w:r>
                  <w:r>
                    <w:rPr>
                      <w:rFonts w:ascii="宋体" w:hAnsi="宋体" w:eastAsia="宋体" w:cs="宋体"/>
                      <w:color w:val="auto"/>
                      <w:spacing w:val="5"/>
                      <w:sz w:val="21"/>
                      <w:szCs w:val="21"/>
                    </w:rPr>
                    <w:t>金鱼藻接受阳光照射，</w:t>
                  </w:r>
                  <w:r>
                    <w:rPr>
                      <w:rFonts w:hint="eastAsia" w:ascii="宋体" w:hAnsi="宋体" w:eastAsia="宋体" w:cs="宋体"/>
                      <w:color w:val="auto"/>
                      <w:spacing w:val="5"/>
                      <w:sz w:val="21"/>
                      <w:szCs w:val="21"/>
                      <w:lang w:val="en-US" w:eastAsia="zh-CN"/>
                    </w:rPr>
                    <w:t>不</w:t>
                  </w:r>
                  <w:r>
                    <w:rPr>
                      <w:rFonts w:ascii="宋体" w:hAnsi="宋体" w:eastAsia="宋体" w:cs="宋体"/>
                      <w:color w:val="auto"/>
                      <w:spacing w:val="5"/>
                      <w:sz w:val="21"/>
                      <w:szCs w:val="21"/>
                    </w:rPr>
                    <w:t>久，</w:t>
                  </w:r>
                  <w:r>
                    <w:rPr>
                      <w:rFonts w:ascii="宋体" w:hAnsi="宋体" w:eastAsia="宋体" w:cs="宋体"/>
                      <w:color w:val="auto"/>
                      <w:spacing w:val="20"/>
                      <w:sz w:val="21"/>
                      <w:szCs w:val="21"/>
                    </w:rPr>
                    <w:t>你可以看到许多气泡从金鱼藻放出并聚集在试管顶</w:t>
                  </w:r>
                  <w:r>
                    <w:rPr>
                      <w:rFonts w:ascii="宋体" w:hAnsi="宋体" w:eastAsia="宋体" w:cs="宋体"/>
                      <w:color w:val="auto"/>
                      <w:sz w:val="21"/>
                      <w:szCs w:val="21"/>
                    </w:rPr>
                    <w:t>端。</w:t>
                  </w:r>
                </w:p>
                <w:p w14:paraId="47AD89B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5"/>
                      <w:sz w:val="21"/>
                      <w:szCs w:val="21"/>
                    </w:rPr>
                    <w:t>5.</w:t>
                  </w:r>
                  <w:r>
                    <w:rPr>
                      <w:rFonts w:ascii="宋体" w:hAnsi="宋体" w:eastAsia="宋体" w:cs="宋体"/>
                      <w:color w:val="auto"/>
                      <w:spacing w:val="5"/>
                      <w:sz w:val="21"/>
                      <w:szCs w:val="21"/>
                    </w:rPr>
                    <w:t>待收集约</w:t>
                  </w:r>
                  <w:r>
                    <w:rPr>
                      <w:rFonts w:ascii="Times New Roman" w:hAnsi="Times New Roman" w:eastAsia="Times New Roman" w:cs="Times New Roman"/>
                      <w:color w:val="auto"/>
                      <w:spacing w:val="5"/>
                      <w:sz w:val="21"/>
                      <w:szCs w:val="21"/>
                    </w:rPr>
                    <w:t>1/2</w:t>
                  </w:r>
                  <w:r>
                    <w:rPr>
                      <w:rFonts w:ascii="宋体" w:hAnsi="宋体" w:eastAsia="宋体" w:cs="宋体"/>
                      <w:color w:val="auto"/>
                      <w:spacing w:val="5"/>
                      <w:sz w:val="21"/>
                      <w:szCs w:val="21"/>
                    </w:rPr>
                    <w:t>管气体后，</w:t>
                  </w:r>
                  <w:r>
                    <w:rPr>
                      <w:rFonts w:ascii="宋体" w:hAnsi="宋体" w:eastAsia="宋体" w:cs="宋体"/>
                      <w:color w:val="auto"/>
                      <w:spacing w:val="2"/>
                      <w:sz w:val="21"/>
                      <w:szCs w:val="21"/>
                    </w:rPr>
                    <w:t>在水中用拇指堵住管口，取出试管并立即倒转，水落到试管的下部。然后将带火星</w:t>
                  </w:r>
                  <w:r>
                    <w:rPr>
                      <w:rFonts w:ascii="宋体" w:hAnsi="宋体" w:eastAsia="宋体" w:cs="宋体"/>
                      <w:color w:val="auto"/>
                      <w:spacing w:val="20"/>
                      <w:sz w:val="21"/>
                      <w:szCs w:val="21"/>
                    </w:rPr>
                    <w:t>的卫生香或牙签伸入试管</w:t>
                  </w:r>
                  <w:r>
                    <w:rPr>
                      <w:rFonts w:ascii="宋体" w:hAnsi="宋体" w:eastAsia="宋体" w:cs="宋体"/>
                      <w:color w:val="auto"/>
                      <w:sz w:val="21"/>
                      <w:szCs w:val="21"/>
                    </w:rPr>
                    <w:t>中。请注意观察生香或牙签</w:t>
                  </w:r>
                  <w:r>
                    <w:rPr>
                      <w:rFonts w:ascii="宋体" w:hAnsi="宋体" w:eastAsia="宋体" w:cs="宋体"/>
                      <w:color w:val="auto"/>
                      <w:spacing w:val="3"/>
                      <w:sz w:val="21"/>
                      <w:szCs w:val="21"/>
                    </w:rPr>
                    <w:t>的燃烧情况。</w:t>
                  </w:r>
                </w:p>
              </w:tc>
              <w:tc>
                <w:tcPr>
                  <w:tcW w:w="856" w:type="pct"/>
                  <w:tcBorders>
                    <w:tl2br w:val="nil"/>
                    <w:tr2bl w:val="nil"/>
                  </w:tcBorders>
                  <w:vAlign w:val="center"/>
                </w:tcPr>
                <w:p w14:paraId="1393584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清水、碳酸氢钠、金鱼藻</w:t>
                  </w:r>
                </w:p>
              </w:tc>
              <w:tc>
                <w:tcPr>
                  <w:tcW w:w="675" w:type="pct"/>
                  <w:tcBorders>
                    <w:tl2br w:val="nil"/>
                    <w:tr2bl w:val="nil"/>
                  </w:tcBorders>
                  <w:vAlign w:val="center"/>
                </w:tcPr>
                <w:p w14:paraId="5978923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玻璃水</w:t>
                  </w:r>
                  <w:r>
                    <w:rPr>
                      <w:rFonts w:ascii="宋体" w:hAnsi="宋体" w:eastAsia="宋体" w:cs="宋体"/>
                      <w:color w:val="auto"/>
                      <w:spacing w:val="7"/>
                      <w:sz w:val="21"/>
                      <w:szCs w:val="21"/>
                    </w:rPr>
                    <w:t>槽、玻璃</w:t>
                  </w:r>
                  <w:r>
                    <w:rPr>
                      <w:rFonts w:ascii="宋体" w:hAnsi="宋体" w:eastAsia="宋体" w:cs="宋体"/>
                      <w:color w:val="auto"/>
                      <w:spacing w:val="-12"/>
                      <w:sz w:val="21"/>
                      <w:szCs w:val="21"/>
                    </w:rPr>
                    <w:t>棒、漏斗、</w:t>
                  </w:r>
                  <w:r>
                    <w:rPr>
                      <w:rFonts w:ascii="宋体" w:hAnsi="宋体" w:eastAsia="宋体" w:cs="宋体"/>
                      <w:color w:val="auto"/>
                      <w:spacing w:val="3"/>
                      <w:sz w:val="21"/>
                      <w:szCs w:val="21"/>
                    </w:rPr>
                    <w:t>小木条、试管、</w:t>
                  </w:r>
                </w:p>
              </w:tc>
              <w:tc>
                <w:tcPr>
                  <w:tcW w:w="537" w:type="pct"/>
                  <w:tcBorders>
                    <w:tl2br w:val="nil"/>
                    <w:tr2bl w:val="nil"/>
                  </w:tcBorders>
                  <w:vAlign w:val="center"/>
                </w:tcPr>
                <w:p w14:paraId="5130E21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老师</w:t>
                  </w:r>
                  <w:r>
                    <w:rPr>
                      <w:rFonts w:ascii="宋体" w:hAnsi="宋体" w:eastAsia="宋体" w:cs="宋体"/>
                      <w:color w:val="auto"/>
                      <w:spacing w:val="4"/>
                      <w:sz w:val="21"/>
                      <w:szCs w:val="21"/>
                    </w:rPr>
                    <w:t>演示</w:t>
                  </w:r>
                </w:p>
              </w:tc>
            </w:tr>
            <w:tr w14:paraId="0F232C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5AB0782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17</w:t>
                  </w:r>
                </w:p>
              </w:tc>
              <w:tc>
                <w:tcPr>
                  <w:tcW w:w="690" w:type="pct"/>
                  <w:tcBorders>
                    <w:tl2br w:val="nil"/>
                    <w:tr2bl w:val="nil"/>
                  </w:tcBorders>
                  <w:vAlign w:val="center"/>
                </w:tcPr>
                <w:p w14:paraId="4BCFE6C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验证植物进行光合作用需要</w:t>
                  </w:r>
                  <w:r>
                    <w:rPr>
                      <w:rFonts w:ascii="宋体" w:hAnsi="宋体" w:eastAsia="宋体" w:cs="宋体"/>
                      <w:color w:val="auto"/>
                      <w:spacing w:val="2"/>
                      <w:sz w:val="21"/>
                      <w:szCs w:val="21"/>
                    </w:rPr>
                    <w:t>叶绿素</w:t>
                  </w:r>
                </w:p>
              </w:tc>
              <w:tc>
                <w:tcPr>
                  <w:tcW w:w="1769" w:type="pct"/>
                  <w:tcBorders>
                    <w:tl2br w:val="nil"/>
                    <w:tr2bl w:val="nil"/>
                  </w:tcBorders>
                  <w:vAlign w:val="center"/>
                </w:tcPr>
                <w:p w14:paraId="1394DBAC">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9"/>
                      <w:sz w:val="21"/>
                      <w:szCs w:val="21"/>
                    </w:rPr>
                    <w:t>1.</w:t>
                  </w:r>
                  <w:r>
                    <w:rPr>
                      <w:rFonts w:ascii="宋体" w:hAnsi="宋体" w:eastAsia="宋体" w:cs="宋体"/>
                      <w:color w:val="auto"/>
                      <w:spacing w:val="19"/>
                      <w:sz w:val="21"/>
                      <w:szCs w:val="21"/>
                    </w:rPr>
                    <w:t>从一种或几种斑叶植物</w:t>
                  </w:r>
                  <w:r>
                    <w:rPr>
                      <w:rFonts w:ascii="宋体" w:hAnsi="宋体" w:eastAsia="宋体" w:cs="宋体"/>
                      <w:color w:val="auto"/>
                      <w:spacing w:val="2"/>
                      <w:sz w:val="21"/>
                      <w:szCs w:val="21"/>
                    </w:rPr>
                    <w:t>上摘取一片叶，放到盛有酒精的小烧杯里，将小烧杯置</w:t>
                  </w:r>
                  <w:r>
                    <w:rPr>
                      <w:rFonts w:ascii="宋体" w:hAnsi="宋体" w:eastAsia="宋体" w:cs="宋体"/>
                      <w:color w:val="auto"/>
                      <w:spacing w:val="8"/>
                      <w:sz w:val="21"/>
                      <w:szCs w:val="21"/>
                    </w:rPr>
                    <w:t>于大烧杯中水浴加热</w:t>
                  </w:r>
                </w:p>
                <w:p w14:paraId="04E69B9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5"/>
                      <w:sz w:val="21"/>
                      <w:szCs w:val="21"/>
                    </w:rPr>
                    <w:t>2.</w:t>
                  </w:r>
                  <w:r>
                    <w:rPr>
                      <w:rFonts w:ascii="宋体" w:hAnsi="宋体" w:eastAsia="宋体" w:cs="宋体"/>
                      <w:color w:val="auto"/>
                      <w:spacing w:val="5"/>
                      <w:sz w:val="21"/>
                      <w:szCs w:val="21"/>
                    </w:rPr>
                    <w:t>待叶片呈黄白色时，取出</w:t>
                  </w:r>
                  <w:r>
                    <w:rPr>
                      <w:rFonts w:ascii="宋体" w:hAnsi="宋体" w:eastAsia="宋体" w:cs="宋体"/>
                      <w:color w:val="auto"/>
                      <w:spacing w:val="2"/>
                      <w:sz w:val="21"/>
                      <w:szCs w:val="21"/>
                    </w:rPr>
                    <w:t>叶片，用清水漂洗后放到培</w:t>
                  </w:r>
                  <w:r>
                    <w:rPr>
                      <w:rFonts w:ascii="宋体" w:hAnsi="宋体" w:eastAsia="宋体" w:cs="宋体"/>
                      <w:color w:val="auto"/>
                      <w:spacing w:val="15"/>
                      <w:sz w:val="21"/>
                      <w:szCs w:val="21"/>
                    </w:rPr>
                    <w:t>养皿里，</w:t>
                  </w:r>
                  <w:r>
                    <w:rPr>
                      <w:rFonts w:ascii="宋体" w:hAnsi="宋体" w:eastAsia="宋体" w:cs="宋体"/>
                      <w:color w:val="auto"/>
                      <w:spacing w:val="-42"/>
                      <w:sz w:val="21"/>
                      <w:szCs w:val="21"/>
                    </w:rPr>
                    <w:t xml:space="preserve"> </w:t>
                  </w:r>
                  <w:r>
                    <w:rPr>
                      <w:rFonts w:ascii="宋体" w:hAnsi="宋体" w:eastAsia="宋体" w:cs="宋体"/>
                      <w:color w:val="auto"/>
                      <w:spacing w:val="15"/>
                      <w:sz w:val="21"/>
                      <w:szCs w:val="21"/>
                    </w:rPr>
                    <w:t>向叶片上滴加碘</w:t>
                  </w:r>
                  <w:r>
                    <w:rPr>
                      <w:rFonts w:ascii="宋体" w:hAnsi="宋体" w:eastAsia="宋体" w:cs="宋体"/>
                      <w:color w:val="auto"/>
                      <w:sz w:val="21"/>
                      <w:szCs w:val="21"/>
                    </w:rPr>
                    <w:t>液。</w:t>
                  </w:r>
                </w:p>
                <w:p w14:paraId="535C3E4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20"/>
                      <w:sz w:val="21"/>
                      <w:szCs w:val="21"/>
                    </w:rPr>
                    <w:t>3.</w:t>
                  </w:r>
                  <w:r>
                    <w:rPr>
                      <w:rFonts w:ascii="宋体" w:hAnsi="宋体" w:eastAsia="宋体" w:cs="宋体"/>
                      <w:color w:val="auto"/>
                      <w:spacing w:val="20"/>
                      <w:sz w:val="21"/>
                      <w:szCs w:val="21"/>
                    </w:rPr>
                    <w:t>用清水漂洗把叶片上的</w:t>
                  </w:r>
                  <w:r>
                    <w:rPr>
                      <w:rFonts w:ascii="宋体" w:hAnsi="宋体" w:eastAsia="宋体" w:cs="宋体"/>
                      <w:color w:val="auto"/>
                      <w:spacing w:val="2"/>
                      <w:sz w:val="21"/>
                      <w:szCs w:val="21"/>
                    </w:rPr>
                    <w:t>碘液冲掉，观察叶片的绿色部分和白色部分，将实验观</w:t>
                  </w:r>
                  <w:r>
                    <w:rPr>
                      <w:rFonts w:ascii="宋体" w:hAnsi="宋体" w:eastAsia="宋体" w:cs="宋体"/>
                      <w:color w:val="auto"/>
                      <w:spacing w:val="20"/>
                      <w:sz w:val="21"/>
                      <w:szCs w:val="21"/>
                    </w:rPr>
                    <w:t>察结果记录到下面的表格</w:t>
                  </w:r>
                  <w:r>
                    <w:rPr>
                      <w:rFonts w:ascii="宋体" w:hAnsi="宋体" w:eastAsia="宋体" w:cs="宋体"/>
                      <w:color w:val="auto"/>
                      <w:spacing w:val="1"/>
                      <w:sz w:val="21"/>
                      <w:szCs w:val="21"/>
                    </w:rPr>
                    <w:t>中</w:t>
                  </w:r>
                </w:p>
              </w:tc>
              <w:tc>
                <w:tcPr>
                  <w:tcW w:w="856" w:type="pct"/>
                  <w:tcBorders>
                    <w:tl2br w:val="nil"/>
                    <w:tr2bl w:val="nil"/>
                  </w:tcBorders>
                  <w:vAlign w:val="center"/>
                </w:tcPr>
                <w:p w14:paraId="52DF8BF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宋体" w:hAnsi="宋体" w:eastAsia="宋体" w:cs="宋体"/>
                      <w:color w:val="auto"/>
                      <w:spacing w:val="8"/>
                      <w:sz w:val="21"/>
                      <w:szCs w:val="21"/>
                    </w:rPr>
                    <w:t>新鲜的花叶垂榕等斑叶植物</w:t>
                  </w:r>
                  <w:r>
                    <w:rPr>
                      <w:rFonts w:ascii="宋体" w:hAnsi="宋体" w:eastAsia="宋体" w:cs="宋体"/>
                      <w:color w:val="auto"/>
                      <w:spacing w:val="-11"/>
                      <w:sz w:val="21"/>
                      <w:szCs w:val="21"/>
                    </w:rPr>
                    <w:t>的叶片、酒精、</w:t>
                  </w:r>
                  <w:r>
                    <w:rPr>
                      <w:rFonts w:ascii="宋体" w:hAnsi="宋体" w:eastAsia="宋体" w:cs="宋体"/>
                      <w:color w:val="auto"/>
                      <w:spacing w:val="20"/>
                      <w:sz w:val="21"/>
                      <w:szCs w:val="21"/>
                    </w:rPr>
                    <w:t>碘液、清水</w:t>
                  </w:r>
                  <w:r>
                    <w:rPr>
                      <w:rFonts w:ascii="Times New Roman" w:hAnsi="Times New Roman" w:eastAsia="Times New Roman" w:cs="Times New Roman"/>
                      <w:color w:val="auto"/>
                      <w:spacing w:val="20"/>
                      <w:sz w:val="21"/>
                      <w:szCs w:val="21"/>
                    </w:rPr>
                    <w:t>,</w:t>
                  </w:r>
                </w:p>
              </w:tc>
              <w:tc>
                <w:tcPr>
                  <w:tcW w:w="675" w:type="pct"/>
                  <w:tcBorders>
                    <w:tl2br w:val="nil"/>
                    <w:tr2bl w:val="nil"/>
                  </w:tcBorders>
                  <w:vAlign w:val="center"/>
                </w:tcPr>
                <w:p w14:paraId="1E35D62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小烧杯、</w:t>
                  </w:r>
                  <w:r>
                    <w:rPr>
                      <w:rFonts w:ascii="宋体" w:hAnsi="宋体" w:eastAsia="宋体" w:cs="宋体"/>
                      <w:color w:val="auto"/>
                      <w:spacing w:val="4"/>
                      <w:sz w:val="21"/>
                      <w:szCs w:val="21"/>
                    </w:rPr>
                    <w:t>大烧杯、培养皿、</w:t>
                  </w:r>
                </w:p>
                <w:p w14:paraId="30C2BE9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三脚架、</w:t>
                  </w:r>
                  <w:r>
                    <w:rPr>
                      <w:rFonts w:ascii="宋体" w:hAnsi="宋体" w:eastAsia="宋体" w:cs="宋体"/>
                      <w:color w:val="auto"/>
                      <w:spacing w:val="4"/>
                      <w:sz w:val="21"/>
                      <w:szCs w:val="21"/>
                    </w:rPr>
                    <w:t>石棉网、酒精灯、</w:t>
                  </w:r>
                </w:p>
                <w:p w14:paraId="02E75FB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火柴、镊</w:t>
                  </w:r>
                  <w:r>
                    <w:rPr>
                      <w:rFonts w:ascii="宋体" w:hAnsi="宋体" w:eastAsia="宋体" w:cs="宋体"/>
                      <w:color w:val="auto"/>
                      <w:sz w:val="21"/>
                      <w:szCs w:val="21"/>
                    </w:rPr>
                    <w:t>子</w:t>
                  </w:r>
                </w:p>
              </w:tc>
              <w:tc>
                <w:tcPr>
                  <w:tcW w:w="537" w:type="pct"/>
                  <w:tcBorders>
                    <w:tl2br w:val="nil"/>
                    <w:tr2bl w:val="nil"/>
                  </w:tcBorders>
                  <w:vAlign w:val="center"/>
                </w:tcPr>
                <w:p w14:paraId="588DC87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老师</w:t>
                  </w:r>
                  <w:r>
                    <w:rPr>
                      <w:rFonts w:ascii="宋体" w:hAnsi="宋体" w:eastAsia="宋体" w:cs="宋体"/>
                      <w:color w:val="auto"/>
                      <w:spacing w:val="4"/>
                      <w:sz w:val="21"/>
                      <w:szCs w:val="21"/>
                    </w:rPr>
                    <w:t>演示</w:t>
                  </w:r>
                </w:p>
              </w:tc>
            </w:tr>
            <w:tr w14:paraId="4040A3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0F51BE9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18</w:t>
                  </w:r>
                </w:p>
              </w:tc>
              <w:tc>
                <w:tcPr>
                  <w:tcW w:w="690" w:type="pct"/>
                  <w:tcBorders>
                    <w:tl2br w:val="nil"/>
                    <w:tr2bl w:val="nil"/>
                  </w:tcBorders>
                  <w:vAlign w:val="center"/>
                </w:tcPr>
                <w:p w14:paraId="70B59A4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种子在萌</w:t>
                  </w:r>
                  <w:r>
                    <w:rPr>
                      <w:rFonts w:ascii="宋体" w:hAnsi="宋体" w:eastAsia="宋体" w:cs="宋体"/>
                      <w:color w:val="auto"/>
                      <w:spacing w:val="6"/>
                      <w:sz w:val="21"/>
                      <w:szCs w:val="21"/>
                    </w:rPr>
                    <w:t>发过程中</w:t>
                  </w:r>
                  <w:r>
                    <w:rPr>
                      <w:rFonts w:ascii="宋体" w:hAnsi="宋体" w:eastAsia="宋体" w:cs="宋体"/>
                      <w:color w:val="auto"/>
                      <w:spacing w:val="7"/>
                      <w:sz w:val="21"/>
                      <w:szCs w:val="21"/>
                    </w:rPr>
                    <w:t>释放能量</w:t>
                  </w:r>
                </w:p>
              </w:tc>
              <w:tc>
                <w:tcPr>
                  <w:tcW w:w="1769" w:type="pct"/>
                  <w:tcBorders>
                    <w:tl2br w:val="nil"/>
                    <w:tr2bl w:val="nil"/>
                  </w:tcBorders>
                  <w:vAlign w:val="center"/>
                </w:tcPr>
                <w:p w14:paraId="667C26F2">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7"/>
                      <w:sz w:val="21"/>
                      <w:szCs w:val="21"/>
                    </w:rPr>
                    <w:t>1.</w:t>
                  </w:r>
                  <w:r>
                    <w:rPr>
                      <w:rFonts w:ascii="宋体" w:hAnsi="宋体" w:eastAsia="宋体" w:cs="宋体"/>
                      <w:color w:val="auto"/>
                      <w:spacing w:val="7"/>
                      <w:sz w:val="21"/>
                      <w:szCs w:val="21"/>
                    </w:rPr>
                    <w:t>准备甲、乙两个相同的</w:t>
                  </w:r>
                  <w:r>
                    <w:rPr>
                      <w:rFonts w:ascii="宋体" w:hAnsi="宋体" w:eastAsia="宋体" w:cs="宋体"/>
                      <w:color w:val="auto"/>
                      <w:spacing w:val="1"/>
                      <w:sz w:val="21"/>
                      <w:szCs w:val="21"/>
                    </w:rPr>
                    <w:t>保温瓶，用温度计分别测量</w:t>
                  </w:r>
                  <w:r>
                    <w:rPr>
                      <w:rFonts w:ascii="宋体" w:hAnsi="宋体" w:eastAsia="宋体" w:cs="宋体"/>
                      <w:color w:val="auto"/>
                      <w:spacing w:val="7"/>
                      <w:sz w:val="21"/>
                      <w:szCs w:val="21"/>
                    </w:rPr>
                    <w:t>两个保温瓶内的温度。</w:t>
                  </w:r>
                </w:p>
                <w:p w14:paraId="0FDDB70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2.</w:t>
                  </w:r>
                  <w:r>
                    <w:rPr>
                      <w:rFonts w:ascii="宋体" w:hAnsi="宋体" w:eastAsia="宋体" w:cs="宋体"/>
                      <w:color w:val="auto"/>
                      <w:spacing w:val="8"/>
                      <w:sz w:val="21"/>
                      <w:szCs w:val="21"/>
                    </w:rPr>
                    <w:t>将等量的萌发的种子和</w:t>
                  </w:r>
                  <w:r>
                    <w:rPr>
                      <w:rFonts w:ascii="宋体" w:hAnsi="宋体" w:eastAsia="宋体" w:cs="宋体"/>
                      <w:color w:val="auto"/>
                      <w:spacing w:val="2"/>
                      <w:sz w:val="21"/>
                      <w:szCs w:val="21"/>
                    </w:rPr>
                    <w:t>干燥的种子分别装入甲、乙</w:t>
                  </w:r>
                  <w:r>
                    <w:rPr>
                      <w:rFonts w:ascii="宋体" w:hAnsi="宋体" w:eastAsia="宋体" w:cs="宋体"/>
                      <w:color w:val="auto"/>
                      <w:spacing w:val="20"/>
                      <w:sz w:val="21"/>
                      <w:szCs w:val="21"/>
                    </w:rPr>
                    <w:t>两个小保温瓶中，塞紧瓶</w:t>
                  </w:r>
                  <w:r>
                    <w:rPr>
                      <w:rFonts w:ascii="宋体" w:hAnsi="宋体" w:eastAsia="宋体" w:cs="宋体"/>
                      <w:color w:val="auto"/>
                      <w:sz w:val="21"/>
                      <w:szCs w:val="21"/>
                    </w:rPr>
                    <w:t>塞。</w:t>
                  </w:r>
                </w:p>
                <w:p w14:paraId="3881E19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3.</w:t>
                  </w:r>
                  <w:r>
                    <w:rPr>
                      <w:rFonts w:ascii="宋体" w:hAnsi="宋体" w:eastAsia="宋体" w:cs="宋体"/>
                      <w:color w:val="auto"/>
                      <w:spacing w:val="8"/>
                      <w:sz w:val="21"/>
                      <w:szCs w:val="21"/>
                    </w:rPr>
                    <w:t>大约</w:t>
                  </w:r>
                  <w:r>
                    <w:rPr>
                      <w:rFonts w:ascii="Times New Roman" w:hAnsi="Times New Roman" w:eastAsia="Times New Roman" w:cs="Times New Roman"/>
                      <w:color w:val="auto"/>
                      <w:spacing w:val="8"/>
                      <w:sz w:val="21"/>
                      <w:szCs w:val="21"/>
                    </w:rPr>
                    <w:t>12</w:t>
                  </w:r>
                  <w:r>
                    <w:rPr>
                      <w:rFonts w:ascii="宋体" w:hAnsi="宋体" w:eastAsia="宋体" w:cs="宋体"/>
                      <w:color w:val="auto"/>
                      <w:spacing w:val="8"/>
                      <w:sz w:val="21"/>
                      <w:szCs w:val="21"/>
                    </w:rPr>
                    <w:t>小时后，再次用</w:t>
                  </w:r>
                  <w:r>
                    <w:rPr>
                      <w:rFonts w:ascii="宋体" w:hAnsi="宋体" w:eastAsia="宋体" w:cs="宋体"/>
                      <w:color w:val="auto"/>
                      <w:spacing w:val="2"/>
                      <w:sz w:val="21"/>
                      <w:szCs w:val="21"/>
                    </w:rPr>
                    <w:t>温度计测量甲、乙两个保温</w:t>
                  </w:r>
                  <w:r>
                    <w:rPr>
                      <w:rFonts w:ascii="宋体" w:hAnsi="宋体" w:eastAsia="宋体" w:cs="宋体"/>
                      <w:color w:val="auto"/>
                      <w:spacing w:val="6"/>
                      <w:sz w:val="21"/>
                      <w:szCs w:val="21"/>
                    </w:rPr>
                    <w:t>瓶内的温度。</w:t>
                  </w:r>
                </w:p>
              </w:tc>
              <w:tc>
                <w:tcPr>
                  <w:tcW w:w="856" w:type="pct"/>
                  <w:tcBorders>
                    <w:tl2br w:val="nil"/>
                    <w:tr2bl w:val="nil"/>
                  </w:tcBorders>
                  <w:vAlign w:val="center"/>
                </w:tcPr>
                <w:p w14:paraId="0A02D7E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4"/>
                      <w:sz w:val="21"/>
                      <w:szCs w:val="21"/>
                    </w:rPr>
                    <w:t>种子</w:t>
                  </w:r>
                </w:p>
              </w:tc>
              <w:tc>
                <w:tcPr>
                  <w:tcW w:w="675" w:type="pct"/>
                  <w:tcBorders>
                    <w:tl2br w:val="nil"/>
                    <w:tr2bl w:val="nil"/>
                  </w:tcBorders>
                  <w:vAlign w:val="center"/>
                </w:tcPr>
                <w:p w14:paraId="69FF68F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保温瓶、</w:t>
                  </w:r>
                  <w:r>
                    <w:rPr>
                      <w:rFonts w:ascii="宋体" w:hAnsi="宋体" w:eastAsia="宋体" w:cs="宋体"/>
                      <w:color w:val="auto"/>
                      <w:spacing w:val="6"/>
                      <w:sz w:val="21"/>
                      <w:szCs w:val="21"/>
                    </w:rPr>
                    <w:t>温度计</w:t>
                  </w:r>
                </w:p>
              </w:tc>
              <w:tc>
                <w:tcPr>
                  <w:tcW w:w="537" w:type="pct"/>
                  <w:tcBorders>
                    <w:tl2br w:val="nil"/>
                    <w:tr2bl w:val="nil"/>
                  </w:tcBorders>
                  <w:vAlign w:val="center"/>
                </w:tcPr>
                <w:p w14:paraId="3D07D43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老师</w:t>
                  </w:r>
                  <w:r>
                    <w:rPr>
                      <w:rFonts w:ascii="宋体" w:hAnsi="宋体" w:eastAsia="宋体" w:cs="宋体"/>
                      <w:color w:val="auto"/>
                      <w:spacing w:val="4"/>
                      <w:sz w:val="21"/>
                      <w:szCs w:val="21"/>
                    </w:rPr>
                    <w:t>演示</w:t>
                  </w:r>
                </w:p>
              </w:tc>
            </w:tr>
            <w:tr w14:paraId="027BC5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2544A85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19</w:t>
                  </w:r>
                </w:p>
              </w:tc>
              <w:tc>
                <w:tcPr>
                  <w:tcW w:w="690" w:type="pct"/>
                  <w:tcBorders>
                    <w:tl2br w:val="nil"/>
                    <w:tr2bl w:val="nil"/>
                  </w:tcBorders>
                  <w:vAlign w:val="center"/>
                </w:tcPr>
                <w:p w14:paraId="2D00C3F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种子在萌</w:t>
                  </w:r>
                  <w:r>
                    <w:rPr>
                      <w:rFonts w:ascii="宋体" w:hAnsi="宋体" w:eastAsia="宋体" w:cs="宋体"/>
                      <w:color w:val="auto"/>
                      <w:spacing w:val="6"/>
                      <w:sz w:val="21"/>
                      <w:szCs w:val="21"/>
                    </w:rPr>
                    <w:t>发过程中</w:t>
                  </w:r>
                  <w:r>
                    <w:rPr>
                      <w:rFonts w:ascii="宋体" w:hAnsi="宋体" w:eastAsia="宋体" w:cs="宋体"/>
                      <w:color w:val="auto"/>
                      <w:spacing w:val="7"/>
                      <w:sz w:val="21"/>
                      <w:szCs w:val="21"/>
                    </w:rPr>
                    <w:t>产生二氧</w:t>
                  </w:r>
                  <w:r>
                    <w:rPr>
                      <w:rFonts w:ascii="宋体" w:hAnsi="宋体" w:eastAsia="宋体" w:cs="宋体"/>
                      <w:color w:val="auto"/>
                      <w:spacing w:val="4"/>
                      <w:sz w:val="21"/>
                      <w:szCs w:val="21"/>
                    </w:rPr>
                    <w:t>化碳</w:t>
                  </w:r>
                </w:p>
              </w:tc>
              <w:tc>
                <w:tcPr>
                  <w:tcW w:w="1769" w:type="pct"/>
                  <w:tcBorders>
                    <w:tl2br w:val="nil"/>
                    <w:tr2bl w:val="nil"/>
                  </w:tcBorders>
                  <w:vAlign w:val="center"/>
                </w:tcPr>
                <w:p w14:paraId="3333DA0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6"/>
                      <w:sz w:val="21"/>
                      <w:szCs w:val="21"/>
                    </w:rPr>
                    <w:t>1</w:t>
                  </w:r>
                  <w:r>
                    <w:rPr>
                      <w:rFonts w:ascii="宋体" w:hAnsi="宋体" w:eastAsia="宋体" w:cs="宋体"/>
                      <w:color w:val="auto"/>
                      <w:spacing w:val="6"/>
                      <w:sz w:val="21"/>
                      <w:szCs w:val="21"/>
                    </w:rPr>
                    <w:t>、在集气瓶中装入前发种子，在温暖地方放置一夜。</w:t>
                  </w:r>
                </w:p>
                <w:p w14:paraId="1227EF9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2</w:t>
                  </w:r>
                  <w:r>
                    <w:rPr>
                      <w:rFonts w:ascii="宋体" w:hAnsi="宋体" w:eastAsia="宋体" w:cs="宋体"/>
                      <w:color w:val="auto"/>
                      <w:spacing w:val="8"/>
                      <w:sz w:val="21"/>
                      <w:szCs w:val="21"/>
                    </w:rPr>
                    <w:t>、关好阀门，过一段时间</w:t>
                  </w:r>
                  <w:r>
                    <w:rPr>
                      <w:rFonts w:ascii="宋体" w:hAnsi="宋体" w:eastAsia="宋体" w:cs="宋体"/>
                      <w:color w:val="auto"/>
                      <w:spacing w:val="1"/>
                      <w:sz w:val="21"/>
                      <w:szCs w:val="21"/>
                    </w:rPr>
                    <w:t>后，往瓶内注入清水，打开阀门，使瓶内的气体进入试</w:t>
                  </w:r>
                  <w:r>
                    <w:rPr>
                      <w:rFonts w:ascii="宋体" w:hAnsi="宋体" w:eastAsia="宋体" w:cs="宋体"/>
                      <w:color w:val="auto"/>
                      <w:spacing w:val="2"/>
                      <w:sz w:val="21"/>
                      <w:szCs w:val="21"/>
                    </w:rPr>
                    <w:t>管中。</w:t>
                  </w:r>
                </w:p>
                <w:p w14:paraId="448C6877">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3</w:t>
                  </w:r>
                  <w:r>
                    <w:rPr>
                      <w:rFonts w:ascii="宋体" w:hAnsi="宋体" w:eastAsia="宋体" w:cs="宋体"/>
                      <w:color w:val="auto"/>
                      <w:spacing w:val="8"/>
                      <w:sz w:val="21"/>
                      <w:szCs w:val="21"/>
                    </w:rPr>
                    <w:t>、观察试管中的澄清石灰</w:t>
                  </w:r>
                  <w:r>
                    <w:rPr>
                      <w:rFonts w:ascii="宋体" w:hAnsi="宋体" w:eastAsia="宋体" w:cs="宋体"/>
                      <w:color w:val="auto"/>
                      <w:spacing w:val="6"/>
                      <w:sz w:val="21"/>
                      <w:szCs w:val="21"/>
                    </w:rPr>
                    <w:t>水的变化情况。</w:t>
                  </w:r>
                </w:p>
              </w:tc>
              <w:tc>
                <w:tcPr>
                  <w:tcW w:w="856" w:type="pct"/>
                  <w:tcBorders>
                    <w:tl2br w:val="nil"/>
                    <w:tr2bl w:val="nil"/>
                  </w:tcBorders>
                  <w:vAlign w:val="center"/>
                </w:tcPr>
                <w:p w14:paraId="23CBECD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澄清石灰水、</w:t>
                  </w:r>
                </w:p>
                <w:p w14:paraId="7DF7A5F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前发种子、煮</w:t>
                  </w:r>
                  <w:r>
                    <w:rPr>
                      <w:rFonts w:ascii="宋体" w:hAnsi="宋体" w:eastAsia="宋体" w:cs="宋体"/>
                      <w:color w:val="auto"/>
                      <w:spacing w:val="6"/>
                      <w:sz w:val="21"/>
                      <w:szCs w:val="21"/>
                    </w:rPr>
                    <w:t>熟的种子</w:t>
                  </w:r>
                </w:p>
              </w:tc>
              <w:tc>
                <w:tcPr>
                  <w:tcW w:w="675" w:type="pct"/>
                  <w:tcBorders>
                    <w:tl2br w:val="nil"/>
                    <w:tr2bl w:val="nil"/>
                  </w:tcBorders>
                  <w:vAlign w:val="center"/>
                </w:tcPr>
                <w:p w14:paraId="2DCE81D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试管、玻璃导管</w:t>
                  </w:r>
                  <w:r>
                    <w:rPr>
                      <w:rFonts w:hint="eastAsia" w:ascii="宋体" w:hAnsi="宋体" w:eastAsia="宋体" w:cs="宋体"/>
                      <w:color w:val="auto"/>
                      <w:spacing w:val="7"/>
                      <w:sz w:val="21"/>
                      <w:szCs w:val="21"/>
                      <w:lang w:eastAsia="zh-CN"/>
                    </w:rPr>
                    <w:t>、</w:t>
                  </w:r>
                  <w:r>
                    <w:rPr>
                      <w:rFonts w:ascii="宋体" w:hAnsi="宋体" w:eastAsia="宋体" w:cs="宋体"/>
                      <w:color w:val="auto"/>
                      <w:spacing w:val="7"/>
                      <w:sz w:val="21"/>
                      <w:szCs w:val="21"/>
                    </w:rPr>
                    <w:t>漏斗、烧标、集气瓶、棉花</w:t>
                  </w:r>
                </w:p>
              </w:tc>
              <w:tc>
                <w:tcPr>
                  <w:tcW w:w="537" w:type="pct"/>
                  <w:tcBorders>
                    <w:tl2br w:val="nil"/>
                    <w:tr2bl w:val="nil"/>
                  </w:tcBorders>
                  <w:vAlign w:val="center"/>
                </w:tcPr>
                <w:p w14:paraId="477F020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老师</w:t>
                  </w:r>
                  <w:r>
                    <w:rPr>
                      <w:rFonts w:ascii="宋体" w:hAnsi="宋体" w:eastAsia="宋体" w:cs="宋体"/>
                      <w:color w:val="auto"/>
                      <w:spacing w:val="4"/>
                      <w:sz w:val="21"/>
                      <w:szCs w:val="21"/>
                    </w:rPr>
                    <w:t>演示</w:t>
                  </w:r>
                </w:p>
              </w:tc>
            </w:tr>
            <w:tr w14:paraId="5BC296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30A96B0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20</w:t>
                  </w:r>
                </w:p>
              </w:tc>
              <w:tc>
                <w:tcPr>
                  <w:tcW w:w="690" w:type="pct"/>
                  <w:tcBorders>
                    <w:tl2br w:val="nil"/>
                    <w:tr2bl w:val="nil"/>
                  </w:tcBorders>
                  <w:vAlign w:val="center"/>
                </w:tcPr>
                <w:p w14:paraId="0B74862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种子在萌</w:t>
                  </w:r>
                  <w:r>
                    <w:rPr>
                      <w:rFonts w:ascii="宋体" w:hAnsi="宋体" w:eastAsia="宋体" w:cs="宋体"/>
                      <w:color w:val="auto"/>
                      <w:spacing w:val="6"/>
                      <w:sz w:val="21"/>
                      <w:szCs w:val="21"/>
                    </w:rPr>
                    <w:t>发过程中消耗氧气</w:t>
                  </w:r>
                </w:p>
              </w:tc>
              <w:tc>
                <w:tcPr>
                  <w:tcW w:w="1769" w:type="pct"/>
                  <w:tcBorders>
                    <w:tl2br w:val="nil"/>
                    <w:tr2bl w:val="nil"/>
                  </w:tcBorders>
                  <w:vAlign w:val="center"/>
                </w:tcPr>
                <w:p w14:paraId="2148AC2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1"/>
                      <w:sz w:val="21"/>
                      <w:szCs w:val="21"/>
                    </w:rPr>
                    <w:t>1.</w:t>
                  </w:r>
                  <w:r>
                    <w:rPr>
                      <w:rFonts w:ascii="宋体" w:hAnsi="宋体" w:eastAsia="宋体" w:cs="宋体"/>
                      <w:color w:val="auto"/>
                      <w:spacing w:val="11"/>
                      <w:sz w:val="21"/>
                      <w:szCs w:val="21"/>
                    </w:rPr>
                    <w:t>将一定数量的白豆种子</w:t>
                  </w:r>
                  <w:r>
                    <w:rPr>
                      <w:rFonts w:ascii="宋体" w:hAnsi="宋体" w:eastAsia="宋体" w:cs="宋体"/>
                      <w:color w:val="auto"/>
                      <w:spacing w:val="4"/>
                      <w:sz w:val="21"/>
                      <w:szCs w:val="21"/>
                    </w:rPr>
                    <w:t>浸泡在清水中</w:t>
                  </w:r>
                  <w:r>
                    <w:rPr>
                      <w:rFonts w:ascii="Times New Roman" w:hAnsi="Times New Roman" w:eastAsia="Times New Roman" w:cs="Times New Roman"/>
                      <w:color w:val="auto"/>
                      <w:spacing w:val="4"/>
                      <w:sz w:val="21"/>
                      <w:szCs w:val="21"/>
                    </w:rPr>
                    <w:t>24</w:t>
                  </w:r>
                  <w:r>
                    <w:rPr>
                      <w:rFonts w:ascii="宋体" w:hAnsi="宋体" w:eastAsia="宋体" w:cs="宋体"/>
                      <w:color w:val="auto"/>
                      <w:spacing w:val="4"/>
                      <w:sz w:val="21"/>
                      <w:szCs w:val="21"/>
                    </w:rPr>
                    <w:t>小时，</w:t>
                  </w:r>
                  <w:r>
                    <w:rPr>
                      <w:rFonts w:ascii="宋体" w:hAnsi="宋体" w:eastAsia="宋体" w:cs="宋体"/>
                      <w:color w:val="auto"/>
                      <w:spacing w:val="-60"/>
                      <w:sz w:val="21"/>
                      <w:szCs w:val="21"/>
                    </w:rPr>
                    <w:t xml:space="preserve"> </w:t>
                  </w:r>
                  <w:r>
                    <w:rPr>
                      <w:rFonts w:ascii="宋体" w:hAnsi="宋体" w:eastAsia="宋体" w:cs="宋体"/>
                      <w:color w:val="auto"/>
                      <w:spacing w:val="4"/>
                      <w:sz w:val="21"/>
                      <w:szCs w:val="21"/>
                    </w:rPr>
                    <w:t>以</w:t>
                  </w:r>
                  <w:r>
                    <w:rPr>
                      <w:rFonts w:ascii="宋体" w:hAnsi="宋体" w:eastAsia="宋体" w:cs="宋体"/>
                      <w:color w:val="auto"/>
                      <w:spacing w:val="7"/>
                      <w:sz w:val="21"/>
                      <w:szCs w:val="21"/>
                    </w:rPr>
                    <w:t>促进种子的发芽。</w:t>
                  </w:r>
                </w:p>
                <w:p w14:paraId="0FFD1B37">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2"/>
                      <w:sz w:val="21"/>
                      <w:szCs w:val="21"/>
                    </w:rPr>
                    <w:t>2.</w:t>
                  </w:r>
                  <w:r>
                    <w:rPr>
                      <w:rFonts w:ascii="宋体" w:hAnsi="宋体" w:eastAsia="宋体" w:cs="宋体"/>
                      <w:color w:val="auto"/>
                      <w:spacing w:val="12"/>
                      <w:sz w:val="21"/>
                      <w:szCs w:val="21"/>
                    </w:rPr>
                    <w:t>准备一只氧气计，并将</w:t>
                  </w:r>
                  <w:r>
                    <w:rPr>
                      <w:rFonts w:ascii="宋体" w:hAnsi="宋体" w:eastAsia="宋体" w:cs="宋体"/>
                      <w:color w:val="auto"/>
                      <w:spacing w:val="6"/>
                      <w:sz w:val="21"/>
                      <w:szCs w:val="21"/>
                    </w:rPr>
                    <w:t>其底部用高粘度胶水封住。</w:t>
                  </w:r>
                </w:p>
                <w:p w14:paraId="3A92CAD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2"/>
                      <w:sz w:val="21"/>
                      <w:szCs w:val="21"/>
                    </w:rPr>
                    <w:t>3.</w:t>
                  </w:r>
                  <w:r>
                    <w:rPr>
                      <w:rFonts w:ascii="宋体" w:hAnsi="宋体" w:eastAsia="宋体" w:cs="宋体"/>
                      <w:color w:val="auto"/>
                      <w:spacing w:val="12"/>
                      <w:sz w:val="21"/>
                      <w:szCs w:val="21"/>
                    </w:rPr>
                    <w:t>在容器内加入适量的高</w:t>
                  </w:r>
                  <w:r>
                    <w:rPr>
                      <w:rFonts w:ascii="宋体" w:hAnsi="宋体" w:eastAsia="宋体" w:cs="宋体"/>
                      <w:color w:val="auto"/>
                      <w:spacing w:val="1"/>
                      <w:sz w:val="21"/>
                      <w:szCs w:val="21"/>
                    </w:rPr>
                    <w:t>锰酸钾溶液，并将氧气计完</w:t>
                  </w:r>
                  <w:r>
                    <w:rPr>
                      <w:rFonts w:ascii="宋体" w:hAnsi="宋体" w:eastAsia="宋体" w:cs="宋体"/>
                      <w:color w:val="auto"/>
                      <w:spacing w:val="7"/>
                      <w:sz w:val="21"/>
                      <w:szCs w:val="21"/>
                    </w:rPr>
                    <w:t>全浸入此溶液中。</w:t>
                  </w:r>
                </w:p>
                <w:p w14:paraId="3C93F1E7">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4"/>
                      <w:sz w:val="21"/>
                      <w:szCs w:val="21"/>
                    </w:rPr>
                    <w:t>4.</w:t>
                  </w:r>
                  <w:r>
                    <w:rPr>
                      <w:rFonts w:ascii="宋体" w:hAnsi="宋体" w:eastAsia="宋体" w:cs="宋体"/>
                      <w:color w:val="auto"/>
                      <w:spacing w:val="14"/>
                      <w:sz w:val="21"/>
                      <w:szCs w:val="21"/>
                    </w:rPr>
                    <w:t>用</w:t>
                  </w:r>
                  <w:r>
                    <w:rPr>
                      <w:rFonts w:ascii="宋体" w:hAnsi="宋体" w:eastAsia="宋体" w:cs="宋体"/>
                      <w:color w:val="auto"/>
                      <w:spacing w:val="-57"/>
                      <w:sz w:val="21"/>
                      <w:szCs w:val="21"/>
                    </w:rPr>
                    <w:t xml:space="preserve"> </w:t>
                  </w:r>
                  <w:r>
                    <w:rPr>
                      <w:rFonts w:ascii="宋体" w:hAnsi="宋体" w:eastAsia="宋体" w:cs="宋体"/>
                      <w:color w:val="auto"/>
                      <w:spacing w:val="14"/>
                      <w:sz w:val="21"/>
                      <w:szCs w:val="21"/>
                    </w:rPr>
                    <w:t>滤</w:t>
                  </w:r>
                  <w:r>
                    <w:rPr>
                      <w:rFonts w:ascii="宋体" w:hAnsi="宋体" w:eastAsia="宋体" w:cs="宋体"/>
                      <w:color w:val="auto"/>
                      <w:spacing w:val="-59"/>
                      <w:sz w:val="21"/>
                      <w:szCs w:val="21"/>
                    </w:rPr>
                    <w:t xml:space="preserve"> </w:t>
                  </w:r>
                  <w:r>
                    <w:rPr>
                      <w:rFonts w:ascii="宋体" w:hAnsi="宋体" w:eastAsia="宋体" w:cs="宋体"/>
                      <w:color w:val="auto"/>
                      <w:spacing w:val="14"/>
                      <w:sz w:val="21"/>
                      <w:szCs w:val="21"/>
                    </w:rPr>
                    <w:t>纸将种</w:t>
                  </w:r>
                  <w:r>
                    <w:rPr>
                      <w:rFonts w:ascii="宋体" w:hAnsi="宋体" w:eastAsia="宋体" w:cs="宋体"/>
                      <w:color w:val="auto"/>
                      <w:spacing w:val="-58"/>
                      <w:sz w:val="21"/>
                      <w:szCs w:val="21"/>
                    </w:rPr>
                    <w:t xml:space="preserve"> </w:t>
                  </w:r>
                  <w:r>
                    <w:rPr>
                      <w:rFonts w:ascii="宋体" w:hAnsi="宋体" w:eastAsia="宋体" w:cs="宋体"/>
                      <w:color w:val="auto"/>
                      <w:spacing w:val="14"/>
                      <w:sz w:val="21"/>
                      <w:szCs w:val="21"/>
                    </w:rPr>
                    <w:t>子包</w:t>
                  </w:r>
                  <w:r>
                    <w:rPr>
                      <w:rFonts w:ascii="宋体" w:hAnsi="宋体" w:eastAsia="宋体" w:cs="宋体"/>
                      <w:color w:val="auto"/>
                      <w:spacing w:val="-56"/>
                      <w:sz w:val="21"/>
                      <w:szCs w:val="21"/>
                    </w:rPr>
                    <w:t xml:space="preserve"> </w:t>
                  </w:r>
                  <w:r>
                    <w:rPr>
                      <w:rFonts w:ascii="宋体" w:hAnsi="宋体" w:eastAsia="宋体" w:cs="宋体"/>
                      <w:color w:val="auto"/>
                      <w:spacing w:val="14"/>
                      <w:sz w:val="21"/>
                      <w:szCs w:val="21"/>
                    </w:rPr>
                    <w:t>裹起</w:t>
                  </w:r>
                  <w:r>
                    <w:rPr>
                      <w:rFonts w:ascii="宋体" w:hAnsi="宋体" w:eastAsia="宋体" w:cs="宋体"/>
                      <w:color w:val="auto"/>
                      <w:spacing w:val="1"/>
                      <w:sz w:val="21"/>
                      <w:szCs w:val="21"/>
                    </w:rPr>
                    <w:t>来，放入容器内悬浮于高锰</w:t>
                  </w:r>
                  <w:r>
                    <w:rPr>
                      <w:rFonts w:ascii="宋体" w:hAnsi="宋体" w:eastAsia="宋体" w:cs="宋体"/>
                      <w:color w:val="auto"/>
                      <w:spacing w:val="6"/>
                      <w:sz w:val="21"/>
                      <w:szCs w:val="21"/>
                    </w:rPr>
                    <w:t>酸钾溶液上。</w:t>
                  </w:r>
                </w:p>
                <w:p w14:paraId="412423B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4"/>
                      <w:sz w:val="21"/>
                      <w:szCs w:val="21"/>
                    </w:rPr>
                    <w:t>5.</w:t>
                  </w:r>
                  <w:r>
                    <w:rPr>
                      <w:rFonts w:ascii="宋体" w:hAnsi="宋体" w:eastAsia="宋体" w:cs="宋体"/>
                      <w:color w:val="auto"/>
                      <w:spacing w:val="4"/>
                      <w:sz w:val="21"/>
                      <w:szCs w:val="21"/>
                    </w:rPr>
                    <w:t>封闭容器，确保密封性。</w:t>
                  </w:r>
                </w:p>
                <w:p w14:paraId="6F9A102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2"/>
                      <w:sz w:val="21"/>
                      <w:szCs w:val="21"/>
                    </w:rPr>
                    <w:t>6.</w:t>
                  </w:r>
                  <w:r>
                    <w:rPr>
                      <w:rFonts w:ascii="宋体" w:hAnsi="宋体" w:eastAsia="宋体" w:cs="宋体"/>
                      <w:color w:val="auto"/>
                      <w:spacing w:val="12"/>
                      <w:sz w:val="21"/>
                      <w:szCs w:val="21"/>
                    </w:rPr>
                    <w:t>观察实验过程中氧气计</w:t>
                  </w:r>
                  <w:r>
                    <w:rPr>
                      <w:rFonts w:ascii="宋体" w:hAnsi="宋体" w:eastAsia="宋体" w:cs="宋体"/>
                      <w:color w:val="auto"/>
                      <w:spacing w:val="18"/>
                      <w:sz w:val="21"/>
                      <w:szCs w:val="21"/>
                    </w:rPr>
                    <w:t>中的气泡变化情况，并记</w:t>
                  </w:r>
                  <w:r>
                    <w:rPr>
                      <w:rFonts w:ascii="宋体" w:hAnsi="宋体" w:eastAsia="宋体" w:cs="宋体"/>
                      <w:color w:val="auto"/>
                      <w:sz w:val="21"/>
                      <w:szCs w:val="21"/>
                    </w:rPr>
                    <w:t>录。</w:t>
                  </w:r>
                </w:p>
              </w:tc>
              <w:tc>
                <w:tcPr>
                  <w:tcW w:w="856" w:type="pct"/>
                  <w:tcBorders>
                    <w:tl2br w:val="nil"/>
                    <w:tr2bl w:val="nil"/>
                  </w:tcBorders>
                  <w:vAlign w:val="center"/>
                </w:tcPr>
                <w:p w14:paraId="7B9759C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白豆种子、高</w:t>
                  </w:r>
                  <w:r>
                    <w:rPr>
                      <w:rFonts w:ascii="宋体" w:hAnsi="宋体" w:eastAsia="宋体" w:cs="宋体"/>
                      <w:color w:val="auto"/>
                      <w:spacing w:val="8"/>
                      <w:sz w:val="21"/>
                      <w:szCs w:val="21"/>
                    </w:rPr>
                    <w:t>锰酸钾溶液</w:t>
                  </w:r>
                </w:p>
              </w:tc>
              <w:tc>
                <w:tcPr>
                  <w:tcW w:w="675" w:type="pct"/>
                  <w:tcBorders>
                    <w:tl2br w:val="nil"/>
                    <w:tr2bl w:val="nil"/>
                  </w:tcBorders>
                  <w:vAlign w:val="center"/>
                </w:tcPr>
                <w:p w14:paraId="033A70D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4"/>
                      <w:sz w:val="21"/>
                      <w:szCs w:val="21"/>
                    </w:rPr>
                    <w:t>氧气计、</w:t>
                  </w:r>
                  <w:r>
                    <w:rPr>
                      <w:rFonts w:ascii="宋体" w:hAnsi="宋体" w:eastAsia="宋体" w:cs="宋体"/>
                      <w:color w:val="auto"/>
                      <w:spacing w:val="5"/>
                      <w:sz w:val="21"/>
                      <w:szCs w:val="21"/>
                    </w:rPr>
                    <w:t>高粘度胶</w:t>
                  </w:r>
                  <w:r>
                    <w:rPr>
                      <w:rFonts w:ascii="宋体" w:hAnsi="宋体" w:eastAsia="宋体" w:cs="宋体"/>
                      <w:color w:val="auto"/>
                      <w:spacing w:val="-12"/>
                      <w:sz w:val="21"/>
                      <w:szCs w:val="21"/>
                    </w:rPr>
                    <w:t>水、容器、</w:t>
                  </w:r>
                </w:p>
                <w:p w14:paraId="58F3871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滤纸</w:t>
                  </w:r>
                </w:p>
              </w:tc>
              <w:tc>
                <w:tcPr>
                  <w:tcW w:w="537" w:type="pct"/>
                  <w:tcBorders>
                    <w:tl2br w:val="nil"/>
                    <w:tr2bl w:val="nil"/>
                  </w:tcBorders>
                  <w:vAlign w:val="center"/>
                </w:tcPr>
                <w:p w14:paraId="0F62E8E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老师</w:t>
                  </w:r>
                  <w:r>
                    <w:rPr>
                      <w:rFonts w:ascii="宋体" w:hAnsi="宋体" w:eastAsia="宋体" w:cs="宋体"/>
                      <w:color w:val="auto"/>
                      <w:spacing w:val="4"/>
                      <w:sz w:val="21"/>
                      <w:szCs w:val="21"/>
                    </w:rPr>
                    <w:t>演示</w:t>
                  </w:r>
                </w:p>
              </w:tc>
            </w:tr>
            <w:tr w14:paraId="1FE022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2561117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21</w:t>
                  </w:r>
                </w:p>
              </w:tc>
              <w:tc>
                <w:tcPr>
                  <w:tcW w:w="690" w:type="pct"/>
                  <w:tcBorders>
                    <w:tl2br w:val="nil"/>
                    <w:tr2bl w:val="nil"/>
                  </w:tcBorders>
                  <w:vAlign w:val="center"/>
                </w:tcPr>
                <w:p w14:paraId="67830EB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观察小肠</w:t>
                  </w:r>
                  <w:r>
                    <w:rPr>
                      <w:rFonts w:ascii="宋体" w:hAnsi="宋体" w:eastAsia="宋体" w:cs="宋体"/>
                      <w:color w:val="auto"/>
                      <w:spacing w:val="1"/>
                      <w:sz w:val="21"/>
                      <w:szCs w:val="21"/>
                    </w:rPr>
                    <w:t>的结构</w:t>
                  </w:r>
                </w:p>
              </w:tc>
              <w:tc>
                <w:tcPr>
                  <w:tcW w:w="1769" w:type="pct"/>
                  <w:tcBorders>
                    <w:tl2br w:val="nil"/>
                    <w:tr2bl w:val="nil"/>
                  </w:tcBorders>
                  <w:vAlign w:val="center"/>
                </w:tcPr>
                <w:p w14:paraId="748B5799">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9"/>
                      <w:sz w:val="21"/>
                      <w:szCs w:val="21"/>
                    </w:rPr>
                    <w:t>1.</w:t>
                  </w:r>
                  <w:r>
                    <w:rPr>
                      <w:rFonts w:ascii="Times New Roman" w:hAnsi="Times New Roman" w:eastAsia="Times New Roman" w:cs="Times New Roman"/>
                      <w:color w:val="auto"/>
                      <w:spacing w:val="-23"/>
                      <w:sz w:val="21"/>
                      <w:szCs w:val="21"/>
                    </w:rPr>
                    <w:t xml:space="preserve"> </w:t>
                  </w:r>
                  <w:r>
                    <w:rPr>
                      <w:rFonts w:ascii="宋体" w:hAnsi="宋体" w:eastAsia="宋体" w:cs="宋体"/>
                      <w:color w:val="auto"/>
                      <w:spacing w:val="19"/>
                      <w:sz w:val="21"/>
                      <w:szCs w:val="21"/>
                    </w:rPr>
                    <w:t>用清水把小肠内外冲洗</w:t>
                  </w:r>
                  <w:r>
                    <w:rPr>
                      <w:rFonts w:ascii="宋体" w:hAnsi="宋体" w:eastAsia="宋体" w:cs="宋体"/>
                      <w:color w:val="auto"/>
                      <w:spacing w:val="23"/>
                      <w:sz w:val="21"/>
                      <w:szCs w:val="21"/>
                    </w:rPr>
                    <w:t>干净，</w:t>
                  </w:r>
                  <w:r>
                    <w:rPr>
                      <w:rFonts w:ascii="宋体" w:hAnsi="宋体" w:eastAsia="宋体" w:cs="宋体"/>
                      <w:color w:val="auto"/>
                      <w:spacing w:val="-56"/>
                      <w:sz w:val="21"/>
                      <w:szCs w:val="21"/>
                    </w:rPr>
                    <w:t xml:space="preserve"> </w:t>
                  </w:r>
                  <w:r>
                    <w:rPr>
                      <w:rFonts w:ascii="宋体" w:hAnsi="宋体" w:eastAsia="宋体" w:cs="宋体"/>
                      <w:color w:val="auto"/>
                      <w:spacing w:val="23"/>
                      <w:sz w:val="21"/>
                      <w:szCs w:val="21"/>
                    </w:rPr>
                    <w:t>纵向剖开小肠</w:t>
                  </w:r>
                  <w:r>
                    <w:rPr>
                      <w:rFonts w:ascii="Times New Roman" w:hAnsi="Times New Roman" w:eastAsia="Times New Roman" w:cs="Times New Roman"/>
                      <w:color w:val="auto"/>
                      <w:spacing w:val="23"/>
                      <w:sz w:val="21"/>
                      <w:szCs w:val="21"/>
                    </w:rPr>
                    <w:t>(</w:t>
                  </w:r>
                  <w:r>
                    <w:rPr>
                      <w:rFonts w:ascii="宋体" w:hAnsi="宋体" w:eastAsia="宋体" w:cs="宋体"/>
                      <w:color w:val="auto"/>
                      <w:spacing w:val="23"/>
                      <w:sz w:val="21"/>
                      <w:szCs w:val="21"/>
                    </w:rPr>
                    <w:t>图</w:t>
                  </w:r>
                  <w:r>
                    <w:rPr>
                      <w:rFonts w:ascii="Times New Roman" w:hAnsi="Times New Roman" w:eastAsia="Times New Roman" w:cs="Times New Roman"/>
                      <w:color w:val="auto"/>
                      <w:spacing w:val="4"/>
                      <w:sz w:val="21"/>
                      <w:szCs w:val="21"/>
                    </w:rPr>
                    <w:t>3-2)</w:t>
                  </w:r>
                  <w:r>
                    <w:rPr>
                      <w:rFonts w:ascii="宋体" w:hAnsi="宋体" w:eastAsia="宋体" w:cs="宋体"/>
                      <w:color w:val="auto"/>
                      <w:spacing w:val="4"/>
                      <w:sz w:val="21"/>
                      <w:szCs w:val="21"/>
                    </w:rPr>
                    <w:t>，剪成小段。用镊子取</w:t>
                  </w:r>
                  <w:r>
                    <w:rPr>
                      <w:rFonts w:ascii="宋体" w:hAnsi="宋体" w:eastAsia="宋体" w:cs="宋体"/>
                      <w:color w:val="auto"/>
                      <w:spacing w:val="2"/>
                      <w:sz w:val="21"/>
                      <w:szCs w:val="21"/>
                    </w:rPr>
                    <w:t>一小段小肠，露出小肠的内表面，放入盛有清水的解剖</w:t>
                  </w:r>
                  <w:r>
                    <w:rPr>
                      <w:rFonts w:ascii="宋体" w:hAnsi="宋体" w:eastAsia="宋体" w:cs="宋体"/>
                      <w:color w:val="auto"/>
                      <w:spacing w:val="3"/>
                      <w:sz w:val="21"/>
                      <w:szCs w:val="21"/>
                    </w:rPr>
                    <w:t>盘中。</w:t>
                  </w:r>
                </w:p>
                <w:p w14:paraId="05C2FCB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5"/>
                      <w:sz w:val="21"/>
                      <w:szCs w:val="21"/>
                    </w:rPr>
                    <w:t>2.</w:t>
                  </w:r>
                  <w:r>
                    <w:rPr>
                      <w:rFonts w:ascii="宋体" w:hAnsi="宋体" w:eastAsia="宋体" w:cs="宋体"/>
                      <w:color w:val="auto"/>
                      <w:spacing w:val="5"/>
                      <w:sz w:val="21"/>
                      <w:szCs w:val="21"/>
                    </w:rPr>
                    <w:t>观察小肠的内表面。用肉</w:t>
                  </w:r>
                  <w:r>
                    <w:rPr>
                      <w:rFonts w:ascii="宋体" w:hAnsi="宋体" w:eastAsia="宋体" w:cs="宋体"/>
                      <w:color w:val="auto"/>
                      <w:spacing w:val="1"/>
                      <w:sz w:val="21"/>
                      <w:szCs w:val="21"/>
                    </w:rPr>
                    <w:t>眼观察小肠的内表面，可以</w:t>
                  </w:r>
                  <w:r>
                    <w:rPr>
                      <w:rFonts w:ascii="宋体" w:hAnsi="宋体" w:eastAsia="宋体" w:cs="宋体"/>
                      <w:color w:val="auto"/>
                      <w:spacing w:val="20"/>
                      <w:sz w:val="21"/>
                      <w:szCs w:val="21"/>
                    </w:rPr>
                    <w:t>看到小肠黏膜的表面有许</w:t>
                  </w:r>
                  <w:r>
                    <w:rPr>
                      <w:rFonts w:ascii="宋体" w:hAnsi="宋体" w:eastAsia="宋体" w:cs="宋体"/>
                      <w:color w:val="auto"/>
                      <w:spacing w:val="2"/>
                      <w:sz w:val="21"/>
                      <w:szCs w:val="21"/>
                    </w:rPr>
                    <w:t>多环形的皱襞。抚摸黏膜表</w:t>
                  </w:r>
                  <w:r>
                    <w:rPr>
                      <w:rFonts w:ascii="宋体" w:hAnsi="宋体" w:eastAsia="宋体" w:cs="宋体"/>
                      <w:color w:val="auto"/>
                      <w:spacing w:val="1"/>
                      <w:sz w:val="21"/>
                      <w:szCs w:val="21"/>
                    </w:rPr>
                    <w:t>面，可以感觉到它不是平滑</w:t>
                  </w:r>
                  <w:r>
                    <w:rPr>
                      <w:rFonts w:ascii="宋体" w:hAnsi="宋体" w:eastAsia="宋体" w:cs="宋体"/>
                      <w:color w:val="auto"/>
                      <w:spacing w:val="2"/>
                      <w:sz w:val="21"/>
                      <w:szCs w:val="21"/>
                    </w:rPr>
                    <w:t>的。用放大镜仔细观察，可</w:t>
                  </w:r>
                  <w:r>
                    <w:rPr>
                      <w:rFonts w:ascii="宋体" w:hAnsi="宋体" w:eastAsia="宋体" w:cs="宋体"/>
                      <w:color w:val="auto"/>
                      <w:spacing w:val="20"/>
                      <w:sz w:val="21"/>
                      <w:szCs w:val="21"/>
                    </w:rPr>
                    <w:t>以看到小肠内表面的皱襞</w:t>
                  </w:r>
                  <w:r>
                    <w:rPr>
                      <w:rFonts w:ascii="宋体" w:hAnsi="宋体" w:eastAsia="宋体" w:cs="宋体"/>
                      <w:color w:val="auto"/>
                      <w:spacing w:val="2"/>
                      <w:sz w:val="21"/>
                      <w:szCs w:val="21"/>
                    </w:rPr>
                    <w:t>上有许多绒毛状的突起，这</w:t>
                  </w:r>
                  <w:r>
                    <w:rPr>
                      <w:rFonts w:ascii="宋体" w:hAnsi="宋体" w:eastAsia="宋体" w:cs="宋体"/>
                      <w:color w:val="auto"/>
                      <w:spacing w:val="8"/>
                      <w:sz w:val="21"/>
                      <w:szCs w:val="21"/>
                    </w:rPr>
                    <w:t>些突起就是小肠绒毛。</w:t>
                  </w:r>
                </w:p>
              </w:tc>
              <w:tc>
                <w:tcPr>
                  <w:tcW w:w="856" w:type="pct"/>
                  <w:tcBorders>
                    <w:tl2br w:val="nil"/>
                    <w:tr2bl w:val="nil"/>
                  </w:tcBorders>
                  <w:vAlign w:val="center"/>
                </w:tcPr>
                <w:p w14:paraId="01BA458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猪的新鲜小</w:t>
                  </w:r>
                  <w:r>
                    <w:rPr>
                      <w:rFonts w:ascii="宋体" w:hAnsi="宋体" w:eastAsia="宋体" w:cs="宋体"/>
                      <w:color w:val="auto"/>
                      <w:spacing w:val="7"/>
                      <w:sz w:val="21"/>
                      <w:szCs w:val="21"/>
                    </w:rPr>
                    <w:t>肠、清水</w:t>
                  </w:r>
                </w:p>
              </w:tc>
              <w:tc>
                <w:tcPr>
                  <w:tcW w:w="675" w:type="pct"/>
                  <w:tcBorders>
                    <w:tl2br w:val="nil"/>
                    <w:tr2bl w:val="nil"/>
                  </w:tcBorders>
                  <w:vAlign w:val="center"/>
                </w:tcPr>
                <w:p w14:paraId="4A54582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解剖盘、</w:t>
                  </w:r>
                  <w:r>
                    <w:rPr>
                      <w:rFonts w:ascii="宋体" w:hAnsi="宋体" w:eastAsia="宋体" w:cs="宋体"/>
                      <w:color w:val="auto"/>
                      <w:spacing w:val="7"/>
                      <w:sz w:val="21"/>
                      <w:szCs w:val="21"/>
                    </w:rPr>
                    <w:t>镊子、解剖剪、放</w:t>
                  </w:r>
                  <w:r>
                    <w:rPr>
                      <w:rFonts w:ascii="宋体" w:hAnsi="宋体" w:eastAsia="宋体" w:cs="宋体"/>
                      <w:color w:val="auto"/>
                      <w:spacing w:val="3"/>
                      <w:sz w:val="21"/>
                      <w:szCs w:val="21"/>
                    </w:rPr>
                    <w:t>大镜</w:t>
                  </w:r>
                </w:p>
              </w:tc>
              <w:tc>
                <w:tcPr>
                  <w:tcW w:w="537" w:type="pct"/>
                  <w:tcBorders>
                    <w:tl2br w:val="nil"/>
                    <w:tr2bl w:val="nil"/>
                  </w:tcBorders>
                  <w:vAlign w:val="center"/>
                </w:tcPr>
                <w:p w14:paraId="533FB05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老师</w:t>
                  </w:r>
                  <w:r>
                    <w:rPr>
                      <w:rFonts w:ascii="宋体" w:hAnsi="宋体" w:eastAsia="宋体" w:cs="宋体"/>
                      <w:color w:val="auto"/>
                      <w:spacing w:val="4"/>
                      <w:sz w:val="21"/>
                      <w:szCs w:val="21"/>
                    </w:rPr>
                    <w:t>演示</w:t>
                  </w:r>
                </w:p>
              </w:tc>
            </w:tr>
            <w:tr w14:paraId="2339FF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7B9DDBB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22</w:t>
                  </w:r>
                </w:p>
              </w:tc>
              <w:tc>
                <w:tcPr>
                  <w:tcW w:w="690" w:type="pct"/>
                  <w:tcBorders>
                    <w:tl2br w:val="nil"/>
                    <w:tr2bl w:val="nil"/>
                  </w:tcBorders>
                  <w:vAlign w:val="center"/>
                </w:tcPr>
                <w:p w14:paraId="5524158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馒头在口腔中的变</w:t>
                  </w:r>
                  <w:r>
                    <w:rPr>
                      <w:rFonts w:ascii="宋体" w:hAnsi="宋体" w:eastAsia="宋体" w:cs="宋体"/>
                      <w:color w:val="auto"/>
                      <w:sz w:val="21"/>
                      <w:szCs w:val="21"/>
                    </w:rPr>
                    <w:t>化</w:t>
                  </w:r>
                </w:p>
              </w:tc>
              <w:tc>
                <w:tcPr>
                  <w:tcW w:w="1769" w:type="pct"/>
                  <w:tcBorders>
                    <w:tl2br w:val="nil"/>
                    <w:tr2bl w:val="nil"/>
                  </w:tcBorders>
                  <w:vAlign w:val="center"/>
                </w:tcPr>
                <w:p w14:paraId="0C735896">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3"/>
                      <w:sz w:val="21"/>
                      <w:szCs w:val="21"/>
                    </w:rPr>
                    <w:t>1.</w:t>
                  </w:r>
                  <w:r>
                    <w:rPr>
                      <w:rFonts w:ascii="宋体" w:hAnsi="宋体" w:eastAsia="宋体" w:cs="宋体"/>
                      <w:color w:val="auto"/>
                      <w:spacing w:val="3"/>
                      <w:sz w:val="21"/>
                      <w:szCs w:val="21"/>
                    </w:rPr>
                    <w:t>采集唾液</w:t>
                  </w:r>
                </w:p>
                <w:p w14:paraId="353D0CB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7"/>
                      <w:sz w:val="21"/>
                      <w:szCs w:val="21"/>
                    </w:rPr>
                    <w:t>2.</w:t>
                  </w:r>
                  <w:r>
                    <w:rPr>
                      <w:rFonts w:ascii="宋体" w:hAnsi="宋体" w:eastAsia="宋体" w:cs="宋体"/>
                      <w:color w:val="auto"/>
                      <w:spacing w:val="7"/>
                      <w:sz w:val="21"/>
                      <w:szCs w:val="21"/>
                    </w:rPr>
                    <w:t>准备馒头碎屑</w:t>
                  </w:r>
                </w:p>
                <w:p w14:paraId="223558D2">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6"/>
                      <w:sz w:val="21"/>
                      <w:szCs w:val="21"/>
                    </w:rPr>
                    <w:t>3.</w:t>
                  </w:r>
                  <w:r>
                    <w:rPr>
                      <w:rFonts w:ascii="宋体" w:hAnsi="宋体" w:eastAsia="宋体" w:cs="宋体"/>
                      <w:color w:val="auto"/>
                      <w:spacing w:val="6"/>
                      <w:sz w:val="21"/>
                      <w:szCs w:val="21"/>
                    </w:rPr>
                    <w:t>试管编号备用</w:t>
                  </w:r>
                </w:p>
                <w:p w14:paraId="5720406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宋体" w:hAnsi="宋体" w:eastAsia="宋体" w:cs="宋体"/>
                      <w:color w:val="auto"/>
                      <w:sz w:val="21"/>
                      <w:szCs w:val="21"/>
                      <w:lang w:eastAsia="zh-CN"/>
                    </w:rPr>
                  </w:pPr>
                  <w:r>
                    <w:rPr>
                      <w:rFonts w:ascii="Times New Roman" w:hAnsi="Times New Roman" w:eastAsia="Times New Roman" w:cs="Times New Roman"/>
                      <w:color w:val="auto"/>
                      <w:spacing w:val="6"/>
                      <w:sz w:val="21"/>
                      <w:szCs w:val="21"/>
                    </w:rPr>
                    <w:t>4.</w:t>
                  </w:r>
                  <w:r>
                    <w:rPr>
                      <w:rFonts w:ascii="宋体" w:hAnsi="宋体" w:eastAsia="宋体" w:cs="宋体"/>
                      <w:color w:val="auto"/>
                      <w:spacing w:val="6"/>
                      <w:sz w:val="21"/>
                      <w:szCs w:val="21"/>
                    </w:rPr>
                    <w:t>量清水、唾液，与馒头混</w:t>
                  </w:r>
                  <w:r>
                    <w:rPr>
                      <w:rFonts w:ascii="宋体" w:hAnsi="宋体" w:eastAsia="宋体" w:cs="宋体"/>
                      <w:color w:val="auto"/>
                      <w:spacing w:val="7"/>
                      <w:sz w:val="21"/>
                      <w:szCs w:val="21"/>
                    </w:rPr>
                    <w:t>合，并搅拌</w:t>
                  </w:r>
                  <w:r>
                    <w:rPr>
                      <w:rFonts w:hint="eastAsia" w:ascii="宋体" w:hAnsi="宋体" w:eastAsia="宋体" w:cs="宋体"/>
                      <w:color w:val="auto"/>
                      <w:spacing w:val="7"/>
                      <w:sz w:val="21"/>
                      <w:szCs w:val="21"/>
                      <w:lang w:eastAsia="zh-CN"/>
                    </w:rPr>
                    <w:t>。</w:t>
                  </w:r>
                </w:p>
                <w:p w14:paraId="1DE36A5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0"/>
                      <w:sz w:val="21"/>
                      <w:szCs w:val="21"/>
                    </w:rPr>
                    <w:t>5.</w:t>
                  </w:r>
                  <w:r>
                    <w:rPr>
                      <w:rFonts w:ascii="宋体" w:hAnsi="宋体" w:eastAsia="宋体" w:cs="宋体"/>
                      <w:color w:val="auto"/>
                      <w:spacing w:val="10"/>
                      <w:sz w:val="21"/>
                      <w:szCs w:val="21"/>
                    </w:rPr>
                    <w:t>调水温、放入</w:t>
                  </w:r>
                  <w:r>
                    <w:rPr>
                      <w:rFonts w:ascii="Times New Roman" w:hAnsi="Times New Roman" w:eastAsia="Times New Roman" w:cs="Times New Roman"/>
                      <w:color w:val="auto"/>
                      <w:spacing w:val="10"/>
                      <w:sz w:val="21"/>
                      <w:szCs w:val="21"/>
                    </w:rPr>
                    <w:t>37</w:t>
                  </w:r>
                  <w:r>
                    <w:rPr>
                      <w:rFonts w:ascii="宋体" w:hAnsi="宋体" w:eastAsia="宋体" w:cs="宋体"/>
                      <w:color w:val="auto"/>
                      <w:spacing w:val="10"/>
                      <w:sz w:val="21"/>
                      <w:szCs w:val="21"/>
                    </w:rPr>
                    <w:t>度温水</w:t>
                  </w:r>
                  <w:r>
                    <w:rPr>
                      <w:rFonts w:ascii="宋体" w:hAnsi="宋体" w:eastAsia="宋体" w:cs="宋体"/>
                      <w:color w:val="auto"/>
                      <w:spacing w:val="1"/>
                      <w:sz w:val="21"/>
                      <w:szCs w:val="21"/>
                    </w:rPr>
                    <w:t>中加热</w:t>
                  </w:r>
                  <w:r>
                    <w:rPr>
                      <w:rFonts w:ascii="宋体" w:hAnsi="宋体" w:eastAsia="宋体" w:cs="宋体"/>
                      <w:color w:val="auto"/>
                      <w:spacing w:val="-38"/>
                      <w:sz w:val="21"/>
                      <w:szCs w:val="21"/>
                    </w:rPr>
                    <w:t xml:space="preserve"> </w:t>
                  </w:r>
                  <w:r>
                    <w:rPr>
                      <w:rFonts w:ascii="Times New Roman" w:hAnsi="Times New Roman" w:eastAsia="Times New Roman" w:cs="Times New Roman"/>
                      <w:color w:val="auto"/>
                      <w:spacing w:val="1"/>
                      <w:sz w:val="21"/>
                      <w:szCs w:val="21"/>
                    </w:rPr>
                    <w:t>5-8</w:t>
                  </w:r>
                  <w:r>
                    <w:rPr>
                      <w:rFonts w:ascii="宋体" w:hAnsi="宋体" w:eastAsia="宋体" w:cs="宋体"/>
                      <w:color w:val="auto"/>
                      <w:spacing w:val="1"/>
                      <w:sz w:val="21"/>
                      <w:szCs w:val="21"/>
                    </w:rPr>
                    <w:t>分钟</w:t>
                  </w:r>
                </w:p>
                <w:p w14:paraId="45A0AE8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7"/>
                      <w:sz w:val="21"/>
                      <w:szCs w:val="21"/>
                    </w:rPr>
                    <w:t>6.</w:t>
                  </w:r>
                  <w:r>
                    <w:rPr>
                      <w:rFonts w:ascii="宋体" w:hAnsi="宋体" w:eastAsia="宋体" w:cs="宋体"/>
                      <w:color w:val="auto"/>
                      <w:spacing w:val="7"/>
                      <w:sz w:val="21"/>
                      <w:szCs w:val="21"/>
                    </w:rPr>
                    <w:t>冷却、加碘液、振荡</w:t>
                  </w:r>
                </w:p>
                <w:p w14:paraId="3036A86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5"/>
                      <w:sz w:val="21"/>
                      <w:szCs w:val="21"/>
                    </w:rPr>
                    <w:t>7.</w:t>
                  </w:r>
                  <w:r>
                    <w:rPr>
                      <w:rFonts w:ascii="宋体" w:hAnsi="宋体" w:eastAsia="宋体" w:cs="宋体"/>
                      <w:color w:val="auto"/>
                      <w:spacing w:val="5"/>
                      <w:sz w:val="21"/>
                      <w:szCs w:val="21"/>
                    </w:rPr>
                    <w:t>观察实验现象、并记录现</w:t>
                  </w:r>
                  <w:r>
                    <w:rPr>
                      <w:rFonts w:ascii="宋体" w:hAnsi="宋体" w:eastAsia="宋体" w:cs="宋体"/>
                      <w:color w:val="auto"/>
                      <w:sz w:val="21"/>
                      <w:szCs w:val="21"/>
                    </w:rPr>
                    <w:t>象</w:t>
                  </w:r>
                </w:p>
              </w:tc>
              <w:tc>
                <w:tcPr>
                  <w:tcW w:w="856" w:type="pct"/>
                  <w:tcBorders>
                    <w:tl2br w:val="nil"/>
                    <w:tr2bl w:val="nil"/>
                  </w:tcBorders>
                  <w:vAlign w:val="center"/>
                </w:tcPr>
                <w:p w14:paraId="70C932A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馒头、碘液</w:t>
                  </w:r>
                </w:p>
              </w:tc>
              <w:tc>
                <w:tcPr>
                  <w:tcW w:w="675" w:type="pct"/>
                  <w:tcBorders>
                    <w:tl2br w:val="nil"/>
                    <w:tr2bl w:val="nil"/>
                  </w:tcBorders>
                  <w:vAlign w:val="center"/>
                </w:tcPr>
                <w:p w14:paraId="03F1D94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试管、试</w:t>
                  </w:r>
                  <w:r>
                    <w:rPr>
                      <w:rFonts w:ascii="宋体" w:hAnsi="宋体" w:eastAsia="宋体" w:cs="宋体"/>
                      <w:color w:val="auto"/>
                      <w:spacing w:val="6"/>
                      <w:sz w:val="21"/>
                      <w:szCs w:val="21"/>
                    </w:rPr>
                    <w:t>管架、消</w:t>
                  </w:r>
                  <w:r>
                    <w:rPr>
                      <w:rFonts w:ascii="宋体" w:hAnsi="宋体" w:eastAsia="宋体" w:cs="宋体"/>
                      <w:color w:val="auto"/>
                      <w:spacing w:val="4"/>
                      <w:sz w:val="21"/>
                      <w:szCs w:val="21"/>
                    </w:rPr>
                    <w:t>毒棉球、</w:t>
                  </w:r>
                  <w:r>
                    <w:rPr>
                      <w:rFonts w:ascii="宋体" w:hAnsi="宋体" w:eastAsia="宋体" w:cs="宋体"/>
                      <w:color w:val="auto"/>
                      <w:spacing w:val="8"/>
                      <w:sz w:val="21"/>
                      <w:szCs w:val="21"/>
                    </w:rPr>
                    <w:t>镊子、大</w:t>
                  </w:r>
                  <w:r>
                    <w:rPr>
                      <w:rFonts w:ascii="宋体" w:hAnsi="宋体" w:eastAsia="宋体" w:cs="宋体"/>
                      <w:color w:val="auto"/>
                      <w:spacing w:val="7"/>
                      <w:sz w:val="21"/>
                      <w:szCs w:val="21"/>
                    </w:rPr>
                    <w:t>烧杯、温</w:t>
                  </w:r>
                  <w:r>
                    <w:rPr>
                      <w:rFonts w:ascii="宋体" w:hAnsi="宋体" w:eastAsia="宋体" w:cs="宋体"/>
                      <w:color w:val="auto"/>
                      <w:spacing w:val="5"/>
                      <w:sz w:val="21"/>
                      <w:szCs w:val="21"/>
                    </w:rPr>
                    <w:t>度计</w:t>
                  </w:r>
                </w:p>
              </w:tc>
              <w:tc>
                <w:tcPr>
                  <w:tcW w:w="537" w:type="pct"/>
                  <w:tcBorders>
                    <w:tl2br w:val="nil"/>
                    <w:tr2bl w:val="nil"/>
                  </w:tcBorders>
                  <w:vAlign w:val="center"/>
                </w:tcPr>
                <w:p w14:paraId="3721B70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老师</w:t>
                  </w:r>
                  <w:r>
                    <w:rPr>
                      <w:rFonts w:ascii="宋体" w:hAnsi="宋体" w:eastAsia="宋体" w:cs="宋体"/>
                      <w:color w:val="auto"/>
                      <w:spacing w:val="4"/>
                      <w:sz w:val="21"/>
                      <w:szCs w:val="21"/>
                    </w:rPr>
                    <w:t>演示</w:t>
                  </w:r>
                </w:p>
              </w:tc>
            </w:tr>
            <w:tr w14:paraId="605615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290123B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23</w:t>
                  </w:r>
                </w:p>
              </w:tc>
              <w:tc>
                <w:tcPr>
                  <w:tcW w:w="690" w:type="pct"/>
                  <w:tcBorders>
                    <w:tl2br w:val="nil"/>
                    <w:tr2bl w:val="nil"/>
                  </w:tcBorders>
                  <w:vAlign w:val="center"/>
                </w:tcPr>
                <w:p w14:paraId="147B2BC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观察胆汁</w:t>
                  </w:r>
                  <w:r>
                    <w:rPr>
                      <w:rFonts w:ascii="宋体" w:hAnsi="宋体" w:eastAsia="宋体" w:cs="宋体"/>
                      <w:color w:val="auto"/>
                      <w:spacing w:val="3"/>
                      <w:sz w:val="21"/>
                      <w:szCs w:val="21"/>
                    </w:rPr>
                    <w:t>的乳化作</w:t>
                  </w:r>
                  <w:r>
                    <w:rPr>
                      <w:rFonts w:ascii="宋体" w:hAnsi="宋体" w:eastAsia="宋体" w:cs="宋体"/>
                      <w:color w:val="auto"/>
                      <w:sz w:val="21"/>
                      <w:szCs w:val="21"/>
                    </w:rPr>
                    <w:t>用</w:t>
                  </w:r>
                </w:p>
              </w:tc>
              <w:tc>
                <w:tcPr>
                  <w:tcW w:w="1769" w:type="pct"/>
                  <w:tcBorders>
                    <w:tl2br w:val="nil"/>
                    <w:tr2bl w:val="nil"/>
                  </w:tcBorders>
                  <w:vAlign w:val="center"/>
                </w:tcPr>
                <w:p w14:paraId="5B83DB1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4"/>
                      <w:sz w:val="21"/>
                      <w:szCs w:val="21"/>
                    </w:rPr>
                    <w:t>1.</w:t>
                  </w:r>
                  <w:r>
                    <w:rPr>
                      <w:rFonts w:ascii="宋体" w:hAnsi="宋体" w:eastAsia="宋体" w:cs="宋体"/>
                      <w:color w:val="auto"/>
                      <w:spacing w:val="4"/>
                      <w:sz w:val="21"/>
                      <w:szCs w:val="21"/>
                    </w:rPr>
                    <w:t>取两支试管，分别编为①</w:t>
                  </w:r>
                  <w:r>
                    <w:rPr>
                      <w:rFonts w:ascii="宋体" w:hAnsi="宋体" w:eastAsia="宋体" w:cs="宋体"/>
                      <w:color w:val="auto"/>
                      <w:spacing w:val="-1"/>
                      <w:sz w:val="21"/>
                      <w:szCs w:val="21"/>
                    </w:rPr>
                    <w:t>号和②号，然后各注入</w:t>
                  </w:r>
                  <w:r>
                    <w:rPr>
                      <w:rFonts w:ascii="宋体" w:hAnsi="宋体" w:eastAsia="宋体" w:cs="宋体"/>
                      <w:color w:val="auto"/>
                      <w:spacing w:val="-43"/>
                      <w:sz w:val="21"/>
                      <w:szCs w:val="21"/>
                    </w:rPr>
                    <w:t xml:space="preserve"> </w:t>
                  </w:r>
                  <w:r>
                    <w:rPr>
                      <w:rFonts w:ascii="Times New Roman" w:hAnsi="Times New Roman" w:eastAsia="Times New Roman" w:cs="Times New Roman"/>
                      <w:color w:val="auto"/>
                      <w:spacing w:val="-1"/>
                      <w:sz w:val="21"/>
                      <w:szCs w:val="21"/>
                    </w:rPr>
                    <w:t>2mL</w:t>
                  </w:r>
                  <w:r>
                    <w:rPr>
                      <w:rFonts w:ascii="宋体" w:hAnsi="宋体" w:eastAsia="宋体" w:cs="宋体"/>
                      <w:color w:val="auto"/>
                      <w:spacing w:val="3"/>
                      <w:sz w:val="21"/>
                      <w:szCs w:val="21"/>
                    </w:rPr>
                    <w:t>清水。</w:t>
                  </w:r>
                </w:p>
                <w:p w14:paraId="17923CB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5"/>
                      <w:sz w:val="21"/>
                      <w:szCs w:val="21"/>
                    </w:rPr>
                    <w:t>2.</w:t>
                  </w:r>
                  <w:r>
                    <w:rPr>
                      <w:rFonts w:ascii="宋体" w:hAnsi="宋体" w:eastAsia="宋体" w:cs="宋体"/>
                      <w:color w:val="auto"/>
                      <w:spacing w:val="5"/>
                      <w:sz w:val="21"/>
                      <w:szCs w:val="21"/>
                    </w:rPr>
                    <w:t>向①、②号试管内滴加</w:t>
                  </w:r>
                  <w:r>
                    <w:rPr>
                      <w:rFonts w:ascii="宋体" w:hAnsi="宋体" w:eastAsia="宋体" w:cs="宋体"/>
                      <w:color w:val="auto"/>
                      <w:spacing w:val="-38"/>
                      <w:sz w:val="21"/>
                      <w:szCs w:val="21"/>
                    </w:rPr>
                    <w:t xml:space="preserve"> </w:t>
                  </w:r>
                  <w:r>
                    <w:rPr>
                      <w:rFonts w:ascii="Times New Roman" w:hAnsi="Times New Roman" w:eastAsia="Times New Roman" w:cs="Times New Roman"/>
                      <w:color w:val="auto"/>
                      <w:spacing w:val="5"/>
                      <w:sz w:val="21"/>
                      <w:szCs w:val="21"/>
                    </w:rPr>
                    <w:t>2</w:t>
                  </w:r>
                  <w:r>
                    <w:rPr>
                      <w:rFonts w:ascii="宋体" w:hAnsi="宋体" w:eastAsia="宋体" w:cs="宋体"/>
                      <w:color w:val="auto"/>
                      <w:spacing w:val="5"/>
                      <w:sz w:val="21"/>
                      <w:szCs w:val="21"/>
                    </w:rPr>
                    <w:t>滴花生油。</w:t>
                  </w:r>
                </w:p>
                <w:p w14:paraId="3F686C5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6"/>
                      <w:sz w:val="21"/>
                      <w:szCs w:val="21"/>
                    </w:rPr>
                    <w:t>3.</w:t>
                  </w:r>
                  <w:r>
                    <w:rPr>
                      <w:rFonts w:ascii="宋体" w:hAnsi="宋体" w:eastAsia="宋体" w:cs="宋体"/>
                      <w:color w:val="auto"/>
                      <w:spacing w:val="16"/>
                      <w:sz w:val="21"/>
                      <w:szCs w:val="21"/>
                    </w:rPr>
                    <w:t>向①号试管内加入</w:t>
                  </w:r>
                  <w:r>
                    <w:rPr>
                      <w:rFonts w:ascii="Times New Roman" w:hAnsi="Times New Roman" w:eastAsia="Times New Roman" w:cs="Times New Roman"/>
                      <w:color w:val="auto"/>
                      <w:spacing w:val="16"/>
                      <w:sz w:val="21"/>
                      <w:szCs w:val="21"/>
                    </w:rPr>
                    <w:t>2</w:t>
                  </w:r>
                  <w:r>
                    <w:rPr>
                      <w:rFonts w:ascii="Times New Roman" w:hAnsi="Times New Roman" w:eastAsia="Times New Roman" w:cs="Times New Roman"/>
                      <w:color w:val="auto"/>
                      <w:sz w:val="21"/>
                      <w:szCs w:val="21"/>
                    </w:rPr>
                    <w:t>mL</w:t>
                  </w:r>
                  <w:r>
                    <w:rPr>
                      <w:rFonts w:ascii="宋体" w:hAnsi="宋体" w:eastAsia="宋体" w:cs="宋体"/>
                      <w:color w:val="auto"/>
                      <w:spacing w:val="16"/>
                      <w:sz w:val="21"/>
                      <w:szCs w:val="21"/>
                    </w:rPr>
                    <w:t>清水，</w:t>
                  </w:r>
                  <w:r>
                    <w:rPr>
                      <w:rFonts w:ascii="宋体" w:hAnsi="宋体" w:eastAsia="宋体" w:cs="宋体"/>
                      <w:color w:val="auto"/>
                      <w:spacing w:val="-50"/>
                      <w:sz w:val="21"/>
                      <w:szCs w:val="21"/>
                    </w:rPr>
                    <w:t xml:space="preserve"> </w:t>
                  </w:r>
                  <w:r>
                    <w:rPr>
                      <w:rFonts w:ascii="宋体" w:hAnsi="宋体" w:eastAsia="宋体" w:cs="宋体"/>
                      <w:color w:val="auto"/>
                      <w:spacing w:val="16"/>
                      <w:sz w:val="21"/>
                      <w:szCs w:val="21"/>
                    </w:rPr>
                    <w:t>向②号试管内加入</w:t>
                  </w:r>
                  <w:r>
                    <w:rPr>
                      <w:rFonts w:ascii="Times New Roman" w:hAnsi="Times New Roman" w:eastAsia="Times New Roman" w:cs="Times New Roman"/>
                      <w:color w:val="auto"/>
                      <w:spacing w:val="5"/>
                      <w:sz w:val="21"/>
                      <w:szCs w:val="21"/>
                    </w:rPr>
                    <w:t>2</w:t>
                  </w:r>
                  <w:r>
                    <w:rPr>
                      <w:rFonts w:ascii="Times New Roman" w:hAnsi="Times New Roman" w:eastAsia="Times New Roman" w:cs="Times New Roman"/>
                      <w:color w:val="auto"/>
                      <w:sz w:val="21"/>
                      <w:szCs w:val="21"/>
                    </w:rPr>
                    <w:t>mL</w:t>
                  </w:r>
                  <w:r>
                    <w:rPr>
                      <w:rFonts w:ascii="宋体" w:hAnsi="宋体" w:eastAsia="宋体" w:cs="宋体"/>
                      <w:color w:val="auto"/>
                      <w:spacing w:val="5"/>
                      <w:sz w:val="21"/>
                      <w:szCs w:val="21"/>
                    </w:rPr>
                    <w:t>胆汁，然后振荡试管。</w:t>
                  </w:r>
                </w:p>
                <w:p w14:paraId="10DD07C6">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21"/>
                      <w:sz w:val="21"/>
                      <w:szCs w:val="21"/>
                    </w:rPr>
                    <w:t>4.</w:t>
                  </w:r>
                  <w:r>
                    <w:rPr>
                      <w:rFonts w:ascii="宋体" w:hAnsi="宋体" w:eastAsia="宋体" w:cs="宋体"/>
                      <w:color w:val="auto"/>
                      <w:spacing w:val="21"/>
                      <w:sz w:val="21"/>
                      <w:szCs w:val="21"/>
                    </w:rPr>
                    <w:t>观察比较两支试管内油</w:t>
                  </w:r>
                  <w:r>
                    <w:rPr>
                      <w:rFonts w:ascii="宋体" w:hAnsi="宋体" w:eastAsia="宋体" w:cs="宋体"/>
                      <w:color w:val="auto"/>
                      <w:spacing w:val="5"/>
                      <w:sz w:val="21"/>
                      <w:szCs w:val="21"/>
                    </w:rPr>
                    <w:t>滴的变化。</w:t>
                  </w:r>
                </w:p>
              </w:tc>
              <w:tc>
                <w:tcPr>
                  <w:tcW w:w="856" w:type="pct"/>
                  <w:tcBorders>
                    <w:tl2br w:val="nil"/>
                    <w:tr2bl w:val="nil"/>
                  </w:tcBorders>
                  <w:vAlign w:val="center"/>
                </w:tcPr>
                <w:p w14:paraId="15FA778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10"/>
                      <w:sz w:val="21"/>
                      <w:szCs w:val="21"/>
                    </w:rPr>
                    <w:t>花生油、清水、</w:t>
                  </w:r>
                  <w:r>
                    <w:rPr>
                      <w:rFonts w:ascii="宋体" w:hAnsi="宋体" w:eastAsia="宋体" w:cs="宋体"/>
                      <w:color w:val="auto"/>
                      <w:spacing w:val="6"/>
                      <w:sz w:val="21"/>
                      <w:szCs w:val="21"/>
                    </w:rPr>
                    <w:t>动物的胆汁。</w:t>
                  </w:r>
                </w:p>
              </w:tc>
              <w:tc>
                <w:tcPr>
                  <w:tcW w:w="675" w:type="pct"/>
                  <w:tcBorders>
                    <w:tl2br w:val="nil"/>
                    <w:tr2bl w:val="nil"/>
                  </w:tcBorders>
                  <w:vAlign w:val="center"/>
                </w:tcPr>
                <w:p w14:paraId="6F76FE6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试管、</w:t>
                  </w:r>
                </w:p>
              </w:tc>
              <w:tc>
                <w:tcPr>
                  <w:tcW w:w="537" w:type="pct"/>
                  <w:tcBorders>
                    <w:tl2br w:val="nil"/>
                    <w:tr2bl w:val="nil"/>
                  </w:tcBorders>
                  <w:vAlign w:val="center"/>
                </w:tcPr>
                <w:p w14:paraId="7BF4E24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老师</w:t>
                  </w:r>
                  <w:r>
                    <w:rPr>
                      <w:rFonts w:ascii="宋体" w:hAnsi="宋体" w:eastAsia="宋体" w:cs="宋体"/>
                      <w:color w:val="auto"/>
                      <w:spacing w:val="4"/>
                      <w:sz w:val="21"/>
                      <w:szCs w:val="21"/>
                    </w:rPr>
                    <w:t>演示</w:t>
                  </w:r>
                </w:p>
              </w:tc>
            </w:tr>
            <w:tr w14:paraId="60467A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44ECC54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24</w:t>
                  </w:r>
                </w:p>
              </w:tc>
              <w:tc>
                <w:tcPr>
                  <w:tcW w:w="690" w:type="pct"/>
                  <w:tcBorders>
                    <w:tl2br w:val="nil"/>
                    <w:tr2bl w:val="nil"/>
                  </w:tcBorders>
                  <w:vAlign w:val="center"/>
                </w:tcPr>
                <w:p w14:paraId="0174758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用显微镜</w:t>
                  </w:r>
                  <w:r>
                    <w:rPr>
                      <w:rFonts w:ascii="宋体" w:hAnsi="宋体" w:eastAsia="宋体" w:cs="宋体"/>
                      <w:color w:val="auto"/>
                      <w:spacing w:val="7"/>
                      <w:sz w:val="21"/>
                      <w:szCs w:val="21"/>
                    </w:rPr>
                    <w:t>观察人血</w:t>
                  </w:r>
                  <w:r>
                    <w:rPr>
                      <w:rFonts w:ascii="宋体" w:hAnsi="宋体" w:eastAsia="宋体" w:cs="宋体"/>
                      <w:color w:val="auto"/>
                      <w:spacing w:val="3"/>
                      <w:sz w:val="21"/>
                      <w:szCs w:val="21"/>
                    </w:rPr>
                    <w:t>的永久涂</w:t>
                  </w:r>
                  <w:r>
                    <w:rPr>
                      <w:rFonts w:ascii="宋体" w:hAnsi="宋体" w:eastAsia="宋体" w:cs="宋体"/>
                      <w:color w:val="auto"/>
                      <w:sz w:val="21"/>
                      <w:szCs w:val="21"/>
                    </w:rPr>
                    <w:t>片</w:t>
                  </w:r>
                </w:p>
              </w:tc>
              <w:tc>
                <w:tcPr>
                  <w:tcW w:w="1769" w:type="pct"/>
                  <w:tcBorders>
                    <w:tl2br w:val="nil"/>
                    <w:tr2bl w:val="nil"/>
                  </w:tcBorders>
                  <w:vAlign w:val="center"/>
                </w:tcPr>
                <w:p w14:paraId="5980D8CC">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宋体" w:hAnsi="宋体" w:eastAsia="宋体" w:cs="宋体"/>
                      <w:color w:val="auto"/>
                      <w:spacing w:val="20"/>
                      <w:sz w:val="21"/>
                      <w:szCs w:val="21"/>
                    </w:rPr>
                    <w:t>将人血永久涂片放在低倍</w:t>
                  </w:r>
                  <w:r>
                    <w:rPr>
                      <w:rFonts w:ascii="宋体" w:hAnsi="宋体" w:eastAsia="宋体" w:cs="宋体"/>
                      <w:color w:val="auto"/>
                      <w:spacing w:val="2"/>
                      <w:sz w:val="21"/>
                      <w:szCs w:val="21"/>
                    </w:rPr>
                    <w:t>显微镜下观察，注意认识红</w:t>
                  </w:r>
                  <w:r>
                    <w:rPr>
                      <w:rFonts w:ascii="宋体" w:hAnsi="宋体" w:eastAsia="宋体" w:cs="宋体"/>
                      <w:color w:val="auto"/>
                      <w:sz w:val="21"/>
                      <w:szCs w:val="21"/>
                    </w:rPr>
                    <w:t>细胞、</w:t>
                  </w:r>
                  <w:r>
                    <w:rPr>
                      <w:rFonts w:ascii="宋体" w:hAnsi="宋体" w:eastAsia="宋体" w:cs="宋体"/>
                      <w:color w:val="auto"/>
                      <w:spacing w:val="-53"/>
                      <w:sz w:val="21"/>
                      <w:szCs w:val="21"/>
                    </w:rPr>
                    <w:t xml:space="preserve"> </w:t>
                  </w:r>
                  <w:r>
                    <w:rPr>
                      <w:rFonts w:ascii="宋体" w:hAnsi="宋体" w:eastAsia="宋体" w:cs="宋体"/>
                      <w:color w:val="auto"/>
                      <w:sz w:val="21"/>
                      <w:szCs w:val="21"/>
                    </w:rPr>
                    <w:t>白细胞</w:t>
                  </w:r>
                </w:p>
              </w:tc>
              <w:tc>
                <w:tcPr>
                  <w:tcW w:w="856" w:type="pct"/>
                  <w:tcBorders>
                    <w:tl2br w:val="nil"/>
                    <w:tr2bl w:val="nil"/>
                  </w:tcBorders>
                  <w:vAlign w:val="center"/>
                </w:tcPr>
                <w:p w14:paraId="23A612B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人血永久涂片</w:t>
                  </w:r>
                </w:p>
              </w:tc>
              <w:tc>
                <w:tcPr>
                  <w:tcW w:w="675" w:type="pct"/>
                  <w:tcBorders>
                    <w:tl2br w:val="nil"/>
                    <w:tr2bl w:val="nil"/>
                  </w:tcBorders>
                  <w:vAlign w:val="center"/>
                </w:tcPr>
                <w:p w14:paraId="2B6B275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显微镜、</w:t>
                  </w:r>
                  <w:r>
                    <w:rPr>
                      <w:rFonts w:ascii="宋体" w:hAnsi="宋体" w:eastAsia="宋体" w:cs="宋体"/>
                      <w:color w:val="auto"/>
                      <w:spacing w:val="3"/>
                      <w:sz w:val="21"/>
                      <w:szCs w:val="21"/>
                    </w:rPr>
                    <w:t>纱布</w:t>
                  </w:r>
                </w:p>
              </w:tc>
              <w:tc>
                <w:tcPr>
                  <w:tcW w:w="537" w:type="pct"/>
                  <w:tcBorders>
                    <w:tl2br w:val="nil"/>
                    <w:tr2bl w:val="nil"/>
                  </w:tcBorders>
                  <w:vAlign w:val="center"/>
                </w:tcPr>
                <w:p w14:paraId="0391886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2D16A2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21349A2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25</w:t>
                  </w:r>
                </w:p>
              </w:tc>
              <w:tc>
                <w:tcPr>
                  <w:tcW w:w="690" w:type="pct"/>
                  <w:tcBorders>
                    <w:tl2br w:val="nil"/>
                    <w:tr2bl w:val="nil"/>
                  </w:tcBorders>
                  <w:vAlign w:val="center"/>
                </w:tcPr>
                <w:p w14:paraId="5D9FA8B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观察小鱼尾鳍内血</w:t>
                  </w:r>
                  <w:r>
                    <w:rPr>
                      <w:rFonts w:ascii="宋体" w:hAnsi="宋体" w:eastAsia="宋体" w:cs="宋体"/>
                      <w:color w:val="auto"/>
                      <w:spacing w:val="6"/>
                      <w:sz w:val="21"/>
                      <w:szCs w:val="21"/>
                    </w:rPr>
                    <w:t>液的流动</w:t>
                  </w:r>
                </w:p>
              </w:tc>
              <w:tc>
                <w:tcPr>
                  <w:tcW w:w="1769" w:type="pct"/>
                  <w:tcBorders>
                    <w:tl2br w:val="nil"/>
                    <w:tr2bl w:val="nil"/>
                  </w:tcBorders>
                  <w:vAlign w:val="center"/>
                </w:tcPr>
                <w:p w14:paraId="15F5D54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6"/>
                      <w:sz w:val="21"/>
                      <w:szCs w:val="21"/>
                    </w:rPr>
                    <w:t>1</w:t>
                  </w:r>
                  <w:r>
                    <w:rPr>
                      <w:rFonts w:ascii="宋体" w:hAnsi="宋体" w:eastAsia="宋体" w:cs="宋体"/>
                      <w:color w:val="auto"/>
                      <w:spacing w:val="6"/>
                      <w:sz w:val="21"/>
                      <w:szCs w:val="21"/>
                    </w:rPr>
                    <w:t>、用浸湿的棉絮将小鱼头</w:t>
                  </w:r>
                  <w:r>
                    <w:rPr>
                      <w:rFonts w:ascii="宋体" w:hAnsi="宋体" w:eastAsia="宋体" w:cs="宋体"/>
                      <w:color w:val="auto"/>
                      <w:spacing w:val="20"/>
                      <w:sz w:val="21"/>
                      <w:szCs w:val="21"/>
                    </w:rPr>
                    <w:t>部的鳃盖和躯干部包裹起</w:t>
                  </w:r>
                  <w:r>
                    <w:rPr>
                      <w:rFonts w:ascii="宋体" w:hAnsi="宋体" w:eastAsia="宋体" w:cs="宋体"/>
                      <w:color w:val="auto"/>
                      <w:spacing w:val="7"/>
                      <w:sz w:val="21"/>
                      <w:szCs w:val="21"/>
                    </w:rPr>
                    <w:t>来，露出口和尾部。</w:t>
                  </w:r>
                </w:p>
                <w:p w14:paraId="7AF09E0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2"/>
                      <w:sz w:val="21"/>
                      <w:szCs w:val="21"/>
                    </w:rPr>
                    <w:t>2</w:t>
                  </w:r>
                  <w:r>
                    <w:rPr>
                      <w:rFonts w:ascii="宋体" w:hAnsi="宋体" w:eastAsia="宋体" w:cs="宋体"/>
                      <w:color w:val="auto"/>
                      <w:spacing w:val="-2"/>
                      <w:sz w:val="21"/>
                      <w:szCs w:val="21"/>
                    </w:rPr>
                    <w:t>、将小鱼平放在培养皿中，</w:t>
                  </w:r>
                  <w:r>
                    <w:rPr>
                      <w:rFonts w:ascii="宋体" w:hAnsi="宋体" w:eastAsia="宋体" w:cs="宋体"/>
                      <w:color w:val="auto"/>
                      <w:spacing w:val="8"/>
                      <w:sz w:val="21"/>
                      <w:szCs w:val="21"/>
                    </w:rPr>
                    <w:t>使尾鳍平贴在培养皿上。</w:t>
                  </w:r>
                </w:p>
                <w:p w14:paraId="532C2A6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
                      <w:sz w:val="21"/>
                      <w:szCs w:val="21"/>
                    </w:rPr>
                    <w:t>3</w:t>
                  </w:r>
                  <w:r>
                    <w:rPr>
                      <w:rFonts w:ascii="宋体" w:hAnsi="宋体" w:eastAsia="宋体" w:cs="宋体"/>
                      <w:color w:val="auto"/>
                      <w:spacing w:val="1"/>
                      <w:sz w:val="21"/>
                      <w:szCs w:val="21"/>
                    </w:rPr>
                    <w:t>、将培养皿放在载物台上，</w:t>
                  </w:r>
                  <w:r>
                    <w:rPr>
                      <w:rFonts w:ascii="宋体" w:hAnsi="宋体" w:eastAsia="宋体" w:cs="宋体"/>
                      <w:color w:val="auto"/>
                      <w:spacing w:val="20"/>
                      <w:sz w:val="21"/>
                      <w:szCs w:val="21"/>
                    </w:rPr>
                    <w:t>用低倍显微镜观察尾鳍血</w:t>
                  </w:r>
                  <w:r>
                    <w:rPr>
                      <w:rFonts w:ascii="宋体" w:hAnsi="宋体" w:eastAsia="宋体" w:cs="宋体"/>
                      <w:color w:val="auto"/>
                      <w:spacing w:val="1"/>
                      <w:sz w:val="21"/>
                      <w:szCs w:val="21"/>
                    </w:rPr>
                    <w:t>管内血液的流动情况。找到管径最小的血管，注意观察</w:t>
                  </w:r>
                  <w:r>
                    <w:rPr>
                      <w:rFonts w:ascii="宋体" w:hAnsi="宋体" w:eastAsia="宋体" w:cs="宋体"/>
                      <w:color w:val="auto"/>
                      <w:spacing w:val="20"/>
                      <w:sz w:val="21"/>
                      <w:szCs w:val="21"/>
                    </w:rPr>
                    <w:t>血液在这种血管中的流动</w:t>
                  </w:r>
                  <w:r>
                    <w:rPr>
                      <w:rFonts w:ascii="宋体" w:hAnsi="宋体" w:eastAsia="宋体" w:cs="宋体"/>
                      <w:color w:val="auto"/>
                      <w:spacing w:val="2"/>
                      <w:sz w:val="21"/>
                      <w:szCs w:val="21"/>
                    </w:rPr>
                    <w:t>情况。注意观察管径最小的</w:t>
                  </w:r>
                  <w:r>
                    <w:rPr>
                      <w:rFonts w:ascii="宋体" w:hAnsi="宋体" w:eastAsia="宋体" w:cs="宋体"/>
                      <w:color w:val="auto"/>
                      <w:spacing w:val="20"/>
                      <w:sz w:val="21"/>
                      <w:szCs w:val="21"/>
                    </w:rPr>
                    <w:t>血管是由什么血管分支而</w:t>
                  </w:r>
                  <w:r>
                    <w:rPr>
                      <w:rFonts w:ascii="宋体" w:hAnsi="宋体" w:eastAsia="宋体" w:cs="宋体"/>
                      <w:color w:val="auto"/>
                      <w:spacing w:val="2"/>
                      <w:sz w:val="21"/>
                      <w:szCs w:val="21"/>
                    </w:rPr>
                    <w:t>来的，它最终又汇入什么血管中。</w:t>
                  </w:r>
                </w:p>
              </w:tc>
              <w:tc>
                <w:tcPr>
                  <w:tcW w:w="856" w:type="pct"/>
                  <w:tcBorders>
                    <w:tl2br w:val="nil"/>
                    <w:tr2bl w:val="nil"/>
                  </w:tcBorders>
                  <w:vAlign w:val="center"/>
                </w:tcPr>
                <w:p w14:paraId="5745CCE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小鱼</w:t>
                  </w:r>
                </w:p>
              </w:tc>
              <w:tc>
                <w:tcPr>
                  <w:tcW w:w="675" w:type="pct"/>
                  <w:tcBorders>
                    <w:tl2br w:val="nil"/>
                    <w:tr2bl w:val="nil"/>
                  </w:tcBorders>
                  <w:vAlign w:val="center"/>
                </w:tcPr>
                <w:p w14:paraId="3E088F4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棉絮、显</w:t>
                  </w:r>
                  <w:r>
                    <w:rPr>
                      <w:rFonts w:ascii="宋体" w:hAnsi="宋体" w:eastAsia="宋体" w:cs="宋体"/>
                      <w:color w:val="auto"/>
                      <w:spacing w:val="7"/>
                      <w:sz w:val="21"/>
                      <w:szCs w:val="21"/>
                    </w:rPr>
                    <w:t>微镜、培</w:t>
                  </w:r>
                  <w:r>
                    <w:rPr>
                      <w:rFonts w:ascii="宋体" w:hAnsi="宋体" w:eastAsia="宋体" w:cs="宋体"/>
                      <w:color w:val="auto"/>
                      <w:spacing w:val="4"/>
                      <w:sz w:val="21"/>
                      <w:szCs w:val="21"/>
                    </w:rPr>
                    <w:t>养皿</w:t>
                  </w:r>
                </w:p>
              </w:tc>
              <w:tc>
                <w:tcPr>
                  <w:tcW w:w="537" w:type="pct"/>
                  <w:tcBorders>
                    <w:tl2br w:val="nil"/>
                    <w:tr2bl w:val="nil"/>
                  </w:tcBorders>
                  <w:vAlign w:val="center"/>
                </w:tcPr>
                <w:p w14:paraId="6EEA2B7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老师</w:t>
                  </w:r>
                  <w:r>
                    <w:rPr>
                      <w:rFonts w:ascii="宋体" w:hAnsi="宋体" w:eastAsia="宋体" w:cs="宋体"/>
                      <w:color w:val="auto"/>
                      <w:spacing w:val="4"/>
                      <w:sz w:val="21"/>
                      <w:szCs w:val="21"/>
                    </w:rPr>
                    <w:t>演示</w:t>
                  </w:r>
                </w:p>
              </w:tc>
            </w:tr>
            <w:tr w14:paraId="61D798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1C014CA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26</w:t>
                  </w:r>
                </w:p>
              </w:tc>
              <w:tc>
                <w:tcPr>
                  <w:tcW w:w="690" w:type="pct"/>
                  <w:tcBorders>
                    <w:tl2br w:val="nil"/>
                    <w:tr2bl w:val="nil"/>
                  </w:tcBorders>
                  <w:vAlign w:val="center"/>
                </w:tcPr>
                <w:p w14:paraId="49E8855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探究唾液</w:t>
                  </w:r>
                  <w:r>
                    <w:rPr>
                      <w:rFonts w:ascii="宋体" w:hAnsi="宋体" w:eastAsia="宋体" w:cs="宋体"/>
                      <w:color w:val="auto"/>
                      <w:spacing w:val="6"/>
                      <w:sz w:val="21"/>
                      <w:szCs w:val="21"/>
                    </w:rPr>
                    <w:t>淀粉酶对淀粉的消化作用</w:t>
                  </w:r>
                </w:p>
              </w:tc>
              <w:tc>
                <w:tcPr>
                  <w:tcW w:w="1769" w:type="pct"/>
                  <w:tcBorders>
                    <w:tl2br w:val="nil"/>
                    <w:tr2bl w:val="nil"/>
                  </w:tcBorders>
                  <w:vAlign w:val="center"/>
                </w:tcPr>
                <w:p w14:paraId="7B66C52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6"/>
                      <w:sz w:val="21"/>
                      <w:szCs w:val="21"/>
                    </w:rPr>
                    <w:t>1</w:t>
                  </w:r>
                  <w:r>
                    <w:rPr>
                      <w:rFonts w:ascii="宋体" w:hAnsi="宋体" w:eastAsia="宋体" w:cs="宋体"/>
                      <w:color w:val="auto"/>
                      <w:spacing w:val="6"/>
                      <w:sz w:val="21"/>
                      <w:szCs w:val="21"/>
                    </w:rPr>
                    <w:t>、准备材料：首先，需要</w:t>
                  </w:r>
                  <w:r>
                    <w:rPr>
                      <w:rFonts w:ascii="宋体" w:hAnsi="宋体" w:eastAsia="宋体" w:cs="宋体"/>
                      <w:color w:val="auto"/>
                      <w:spacing w:val="16"/>
                      <w:sz w:val="21"/>
                      <w:szCs w:val="21"/>
                    </w:rPr>
                    <w:t>准备馒头碎屑和唾液在</w:t>
                  </w:r>
                  <w:r>
                    <w:rPr>
                      <w:rFonts w:ascii="Times New Roman" w:hAnsi="Times New Roman" w:eastAsia="Times New Roman" w:cs="Times New Roman"/>
                      <w:color w:val="auto"/>
                      <w:spacing w:val="6"/>
                      <w:sz w:val="21"/>
                      <w:szCs w:val="21"/>
                    </w:rPr>
                    <w:t>A</w:t>
                  </w:r>
                  <w:r>
                    <w:rPr>
                      <w:rFonts w:ascii="宋体" w:hAnsi="宋体" w:eastAsia="宋体" w:cs="宋体"/>
                      <w:color w:val="auto"/>
                      <w:spacing w:val="6"/>
                      <w:sz w:val="21"/>
                      <w:szCs w:val="21"/>
                    </w:rPr>
                    <w:t>、</w:t>
                  </w:r>
                  <w:r>
                    <w:rPr>
                      <w:rFonts w:ascii="Times New Roman" w:hAnsi="Times New Roman" w:eastAsia="Times New Roman" w:cs="Times New Roman"/>
                      <w:color w:val="auto"/>
                      <w:spacing w:val="6"/>
                      <w:sz w:val="21"/>
                      <w:szCs w:val="21"/>
                    </w:rPr>
                    <w:t>B</w:t>
                  </w:r>
                  <w:r>
                    <w:rPr>
                      <w:rFonts w:ascii="宋体" w:hAnsi="宋体" w:eastAsia="宋体" w:cs="宋体"/>
                      <w:color w:val="auto"/>
                      <w:spacing w:val="6"/>
                      <w:sz w:val="21"/>
                      <w:szCs w:val="21"/>
                    </w:rPr>
                    <w:t>两支试管中各放入等</w:t>
                  </w:r>
                  <w:r>
                    <w:rPr>
                      <w:rFonts w:ascii="宋体" w:hAnsi="宋体" w:eastAsia="宋体" w:cs="宋体"/>
                      <w:color w:val="auto"/>
                      <w:spacing w:val="1"/>
                      <w:sz w:val="21"/>
                      <w:szCs w:val="21"/>
                    </w:rPr>
                    <w:t>量的馒头碎屑。接着，用凉开水漱口后，用小烧杯收集</w:t>
                  </w:r>
                  <w:r>
                    <w:rPr>
                      <w:rFonts w:ascii="宋体" w:hAnsi="宋体" w:eastAsia="宋体" w:cs="宋体"/>
                      <w:color w:val="auto"/>
                      <w:spacing w:val="2"/>
                      <w:sz w:val="21"/>
                      <w:szCs w:val="21"/>
                    </w:rPr>
                    <w:t>唾液</w:t>
                  </w:r>
                  <w:r>
                    <w:rPr>
                      <w:rFonts w:ascii="宋体" w:hAnsi="宋体" w:eastAsia="宋体" w:cs="宋体"/>
                      <w:color w:val="auto"/>
                      <w:spacing w:val="-37"/>
                      <w:sz w:val="21"/>
                      <w:szCs w:val="21"/>
                    </w:rPr>
                    <w:t xml:space="preserve"> </w:t>
                  </w:r>
                  <w:r>
                    <w:rPr>
                      <w:rFonts w:ascii="Times New Roman" w:hAnsi="Times New Roman" w:eastAsia="Times New Roman" w:cs="Times New Roman"/>
                      <w:color w:val="auto"/>
                      <w:spacing w:val="2"/>
                      <w:sz w:val="21"/>
                      <w:szCs w:val="21"/>
                    </w:rPr>
                    <w:t>2</w:t>
                  </w:r>
                  <w:r>
                    <w:rPr>
                      <w:rFonts w:ascii="宋体" w:hAnsi="宋体" w:eastAsia="宋体" w:cs="宋体"/>
                      <w:color w:val="auto"/>
                      <w:spacing w:val="2"/>
                      <w:sz w:val="21"/>
                      <w:szCs w:val="21"/>
                    </w:rPr>
                    <w:t>毫升；</w:t>
                  </w:r>
                </w:p>
                <w:p w14:paraId="3388190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4"/>
                      <w:sz w:val="21"/>
                      <w:szCs w:val="21"/>
                    </w:rPr>
                    <w:t>2</w:t>
                  </w:r>
                  <w:r>
                    <w:rPr>
                      <w:rFonts w:ascii="宋体" w:hAnsi="宋体" w:eastAsia="宋体" w:cs="宋体"/>
                      <w:color w:val="auto"/>
                      <w:spacing w:val="4"/>
                      <w:sz w:val="21"/>
                      <w:szCs w:val="21"/>
                    </w:rPr>
                    <w:t>、实验处理：在</w:t>
                  </w:r>
                  <w:r>
                    <w:rPr>
                      <w:rFonts w:ascii="宋体" w:hAnsi="宋体" w:eastAsia="宋体" w:cs="宋体"/>
                      <w:color w:val="auto"/>
                      <w:spacing w:val="-46"/>
                      <w:sz w:val="21"/>
                      <w:szCs w:val="21"/>
                    </w:rPr>
                    <w:t xml:space="preserve"> </w:t>
                  </w:r>
                  <w:r>
                    <w:rPr>
                      <w:rFonts w:ascii="Times New Roman" w:hAnsi="Times New Roman" w:eastAsia="Times New Roman" w:cs="Times New Roman"/>
                      <w:color w:val="auto"/>
                      <w:spacing w:val="4"/>
                      <w:sz w:val="21"/>
                      <w:szCs w:val="21"/>
                    </w:rPr>
                    <w:t>A</w:t>
                  </w:r>
                  <w:r>
                    <w:rPr>
                      <w:rFonts w:ascii="宋体" w:hAnsi="宋体" w:eastAsia="宋体" w:cs="宋体"/>
                      <w:color w:val="auto"/>
                      <w:spacing w:val="4"/>
                      <w:sz w:val="21"/>
                      <w:szCs w:val="21"/>
                    </w:rPr>
                    <w:t>试管中</w:t>
                  </w:r>
                  <w:r>
                    <w:rPr>
                      <w:rFonts w:ascii="宋体" w:hAnsi="宋体" w:eastAsia="宋体" w:cs="宋体"/>
                      <w:color w:val="auto"/>
                      <w:spacing w:val="-1"/>
                      <w:sz w:val="21"/>
                      <w:szCs w:val="21"/>
                    </w:rPr>
                    <w:t>加入</w:t>
                  </w:r>
                  <w:r>
                    <w:rPr>
                      <w:rFonts w:ascii="宋体" w:hAnsi="宋体" w:eastAsia="宋体" w:cs="宋体"/>
                      <w:color w:val="auto"/>
                      <w:spacing w:val="-31"/>
                      <w:sz w:val="21"/>
                      <w:szCs w:val="21"/>
                    </w:rPr>
                    <w:t xml:space="preserve"> </w:t>
                  </w:r>
                  <w:r>
                    <w:rPr>
                      <w:rFonts w:ascii="Times New Roman" w:hAnsi="Times New Roman" w:eastAsia="Times New Roman" w:cs="Times New Roman"/>
                      <w:color w:val="auto"/>
                      <w:spacing w:val="-1"/>
                      <w:sz w:val="21"/>
                      <w:szCs w:val="21"/>
                    </w:rPr>
                    <w:t>2</w:t>
                  </w:r>
                  <w:r>
                    <w:rPr>
                      <w:rFonts w:ascii="Times New Roman" w:hAnsi="Times New Roman" w:eastAsia="Times New Roman" w:cs="Times New Roman"/>
                      <w:color w:val="auto"/>
                      <w:spacing w:val="15"/>
                      <w:sz w:val="21"/>
                      <w:szCs w:val="21"/>
                    </w:rPr>
                    <w:t xml:space="preserve"> </w:t>
                  </w:r>
                  <w:r>
                    <w:rPr>
                      <w:rFonts w:ascii="宋体" w:hAnsi="宋体" w:eastAsia="宋体" w:cs="宋体"/>
                      <w:color w:val="auto"/>
                      <w:spacing w:val="-1"/>
                      <w:sz w:val="21"/>
                      <w:szCs w:val="21"/>
                    </w:rPr>
                    <w:t>毫升唾液，并进行充</w:t>
                  </w:r>
                  <w:r>
                    <w:rPr>
                      <w:rFonts w:ascii="宋体" w:hAnsi="宋体" w:eastAsia="宋体" w:cs="宋体"/>
                      <w:color w:val="auto"/>
                      <w:spacing w:val="1"/>
                      <w:sz w:val="21"/>
                      <w:szCs w:val="21"/>
                    </w:rPr>
                    <w:t>分搅拌。在</w:t>
                  </w:r>
                  <w:r>
                    <w:rPr>
                      <w:rFonts w:ascii="宋体" w:hAnsi="宋体" w:eastAsia="宋体" w:cs="宋体"/>
                      <w:color w:val="auto"/>
                      <w:spacing w:val="-43"/>
                      <w:sz w:val="21"/>
                      <w:szCs w:val="21"/>
                    </w:rPr>
                    <w:t xml:space="preserve"> </w:t>
                  </w:r>
                  <w:r>
                    <w:rPr>
                      <w:rFonts w:ascii="Times New Roman" w:hAnsi="Times New Roman" w:eastAsia="Times New Roman" w:cs="Times New Roman"/>
                      <w:color w:val="auto"/>
                      <w:spacing w:val="1"/>
                      <w:sz w:val="21"/>
                      <w:szCs w:val="21"/>
                    </w:rPr>
                    <w:t>B</w:t>
                  </w:r>
                  <w:r>
                    <w:rPr>
                      <w:rFonts w:ascii="宋体" w:hAnsi="宋体" w:eastAsia="宋体" w:cs="宋体"/>
                      <w:color w:val="auto"/>
                      <w:spacing w:val="1"/>
                      <w:sz w:val="21"/>
                      <w:szCs w:val="21"/>
                    </w:rPr>
                    <w:t>试管中加入</w:t>
                  </w:r>
                  <w:r>
                    <w:rPr>
                      <w:rFonts w:ascii="宋体" w:hAnsi="宋体" w:eastAsia="宋体" w:cs="宋体"/>
                      <w:color w:val="auto"/>
                      <w:spacing w:val="-43"/>
                      <w:sz w:val="21"/>
                      <w:szCs w:val="21"/>
                    </w:rPr>
                    <w:t xml:space="preserve"> </w:t>
                  </w:r>
                  <w:r>
                    <w:rPr>
                      <w:rFonts w:ascii="Times New Roman" w:hAnsi="Times New Roman" w:eastAsia="Times New Roman" w:cs="Times New Roman"/>
                      <w:color w:val="auto"/>
                      <w:spacing w:val="1"/>
                      <w:sz w:val="21"/>
                      <w:szCs w:val="21"/>
                    </w:rPr>
                    <w:t>2</w:t>
                  </w:r>
                  <w:r>
                    <w:rPr>
                      <w:rFonts w:ascii="宋体" w:hAnsi="宋体" w:eastAsia="宋体" w:cs="宋体"/>
                      <w:color w:val="auto"/>
                      <w:spacing w:val="2"/>
                      <w:sz w:val="21"/>
                      <w:szCs w:val="21"/>
                    </w:rPr>
                    <w:t>毫升清水，同样进行充分搅</w:t>
                  </w:r>
                  <w:r>
                    <w:rPr>
                      <w:rFonts w:ascii="宋体" w:hAnsi="宋体" w:eastAsia="宋体" w:cs="宋体"/>
                      <w:color w:val="auto"/>
                      <w:spacing w:val="12"/>
                      <w:sz w:val="21"/>
                      <w:szCs w:val="21"/>
                    </w:rPr>
                    <w:t>拌。将两只试管放入</w:t>
                  </w:r>
                  <w:r>
                    <w:rPr>
                      <w:rFonts w:ascii="Times New Roman" w:hAnsi="Times New Roman" w:eastAsia="Times New Roman" w:cs="Times New Roman"/>
                      <w:color w:val="auto"/>
                      <w:spacing w:val="12"/>
                      <w:sz w:val="21"/>
                      <w:szCs w:val="21"/>
                    </w:rPr>
                    <w:t>37℃</w:t>
                  </w:r>
                  <w:r>
                    <w:rPr>
                      <w:rFonts w:ascii="宋体" w:hAnsi="宋体" w:eastAsia="宋体" w:cs="宋体"/>
                      <w:color w:val="auto"/>
                      <w:spacing w:val="20"/>
                      <w:sz w:val="21"/>
                      <w:szCs w:val="21"/>
                    </w:rPr>
                    <w:t>的温水中，保持一段时间</w:t>
                  </w:r>
                  <w:r>
                    <w:rPr>
                      <w:rFonts w:ascii="宋体" w:hAnsi="宋体" w:eastAsia="宋体" w:cs="宋体"/>
                      <w:color w:val="auto"/>
                      <w:spacing w:val="2"/>
                      <w:sz w:val="21"/>
                      <w:szCs w:val="21"/>
                    </w:rPr>
                    <w:t>（通常是</w:t>
                  </w:r>
                  <w:r>
                    <w:rPr>
                      <w:rFonts w:ascii="Times New Roman" w:hAnsi="Times New Roman" w:eastAsia="Times New Roman" w:cs="Times New Roman"/>
                      <w:color w:val="auto"/>
                      <w:spacing w:val="2"/>
                      <w:sz w:val="21"/>
                      <w:szCs w:val="21"/>
                    </w:rPr>
                    <w:t>10</w:t>
                  </w:r>
                  <w:r>
                    <w:rPr>
                      <w:rFonts w:ascii="宋体" w:hAnsi="宋体" w:eastAsia="宋体" w:cs="宋体"/>
                      <w:color w:val="auto"/>
                      <w:spacing w:val="2"/>
                      <w:sz w:val="21"/>
                      <w:szCs w:val="21"/>
                    </w:rPr>
                    <w:t>分钟）</w:t>
                  </w:r>
                  <w:r>
                    <w:rPr>
                      <w:rFonts w:ascii="宋体" w:hAnsi="宋体" w:eastAsia="宋体" w:cs="宋体"/>
                      <w:color w:val="auto"/>
                      <w:spacing w:val="-56"/>
                      <w:sz w:val="21"/>
                      <w:szCs w:val="21"/>
                    </w:rPr>
                    <w:t xml:space="preserve"> </w:t>
                  </w:r>
                  <w:r>
                    <w:rPr>
                      <w:rFonts w:ascii="宋体" w:hAnsi="宋体" w:eastAsia="宋体" w:cs="宋体"/>
                      <w:color w:val="auto"/>
                      <w:spacing w:val="2"/>
                      <w:sz w:val="21"/>
                      <w:szCs w:val="21"/>
                    </w:rPr>
                    <w:t>取出</w:t>
                  </w:r>
                  <w:r>
                    <w:rPr>
                      <w:rFonts w:ascii="宋体" w:hAnsi="宋体" w:eastAsia="宋体" w:cs="宋体"/>
                      <w:color w:val="auto"/>
                      <w:spacing w:val="5"/>
                      <w:sz w:val="21"/>
                      <w:szCs w:val="21"/>
                    </w:rPr>
                    <w:t>后，向两只试管中各滴加</w:t>
                  </w:r>
                  <w:r>
                    <w:rPr>
                      <w:rFonts w:ascii="Times New Roman" w:hAnsi="Times New Roman" w:eastAsia="Times New Roman" w:cs="Times New Roman"/>
                      <w:color w:val="auto"/>
                      <w:spacing w:val="5"/>
                      <w:sz w:val="21"/>
                      <w:szCs w:val="21"/>
                    </w:rPr>
                    <w:t>2</w:t>
                  </w:r>
                  <w:r>
                    <w:rPr>
                      <w:rFonts w:ascii="宋体" w:hAnsi="宋体" w:eastAsia="宋体" w:cs="宋体"/>
                      <w:color w:val="auto"/>
                      <w:spacing w:val="8"/>
                      <w:sz w:val="21"/>
                      <w:szCs w:val="21"/>
                    </w:rPr>
                    <w:t>滴稀碘液，然后摇匀；</w:t>
                  </w:r>
                </w:p>
                <w:p w14:paraId="5059259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8"/>
                      <w:sz w:val="21"/>
                      <w:szCs w:val="21"/>
                    </w:rPr>
                    <w:t>3</w:t>
                  </w:r>
                  <w:r>
                    <w:rPr>
                      <w:rFonts w:ascii="宋体" w:hAnsi="宋体" w:eastAsia="宋体" w:cs="宋体"/>
                      <w:color w:val="auto"/>
                      <w:spacing w:val="8"/>
                      <w:sz w:val="21"/>
                      <w:szCs w:val="21"/>
                    </w:rPr>
                    <w:t>、观察记录：观察并记录</w:t>
                  </w:r>
                  <w:r>
                    <w:rPr>
                      <w:rFonts w:ascii="宋体" w:hAnsi="宋体" w:eastAsia="宋体" w:cs="宋体"/>
                      <w:color w:val="auto"/>
                      <w:spacing w:val="7"/>
                      <w:sz w:val="21"/>
                      <w:szCs w:val="21"/>
                    </w:rPr>
                    <w:t>试管中的颜色变化。</w:t>
                  </w:r>
                </w:p>
              </w:tc>
              <w:tc>
                <w:tcPr>
                  <w:tcW w:w="856" w:type="pct"/>
                  <w:tcBorders>
                    <w:tl2br w:val="nil"/>
                    <w:tr2bl w:val="nil"/>
                  </w:tcBorders>
                  <w:vAlign w:val="center"/>
                </w:tcPr>
                <w:p w14:paraId="544D697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馒头、碘液</w:t>
                  </w:r>
                </w:p>
              </w:tc>
              <w:tc>
                <w:tcPr>
                  <w:tcW w:w="675" w:type="pct"/>
                  <w:tcBorders>
                    <w:tl2br w:val="nil"/>
                    <w:tr2bl w:val="nil"/>
                  </w:tcBorders>
                  <w:vAlign w:val="center"/>
                </w:tcPr>
                <w:p w14:paraId="1D3389E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试管、试管架、烧杯、温度计、滴管</w:t>
                  </w:r>
                </w:p>
              </w:tc>
              <w:tc>
                <w:tcPr>
                  <w:tcW w:w="537" w:type="pct"/>
                  <w:tcBorders>
                    <w:tl2br w:val="nil"/>
                    <w:tr2bl w:val="nil"/>
                  </w:tcBorders>
                  <w:vAlign w:val="center"/>
                </w:tcPr>
                <w:p w14:paraId="08B0902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5C8833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6735E6E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27</w:t>
                  </w:r>
                </w:p>
              </w:tc>
              <w:tc>
                <w:tcPr>
                  <w:tcW w:w="690" w:type="pct"/>
                  <w:tcBorders>
                    <w:tl2br w:val="nil"/>
                    <w:tr2bl w:val="nil"/>
                  </w:tcBorders>
                  <w:vAlign w:val="center"/>
                </w:tcPr>
                <w:p w14:paraId="2192CFC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观察心脏</w:t>
                  </w:r>
                </w:p>
              </w:tc>
              <w:tc>
                <w:tcPr>
                  <w:tcW w:w="1769" w:type="pct"/>
                  <w:tcBorders>
                    <w:tl2br w:val="nil"/>
                    <w:tr2bl w:val="nil"/>
                  </w:tcBorders>
                  <w:vAlign w:val="center"/>
                </w:tcPr>
                <w:p w14:paraId="2C3982EA">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宋体" w:hAnsi="宋体" w:eastAsia="宋体" w:cs="宋体"/>
                      <w:color w:val="auto"/>
                      <w:sz w:val="21"/>
                      <w:szCs w:val="21"/>
                      <w:lang w:eastAsia="zh-CN"/>
                    </w:rPr>
                  </w:pPr>
                  <w:r>
                    <w:rPr>
                      <w:rFonts w:ascii="宋体" w:hAnsi="宋体" w:eastAsia="宋体" w:cs="宋体"/>
                      <w:color w:val="auto"/>
                      <w:spacing w:val="8"/>
                      <w:sz w:val="21"/>
                      <w:szCs w:val="21"/>
                    </w:rPr>
                    <w:t>观察心脏模型</w:t>
                  </w:r>
                  <w:r>
                    <w:rPr>
                      <w:rFonts w:hint="eastAsia" w:ascii="宋体" w:hAnsi="宋体" w:eastAsia="宋体" w:cs="宋体"/>
                      <w:color w:val="auto"/>
                      <w:spacing w:val="8"/>
                      <w:sz w:val="21"/>
                      <w:szCs w:val="21"/>
                      <w:lang w:eastAsia="zh-CN"/>
                    </w:rPr>
                    <w:t>。</w:t>
                  </w:r>
                </w:p>
              </w:tc>
              <w:tc>
                <w:tcPr>
                  <w:tcW w:w="856" w:type="pct"/>
                  <w:tcBorders>
                    <w:tl2br w:val="nil"/>
                    <w:tr2bl w:val="nil"/>
                  </w:tcBorders>
                  <w:vAlign w:val="center"/>
                </w:tcPr>
                <w:p w14:paraId="5691220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675" w:type="pct"/>
                  <w:tcBorders>
                    <w:tl2br w:val="nil"/>
                    <w:tr2bl w:val="nil"/>
                  </w:tcBorders>
                  <w:vAlign w:val="center"/>
                </w:tcPr>
                <w:p w14:paraId="74FF8C0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心脏模型</w:t>
                  </w:r>
                </w:p>
              </w:tc>
              <w:tc>
                <w:tcPr>
                  <w:tcW w:w="537" w:type="pct"/>
                  <w:tcBorders>
                    <w:tl2br w:val="nil"/>
                    <w:tr2bl w:val="nil"/>
                  </w:tcBorders>
                  <w:vAlign w:val="center"/>
                </w:tcPr>
                <w:p w14:paraId="5D3B766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p>
                <w:p w14:paraId="7176323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操作</w:t>
                  </w:r>
                </w:p>
              </w:tc>
            </w:tr>
            <w:tr w14:paraId="485782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3F11053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28</w:t>
                  </w:r>
                </w:p>
              </w:tc>
              <w:tc>
                <w:tcPr>
                  <w:tcW w:w="690" w:type="pct"/>
                  <w:tcBorders>
                    <w:tl2br w:val="nil"/>
                    <w:tr2bl w:val="nil"/>
                  </w:tcBorders>
                  <w:vAlign w:val="center"/>
                </w:tcPr>
                <w:p w14:paraId="4632192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检验人体</w:t>
                  </w:r>
                  <w:r>
                    <w:rPr>
                      <w:rFonts w:ascii="宋体" w:hAnsi="宋体" w:eastAsia="宋体" w:cs="宋体"/>
                      <w:color w:val="auto"/>
                      <w:spacing w:val="4"/>
                      <w:sz w:val="21"/>
                      <w:szCs w:val="21"/>
                    </w:rPr>
                    <w:t>呼出气体</w:t>
                  </w:r>
                  <w:r>
                    <w:rPr>
                      <w:rFonts w:ascii="宋体" w:hAnsi="宋体" w:eastAsia="宋体" w:cs="宋体"/>
                      <w:color w:val="auto"/>
                      <w:spacing w:val="6"/>
                      <w:sz w:val="21"/>
                      <w:szCs w:val="21"/>
                    </w:rPr>
                    <w:t>成分的变</w:t>
                  </w:r>
                  <w:r>
                    <w:rPr>
                      <w:rFonts w:ascii="宋体" w:hAnsi="宋体" w:eastAsia="宋体" w:cs="宋体"/>
                      <w:color w:val="auto"/>
                      <w:sz w:val="21"/>
                      <w:szCs w:val="21"/>
                    </w:rPr>
                    <w:t>化</w:t>
                  </w:r>
                </w:p>
              </w:tc>
              <w:tc>
                <w:tcPr>
                  <w:tcW w:w="1769" w:type="pct"/>
                  <w:tcBorders>
                    <w:tl2br w:val="nil"/>
                    <w:tr2bl w:val="nil"/>
                  </w:tcBorders>
                  <w:vAlign w:val="center"/>
                </w:tcPr>
                <w:p w14:paraId="6F1F2E5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宋体" w:hAnsi="宋体" w:eastAsia="宋体" w:cs="宋体"/>
                      <w:color w:val="auto"/>
                      <w:sz w:val="21"/>
                      <w:szCs w:val="21"/>
                      <w:lang w:eastAsia="zh-CN"/>
                    </w:rPr>
                  </w:pPr>
                  <w:r>
                    <w:rPr>
                      <w:rFonts w:ascii="Times New Roman" w:hAnsi="Times New Roman" w:eastAsia="Times New Roman" w:cs="Times New Roman"/>
                      <w:color w:val="auto"/>
                      <w:spacing w:val="4"/>
                      <w:sz w:val="21"/>
                      <w:szCs w:val="21"/>
                    </w:rPr>
                    <w:t>1.</w:t>
                  </w:r>
                  <w:r>
                    <w:rPr>
                      <w:rFonts w:ascii="宋体" w:hAnsi="宋体" w:eastAsia="宋体" w:cs="宋体"/>
                      <w:color w:val="auto"/>
                      <w:spacing w:val="4"/>
                      <w:sz w:val="21"/>
                      <w:szCs w:val="21"/>
                    </w:rPr>
                    <w:t>取两个空集气瓶，用玻璃</w:t>
                  </w:r>
                  <w:r>
                    <w:rPr>
                      <w:rFonts w:ascii="宋体" w:hAnsi="宋体" w:eastAsia="宋体" w:cs="宋体"/>
                      <w:color w:val="auto"/>
                      <w:spacing w:val="7"/>
                      <w:sz w:val="21"/>
                      <w:szCs w:val="21"/>
                    </w:rPr>
                    <w:t>片将瓶口盖好</w:t>
                  </w:r>
                  <w:r>
                    <w:rPr>
                      <w:rFonts w:hint="eastAsia" w:ascii="宋体" w:hAnsi="宋体" w:eastAsia="宋体" w:cs="宋体"/>
                      <w:color w:val="auto"/>
                      <w:spacing w:val="7"/>
                      <w:sz w:val="21"/>
                      <w:szCs w:val="21"/>
                      <w:lang w:eastAsia="zh-CN"/>
                    </w:rPr>
                    <w:t>。</w:t>
                  </w:r>
                </w:p>
                <w:p w14:paraId="5ECF2C2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宋体" w:hAnsi="宋体" w:eastAsia="宋体" w:cs="宋体"/>
                      <w:color w:val="auto"/>
                      <w:sz w:val="21"/>
                      <w:szCs w:val="21"/>
                      <w:lang w:eastAsia="zh-CN"/>
                    </w:rPr>
                  </w:pPr>
                  <w:r>
                    <w:rPr>
                      <w:rFonts w:ascii="Times New Roman" w:hAnsi="Times New Roman" w:eastAsia="Times New Roman" w:cs="Times New Roman"/>
                      <w:color w:val="auto"/>
                      <w:spacing w:val="6"/>
                      <w:sz w:val="21"/>
                      <w:szCs w:val="21"/>
                    </w:rPr>
                    <w:t>2.</w:t>
                  </w:r>
                  <w:r>
                    <w:rPr>
                      <w:rFonts w:ascii="宋体" w:hAnsi="宋体" w:eastAsia="宋体" w:cs="宋体"/>
                      <w:color w:val="auto"/>
                      <w:spacing w:val="6"/>
                      <w:sz w:val="21"/>
                      <w:szCs w:val="21"/>
                    </w:rPr>
                    <w:t>用两个集气瓶装满水，倒</w:t>
                  </w:r>
                  <w:r>
                    <w:rPr>
                      <w:rFonts w:ascii="宋体" w:hAnsi="宋体" w:eastAsia="宋体" w:cs="宋体"/>
                      <w:color w:val="auto"/>
                      <w:spacing w:val="2"/>
                      <w:sz w:val="21"/>
                      <w:szCs w:val="21"/>
                    </w:rPr>
                    <w:t>放入水中，将吸管小心插入</w:t>
                  </w:r>
                  <w:r>
                    <w:rPr>
                      <w:rFonts w:ascii="宋体" w:hAnsi="宋体" w:eastAsia="宋体" w:cs="宋体"/>
                      <w:color w:val="auto"/>
                      <w:spacing w:val="1"/>
                      <w:sz w:val="21"/>
                      <w:szCs w:val="21"/>
                    </w:rPr>
                    <w:t>集气瓶中，吹气；在瓶中充</w:t>
                  </w:r>
                  <w:r>
                    <w:rPr>
                      <w:rFonts w:ascii="宋体" w:hAnsi="宋体" w:eastAsia="宋体" w:cs="宋体"/>
                      <w:color w:val="auto"/>
                      <w:spacing w:val="2"/>
                      <w:sz w:val="21"/>
                      <w:szCs w:val="21"/>
                    </w:rPr>
                    <w:t>满气体后，用玻璃片盖住瓶</w:t>
                  </w:r>
                  <w:r>
                    <w:rPr>
                      <w:rFonts w:ascii="宋体" w:hAnsi="宋体" w:eastAsia="宋体" w:cs="宋体"/>
                      <w:color w:val="auto"/>
                      <w:spacing w:val="1"/>
                      <w:sz w:val="21"/>
                      <w:szCs w:val="21"/>
                    </w:rPr>
                    <w:t>口，从水中取出正放于桌上</w:t>
                  </w:r>
                  <w:r>
                    <w:rPr>
                      <w:rFonts w:hint="eastAsia" w:ascii="宋体" w:hAnsi="宋体" w:eastAsia="宋体" w:cs="宋体"/>
                      <w:color w:val="auto"/>
                      <w:spacing w:val="1"/>
                      <w:sz w:val="21"/>
                      <w:szCs w:val="21"/>
                      <w:lang w:eastAsia="zh-CN"/>
                    </w:rPr>
                    <w:t>。</w:t>
                  </w:r>
                </w:p>
                <w:p w14:paraId="09DC788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宋体" w:hAnsi="宋体" w:eastAsia="宋体" w:cs="宋体"/>
                      <w:color w:val="auto"/>
                      <w:sz w:val="21"/>
                      <w:szCs w:val="21"/>
                      <w:lang w:eastAsia="zh-CN"/>
                    </w:rPr>
                  </w:pPr>
                  <w:r>
                    <w:rPr>
                      <w:rFonts w:ascii="Times New Roman" w:hAnsi="Times New Roman" w:eastAsia="Times New Roman" w:cs="Times New Roman"/>
                      <w:color w:val="auto"/>
                      <w:spacing w:val="20"/>
                      <w:sz w:val="21"/>
                      <w:szCs w:val="21"/>
                    </w:rPr>
                    <w:t>3.</w:t>
                  </w:r>
                  <w:r>
                    <w:rPr>
                      <w:rFonts w:ascii="宋体" w:hAnsi="宋体" w:eastAsia="宋体" w:cs="宋体"/>
                      <w:color w:val="auto"/>
                      <w:spacing w:val="20"/>
                      <w:sz w:val="21"/>
                      <w:szCs w:val="21"/>
                    </w:rPr>
                    <w:t>将燃着的木条分别插入一个盛空气的集气瓶和一</w:t>
                  </w:r>
                  <w:r>
                    <w:rPr>
                      <w:rFonts w:ascii="宋体" w:hAnsi="宋体" w:eastAsia="宋体" w:cs="宋体"/>
                      <w:color w:val="auto"/>
                      <w:spacing w:val="9"/>
                      <w:sz w:val="21"/>
                      <w:szCs w:val="21"/>
                    </w:rPr>
                    <w:t>个盛呼出气体的集气瓶中</w:t>
                  </w:r>
                  <w:r>
                    <w:rPr>
                      <w:rFonts w:hint="eastAsia" w:ascii="宋体" w:hAnsi="宋体" w:eastAsia="宋体" w:cs="宋体"/>
                      <w:color w:val="auto"/>
                      <w:spacing w:val="9"/>
                      <w:sz w:val="21"/>
                      <w:szCs w:val="21"/>
                      <w:lang w:eastAsia="zh-CN"/>
                    </w:rPr>
                    <w:t>。</w:t>
                  </w:r>
                </w:p>
                <w:p w14:paraId="7628C1E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宋体" w:hAnsi="宋体" w:eastAsia="宋体" w:cs="宋体"/>
                      <w:color w:val="auto"/>
                      <w:sz w:val="21"/>
                      <w:szCs w:val="21"/>
                      <w:lang w:eastAsia="zh-CN"/>
                    </w:rPr>
                  </w:pPr>
                  <w:r>
                    <w:rPr>
                      <w:rFonts w:ascii="Times New Roman" w:hAnsi="Times New Roman" w:eastAsia="Times New Roman" w:cs="Times New Roman"/>
                      <w:color w:val="auto"/>
                      <w:spacing w:val="17"/>
                      <w:sz w:val="21"/>
                      <w:szCs w:val="21"/>
                    </w:rPr>
                    <w:t>4.</w:t>
                  </w:r>
                  <w:r>
                    <w:rPr>
                      <w:rFonts w:ascii="宋体" w:hAnsi="宋体" w:eastAsia="宋体" w:cs="宋体"/>
                      <w:color w:val="auto"/>
                      <w:spacing w:val="17"/>
                      <w:sz w:val="21"/>
                      <w:szCs w:val="21"/>
                    </w:rPr>
                    <w:t>向一瓶空气样品和一瓶</w:t>
                  </w:r>
                  <w:r>
                    <w:rPr>
                      <w:rFonts w:ascii="宋体" w:hAnsi="宋体" w:eastAsia="宋体" w:cs="宋体"/>
                      <w:color w:val="auto"/>
                      <w:spacing w:val="20"/>
                      <w:sz w:val="21"/>
                      <w:szCs w:val="21"/>
                    </w:rPr>
                    <w:t>呼出气体的样品中各滴入</w:t>
                  </w:r>
                  <w:r>
                    <w:rPr>
                      <w:rFonts w:ascii="宋体" w:hAnsi="宋体" w:eastAsia="宋体" w:cs="宋体"/>
                      <w:color w:val="auto"/>
                      <w:spacing w:val="2"/>
                      <w:sz w:val="21"/>
                      <w:szCs w:val="21"/>
                    </w:rPr>
                    <w:t>相同滴数的澄清石灰水，振</w:t>
                  </w:r>
                  <w:r>
                    <w:rPr>
                      <w:rFonts w:ascii="宋体" w:hAnsi="宋体" w:eastAsia="宋体" w:cs="宋体"/>
                      <w:color w:val="auto"/>
                      <w:sz w:val="21"/>
                      <w:szCs w:val="21"/>
                    </w:rPr>
                    <w:t>荡</w:t>
                  </w:r>
                  <w:r>
                    <w:rPr>
                      <w:rFonts w:hint="eastAsia" w:ascii="宋体" w:hAnsi="宋体" w:eastAsia="宋体" w:cs="宋体"/>
                      <w:color w:val="auto"/>
                      <w:sz w:val="21"/>
                      <w:szCs w:val="21"/>
                      <w:lang w:eastAsia="zh-CN"/>
                    </w:rPr>
                    <w:t>。</w:t>
                  </w:r>
                </w:p>
                <w:p w14:paraId="1168323A">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宋体" w:hAnsi="宋体" w:eastAsia="宋体" w:cs="宋体"/>
                      <w:color w:val="auto"/>
                      <w:sz w:val="21"/>
                      <w:szCs w:val="21"/>
                      <w:lang w:eastAsia="zh-CN"/>
                    </w:rPr>
                  </w:pPr>
                  <w:r>
                    <w:rPr>
                      <w:rFonts w:ascii="Times New Roman" w:hAnsi="Times New Roman" w:eastAsia="Times New Roman" w:cs="Times New Roman"/>
                      <w:color w:val="auto"/>
                      <w:spacing w:val="5"/>
                      <w:sz w:val="21"/>
                      <w:szCs w:val="21"/>
                    </w:rPr>
                    <w:t>5.</w:t>
                  </w:r>
                  <w:r>
                    <w:rPr>
                      <w:rFonts w:ascii="宋体" w:hAnsi="宋体" w:eastAsia="宋体" w:cs="宋体"/>
                      <w:color w:val="auto"/>
                      <w:spacing w:val="5"/>
                      <w:sz w:val="21"/>
                      <w:szCs w:val="21"/>
                    </w:rPr>
                    <w:t>取两块干燥的玻璃片，对</w:t>
                  </w:r>
                  <w:r>
                    <w:rPr>
                      <w:rFonts w:ascii="宋体" w:hAnsi="宋体" w:eastAsia="宋体" w:cs="宋体"/>
                      <w:color w:val="auto"/>
                      <w:spacing w:val="8"/>
                      <w:sz w:val="21"/>
                      <w:szCs w:val="21"/>
                    </w:rPr>
                    <w:t>着其中一块哈气</w:t>
                  </w:r>
                  <w:r>
                    <w:rPr>
                      <w:rFonts w:hint="eastAsia" w:ascii="宋体" w:hAnsi="宋体" w:eastAsia="宋体" w:cs="宋体"/>
                      <w:color w:val="auto"/>
                      <w:spacing w:val="8"/>
                      <w:sz w:val="21"/>
                      <w:szCs w:val="21"/>
                      <w:lang w:eastAsia="zh-CN"/>
                    </w:rPr>
                    <w:t>。</w:t>
                  </w:r>
                </w:p>
              </w:tc>
              <w:tc>
                <w:tcPr>
                  <w:tcW w:w="856" w:type="pct"/>
                  <w:tcBorders>
                    <w:tl2br w:val="nil"/>
                    <w:tr2bl w:val="nil"/>
                  </w:tcBorders>
                  <w:vAlign w:val="center"/>
                </w:tcPr>
                <w:p w14:paraId="602B5DE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水、澄清石灰</w:t>
                  </w:r>
                  <w:r>
                    <w:rPr>
                      <w:rFonts w:ascii="宋体" w:hAnsi="宋体" w:eastAsia="宋体" w:cs="宋体"/>
                      <w:color w:val="auto"/>
                      <w:sz w:val="21"/>
                      <w:szCs w:val="21"/>
                    </w:rPr>
                    <w:t>水</w:t>
                  </w:r>
                </w:p>
              </w:tc>
              <w:tc>
                <w:tcPr>
                  <w:tcW w:w="675" w:type="pct"/>
                  <w:tcBorders>
                    <w:tl2br w:val="nil"/>
                    <w:tr2bl w:val="nil"/>
                  </w:tcBorders>
                  <w:vAlign w:val="center"/>
                </w:tcPr>
                <w:p w14:paraId="2264379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集气瓶、</w:t>
                  </w:r>
                  <w:r>
                    <w:rPr>
                      <w:rFonts w:ascii="宋体" w:hAnsi="宋体" w:eastAsia="宋体" w:cs="宋体"/>
                      <w:color w:val="auto"/>
                      <w:spacing w:val="6"/>
                      <w:sz w:val="21"/>
                      <w:szCs w:val="21"/>
                    </w:rPr>
                    <w:t>水槽、胶</w:t>
                  </w:r>
                  <w:r>
                    <w:rPr>
                      <w:rFonts w:ascii="宋体" w:hAnsi="宋体" w:eastAsia="宋体" w:cs="宋体"/>
                      <w:color w:val="auto"/>
                      <w:spacing w:val="4"/>
                      <w:sz w:val="21"/>
                      <w:szCs w:val="21"/>
                    </w:rPr>
                    <w:t>头滴管、</w:t>
                  </w:r>
                  <w:r>
                    <w:rPr>
                      <w:rFonts w:ascii="宋体" w:hAnsi="宋体" w:eastAsia="宋体" w:cs="宋体"/>
                      <w:color w:val="auto"/>
                      <w:spacing w:val="8"/>
                      <w:sz w:val="21"/>
                      <w:szCs w:val="21"/>
                    </w:rPr>
                    <w:t>火柴、吸</w:t>
                  </w:r>
                  <w:r>
                    <w:rPr>
                      <w:rFonts w:ascii="宋体" w:hAnsi="宋体" w:eastAsia="宋体" w:cs="宋体"/>
                      <w:color w:val="auto"/>
                      <w:spacing w:val="6"/>
                      <w:sz w:val="21"/>
                      <w:szCs w:val="21"/>
                    </w:rPr>
                    <w:t>管、玻璃</w:t>
                  </w:r>
                  <w:r>
                    <w:rPr>
                      <w:rFonts w:ascii="宋体" w:hAnsi="宋体" w:eastAsia="宋体" w:cs="宋体"/>
                      <w:color w:val="auto"/>
                      <w:sz w:val="21"/>
                      <w:szCs w:val="21"/>
                    </w:rPr>
                    <w:t>片</w:t>
                  </w:r>
                </w:p>
              </w:tc>
              <w:tc>
                <w:tcPr>
                  <w:tcW w:w="537" w:type="pct"/>
                  <w:tcBorders>
                    <w:tl2br w:val="nil"/>
                    <w:tr2bl w:val="nil"/>
                  </w:tcBorders>
                  <w:vAlign w:val="center"/>
                </w:tcPr>
                <w:p w14:paraId="66194FC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教师</w:t>
                  </w:r>
                  <w:r>
                    <w:rPr>
                      <w:rFonts w:ascii="宋体" w:hAnsi="宋体" w:eastAsia="宋体" w:cs="宋体"/>
                      <w:color w:val="auto"/>
                      <w:spacing w:val="4"/>
                      <w:sz w:val="21"/>
                      <w:szCs w:val="21"/>
                    </w:rPr>
                    <w:t>演示</w:t>
                  </w:r>
                </w:p>
              </w:tc>
            </w:tr>
            <w:tr w14:paraId="071B33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79FD70D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29</w:t>
                  </w:r>
                </w:p>
              </w:tc>
              <w:tc>
                <w:tcPr>
                  <w:tcW w:w="690" w:type="pct"/>
                  <w:tcBorders>
                    <w:tl2br w:val="nil"/>
                    <w:tr2bl w:val="nil"/>
                  </w:tcBorders>
                  <w:vAlign w:val="center"/>
                </w:tcPr>
                <w:p w14:paraId="44F2C5F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观察肾脏</w:t>
                  </w:r>
                </w:p>
              </w:tc>
              <w:tc>
                <w:tcPr>
                  <w:tcW w:w="1769" w:type="pct"/>
                  <w:tcBorders>
                    <w:tl2br w:val="nil"/>
                    <w:tr2bl w:val="nil"/>
                  </w:tcBorders>
                  <w:vAlign w:val="center"/>
                </w:tcPr>
                <w:p w14:paraId="7492F6F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宋体" w:hAnsi="宋体" w:eastAsia="宋体" w:cs="宋体"/>
                      <w:color w:val="auto"/>
                      <w:spacing w:val="8"/>
                      <w:sz w:val="21"/>
                      <w:szCs w:val="21"/>
                    </w:rPr>
                    <w:t>观察肾脏模型</w:t>
                  </w:r>
                </w:p>
              </w:tc>
              <w:tc>
                <w:tcPr>
                  <w:tcW w:w="856" w:type="pct"/>
                  <w:tcBorders>
                    <w:tl2br w:val="nil"/>
                    <w:tr2bl w:val="nil"/>
                  </w:tcBorders>
                  <w:vAlign w:val="center"/>
                </w:tcPr>
                <w:p w14:paraId="4906A6D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675" w:type="pct"/>
                  <w:tcBorders>
                    <w:tl2br w:val="nil"/>
                    <w:tr2bl w:val="nil"/>
                  </w:tcBorders>
                  <w:vAlign w:val="center"/>
                </w:tcPr>
                <w:p w14:paraId="65F077F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肾脏模型</w:t>
                  </w:r>
                </w:p>
              </w:tc>
              <w:tc>
                <w:tcPr>
                  <w:tcW w:w="537" w:type="pct"/>
                  <w:tcBorders>
                    <w:tl2br w:val="nil"/>
                    <w:tr2bl w:val="nil"/>
                  </w:tcBorders>
                  <w:vAlign w:val="center"/>
                </w:tcPr>
                <w:p w14:paraId="58FB40D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p>
                <w:p w14:paraId="6F8A4DD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操作</w:t>
                  </w:r>
                </w:p>
              </w:tc>
            </w:tr>
            <w:tr w14:paraId="6DD486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2CFC433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30</w:t>
                  </w:r>
                </w:p>
              </w:tc>
              <w:tc>
                <w:tcPr>
                  <w:tcW w:w="690" w:type="pct"/>
                  <w:tcBorders>
                    <w:tl2br w:val="nil"/>
                    <w:tr2bl w:val="nil"/>
                  </w:tcBorders>
                  <w:vAlign w:val="center"/>
                </w:tcPr>
                <w:p w14:paraId="67DC388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观察皮肤</w:t>
                  </w:r>
                  <w:r>
                    <w:rPr>
                      <w:rFonts w:ascii="宋体" w:hAnsi="宋体" w:eastAsia="宋体" w:cs="宋体"/>
                      <w:color w:val="auto"/>
                      <w:spacing w:val="1"/>
                      <w:sz w:val="21"/>
                      <w:szCs w:val="21"/>
                    </w:rPr>
                    <w:t>的结构</w:t>
                  </w:r>
                </w:p>
              </w:tc>
              <w:tc>
                <w:tcPr>
                  <w:tcW w:w="1769" w:type="pct"/>
                  <w:tcBorders>
                    <w:tl2br w:val="nil"/>
                    <w:tr2bl w:val="nil"/>
                  </w:tcBorders>
                  <w:vAlign w:val="center"/>
                </w:tcPr>
                <w:p w14:paraId="4B78043A">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宋体" w:hAnsi="宋体" w:eastAsia="宋体" w:cs="宋体"/>
                      <w:color w:val="auto"/>
                      <w:sz w:val="21"/>
                      <w:szCs w:val="21"/>
                      <w:lang w:val="en-US" w:eastAsia="zh-CN"/>
                    </w:rPr>
                  </w:pPr>
                  <w:r>
                    <w:rPr>
                      <w:rFonts w:ascii="Times New Roman" w:hAnsi="Times New Roman" w:eastAsia="Times New Roman" w:cs="Times New Roman"/>
                      <w:color w:val="auto"/>
                      <w:spacing w:val="18"/>
                      <w:sz w:val="21"/>
                      <w:szCs w:val="21"/>
                    </w:rPr>
                    <w:t>1.</w:t>
                  </w:r>
                  <w:r>
                    <w:rPr>
                      <w:rFonts w:ascii="宋体" w:hAnsi="宋体" w:eastAsia="宋体" w:cs="宋体"/>
                      <w:color w:val="auto"/>
                      <w:spacing w:val="18"/>
                      <w:sz w:val="21"/>
                      <w:szCs w:val="21"/>
                    </w:rPr>
                    <w:t>学生观察显微镜下皮肤</w:t>
                  </w:r>
                  <w:r>
                    <w:rPr>
                      <w:rFonts w:ascii="宋体" w:hAnsi="宋体" w:eastAsia="宋体" w:cs="宋体"/>
                      <w:color w:val="auto"/>
                      <w:spacing w:val="3"/>
                      <w:sz w:val="21"/>
                      <w:szCs w:val="21"/>
                    </w:rPr>
                    <w:t>切片，</w:t>
                  </w:r>
                  <w:r>
                    <w:rPr>
                      <w:rFonts w:ascii="宋体" w:hAnsi="宋体" w:eastAsia="宋体" w:cs="宋体"/>
                      <w:color w:val="auto"/>
                      <w:spacing w:val="20"/>
                      <w:sz w:val="21"/>
                      <w:szCs w:val="21"/>
                    </w:rPr>
                    <w:t>获得有关皮肤结构的感性</w:t>
                  </w:r>
                  <w:r>
                    <w:rPr>
                      <w:rFonts w:hint="eastAsia" w:ascii="宋体" w:hAnsi="宋体" w:eastAsia="宋体" w:cs="宋体"/>
                      <w:color w:val="auto"/>
                      <w:spacing w:val="20"/>
                      <w:sz w:val="21"/>
                      <w:szCs w:val="21"/>
                      <w:lang w:val="en-US" w:eastAsia="zh-CN"/>
                    </w:rPr>
                    <w:t>认识</w:t>
                  </w:r>
                </w:p>
                <w:p w14:paraId="52937B76">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21"/>
                      <w:sz w:val="21"/>
                      <w:szCs w:val="21"/>
                    </w:rPr>
                    <w:t>2.</w:t>
                  </w:r>
                  <w:r>
                    <w:rPr>
                      <w:rFonts w:ascii="宋体" w:hAnsi="宋体" w:eastAsia="宋体" w:cs="宋体"/>
                      <w:color w:val="auto"/>
                      <w:spacing w:val="21"/>
                      <w:sz w:val="21"/>
                      <w:szCs w:val="21"/>
                    </w:rPr>
                    <w:t>对照大屏幕上皮肤构造</w:t>
                  </w:r>
                  <w:r>
                    <w:rPr>
                      <w:rFonts w:ascii="宋体" w:hAnsi="宋体" w:eastAsia="宋体" w:cs="宋体"/>
                      <w:color w:val="auto"/>
                      <w:spacing w:val="7"/>
                      <w:sz w:val="21"/>
                      <w:szCs w:val="21"/>
                    </w:rPr>
                    <w:t>图，辨别皮肤各组成部分</w:t>
                  </w:r>
                </w:p>
              </w:tc>
              <w:tc>
                <w:tcPr>
                  <w:tcW w:w="856" w:type="pct"/>
                  <w:tcBorders>
                    <w:tl2br w:val="nil"/>
                    <w:tr2bl w:val="nil"/>
                  </w:tcBorders>
                  <w:vAlign w:val="center"/>
                </w:tcPr>
                <w:p w14:paraId="3E7D369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皮肤切片</w:t>
                  </w:r>
                </w:p>
              </w:tc>
              <w:tc>
                <w:tcPr>
                  <w:tcW w:w="675" w:type="pct"/>
                  <w:tcBorders>
                    <w:tl2br w:val="nil"/>
                    <w:tr2bl w:val="nil"/>
                  </w:tcBorders>
                  <w:vAlign w:val="center"/>
                </w:tcPr>
                <w:p w14:paraId="7F98E76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显微镜</w:t>
                  </w:r>
                </w:p>
              </w:tc>
              <w:tc>
                <w:tcPr>
                  <w:tcW w:w="537" w:type="pct"/>
                  <w:tcBorders>
                    <w:tl2br w:val="nil"/>
                    <w:tr2bl w:val="nil"/>
                  </w:tcBorders>
                  <w:vAlign w:val="center"/>
                </w:tcPr>
                <w:p w14:paraId="073DC7D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726F1B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517DF08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31</w:t>
                  </w:r>
                </w:p>
              </w:tc>
              <w:tc>
                <w:tcPr>
                  <w:tcW w:w="690" w:type="pct"/>
                  <w:tcBorders>
                    <w:tl2br w:val="nil"/>
                    <w:tr2bl w:val="nil"/>
                  </w:tcBorders>
                  <w:vAlign w:val="center"/>
                </w:tcPr>
                <w:p w14:paraId="2947F16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人体神经系统整体形态和结构组成</w:t>
                  </w:r>
                </w:p>
              </w:tc>
              <w:tc>
                <w:tcPr>
                  <w:tcW w:w="1769" w:type="pct"/>
                  <w:tcBorders>
                    <w:tl2br w:val="nil"/>
                    <w:tr2bl w:val="nil"/>
                  </w:tcBorders>
                  <w:vAlign w:val="center"/>
                </w:tcPr>
                <w:p w14:paraId="24A12E37">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宋体" w:hAnsi="宋体" w:eastAsia="宋体" w:cs="宋体"/>
                      <w:color w:val="auto"/>
                      <w:spacing w:val="8"/>
                      <w:sz w:val="21"/>
                      <w:szCs w:val="21"/>
                    </w:rPr>
                    <w:t>观察人体模型</w:t>
                  </w:r>
                </w:p>
              </w:tc>
              <w:tc>
                <w:tcPr>
                  <w:tcW w:w="856" w:type="pct"/>
                  <w:tcBorders>
                    <w:tl2br w:val="nil"/>
                    <w:tr2bl w:val="nil"/>
                  </w:tcBorders>
                  <w:vAlign w:val="center"/>
                </w:tcPr>
                <w:p w14:paraId="2DE8F77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675" w:type="pct"/>
                  <w:tcBorders>
                    <w:tl2br w:val="nil"/>
                    <w:tr2bl w:val="nil"/>
                  </w:tcBorders>
                  <w:vAlign w:val="center"/>
                </w:tcPr>
                <w:p w14:paraId="1102582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人体模型</w:t>
                  </w:r>
                </w:p>
              </w:tc>
              <w:tc>
                <w:tcPr>
                  <w:tcW w:w="537" w:type="pct"/>
                  <w:tcBorders>
                    <w:tl2br w:val="nil"/>
                    <w:tr2bl w:val="nil"/>
                  </w:tcBorders>
                  <w:vAlign w:val="center"/>
                </w:tcPr>
                <w:p w14:paraId="5D8AACB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777A0B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44E2C58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32</w:t>
                  </w:r>
                </w:p>
              </w:tc>
              <w:tc>
                <w:tcPr>
                  <w:tcW w:w="690" w:type="pct"/>
                  <w:tcBorders>
                    <w:tl2br w:val="nil"/>
                    <w:tr2bl w:val="nil"/>
                  </w:tcBorders>
                  <w:vAlign w:val="center"/>
                </w:tcPr>
                <w:p w14:paraId="6799867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膝跳反射</w:t>
                  </w:r>
                </w:p>
              </w:tc>
              <w:tc>
                <w:tcPr>
                  <w:tcW w:w="1769" w:type="pct"/>
                  <w:tcBorders>
                    <w:tl2br w:val="nil"/>
                    <w:tr2bl w:val="nil"/>
                  </w:tcBorders>
                  <w:vAlign w:val="center"/>
                </w:tcPr>
                <w:p w14:paraId="555E7CD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宋体" w:hAnsi="宋体" w:eastAsia="宋体" w:cs="宋体"/>
                      <w:color w:val="auto"/>
                      <w:spacing w:val="20"/>
                      <w:sz w:val="21"/>
                      <w:szCs w:val="21"/>
                    </w:rPr>
                    <w:t>每两人一组，按照下列步</w:t>
                  </w:r>
                  <w:r>
                    <w:rPr>
                      <w:rFonts w:ascii="宋体" w:hAnsi="宋体" w:eastAsia="宋体" w:cs="宋体"/>
                      <w:color w:val="auto"/>
                      <w:spacing w:val="7"/>
                      <w:sz w:val="21"/>
                      <w:szCs w:val="21"/>
                    </w:rPr>
                    <w:t>骤，两人轮换实验。</w:t>
                  </w:r>
                </w:p>
                <w:p w14:paraId="7AF1B20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z w:val="21"/>
                      <w:szCs w:val="21"/>
                    </w:rPr>
                    <w:t>1</w:t>
                  </w:r>
                  <w:r>
                    <w:rPr>
                      <w:rFonts w:ascii="宋体" w:hAnsi="宋体" w:eastAsia="宋体" w:cs="宋体"/>
                      <w:color w:val="auto"/>
                      <w:sz w:val="21"/>
                      <w:szCs w:val="21"/>
                    </w:rPr>
                    <w:t>．实验准备</w:t>
                  </w:r>
                  <w:r>
                    <w:rPr>
                      <w:rFonts w:ascii="宋体" w:hAnsi="宋体" w:eastAsia="宋体" w:cs="宋体"/>
                      <w:color w:val="auto"/>
                      <w:spacing w:val="1"/>
                      <w:sz w:val="21"/>
                      <w:szCs w:val="21"/>
                    </w:rPr>
                    <w:t>被实验者坐在椅子上，让一</w:t>
                  </w:r>
                  <w:r>
                    <w:rPr>
                      <w:rFonts w:ascii="宋体" w:hAnsi="宋体" w:eastAsia="宋体" w:cs="宋体"/>
                      <w:color w:val="auto"/>
                      <w:spacing w:val="20"/>
                      <w:sz w:val="21"/>
                      <w:szCs w:val="21"/>
                    </w:rPr>
                    <w:t>条腿自然地搭在另一条腿</w:t>
                  </w:r>
                  <w:r>
                    <w:rPr>
                      <w:rFonts w:ascii="宋体" w:hAnsi="宋体" w:eastAsia="宋体" w:cs="宋体"/>
                      <w:color w:val="auto"/>
                      <w:spacing w:val="-1"/>
                      <w:sz w:val="21"/>
                      <w:szCs w:val="21"/>
                    </w:rPr>
                    <w:t>上。</w:t>
                  </w:r>
                </w:p>
                <w:p w14:paraId="17CE8156">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宋体" w:hAnsi="宋体" w:eastAsia="宋体" w:cs="宋体"/>
                      <w:color w:val="auto"/>
                      <w:sz w:val="21"/>
                      <w:szCs w:val="21"/>
                      <w:lang w:eastAsia="zh-CN"/>
                    </w:rPr>
                  </w:pPr>
                  <w:r>
                    <w:rPr>
                      <w:rFonts w:ascii="Times New Roman" w:hAnsi="Times New Roman" w:eastAsia="Times New Roman" w:cs="Times New Roman"/>
                      <w:color w:val="auto"/>
                      <w:spacing w:val="6"/>
                      <w:sz w:val="21"/>
                      <w:szCs w:val="21"/>
                    </w:rPr>
                    <w:t>2</w:t>
                  </w:r>
                  <w:r>
                    <w:rPr>
                      <w:rFonts w:ascii="Times New Roman" w:hAnsi="Times New Roman" w:eastAsia="Times New Roman" w:cs="Times New Roman"/>
                      <w:color w:val="auto"/>
                      <w:spacing w:val="-19"/>
                      <w:sz w:val="21"/>
                      <w:szCs w:val="21"/>
                    </w:rPr>
                    <w:t xml:space="preserve"> </w:t>
                  </w:r>
                  <w:r>
                    <w:rPr>
                      <w:rFonts w:ascii="宋体" w:hAnsi="宋体" w:eastAsia="宋体" w:cs="宋体"/>
                      <w:color w:val="auto"/>
                      <w:spacing w:val="6"/>
                      <w:sz w:val="21"/>
                      <w:szCs w:val="21"/>
                    </w:rPr>
                    <w:t>．叩击膝盖下位的韧带</w:t>
                  </w:r>
                  <w:r>
                    <w:rPr>
                      <w:rFonts w:hint="eastAsia" w:ascii="宋体" w:hAnsi="宋体" w:eastAsia="宋体" w:cs="宋体"/>
                      <w:color w:val="auto"/>
                      <w:spacing w:val="6"/>
                      <w:sz w:val="21"/>
                      <w:szCs w:val="21"/>
                      <w:lang w:eastAsia="zh-CN"/>
                    </w:rPr>
                    <w:t>。</w:t>
                  </w:r>
                </w:p>
                <w:p w14:paraId="5347177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20"/>
                      <w:sz w:val="21"/>
                      <w:szCs w:val="21"/>
                    </w:rPr>
                    <w:t>3.</w:t>
                  </w:r>
                  <w:r>
                    <w:rPr>
                      <w:rFonts w:ascii="Times New Roman" w:hAnsi="Times New Roman" w:eastAsia="Times New Roman" w:cs="Times New Roman"/>
                      <w:color w:val="auto"/>
                      <w:spacing w:val="-19"/>
                      <w:sz w:val="21"/>
                      <w:szCs w:val="21"/>
                    </w:rPr>
                    <w:t xml:space="preserve"> </w:t>
                  </w:r>
                  <w:r>
                    <w:rPr>
                      <w:rFonts w:ascii="宋体" w:hAnsi="宋体" w:eastAsia="宋体" w:cs="宋体"/>
                      <w:color w:val="auto"/>
                      <w:spacing w:val="20"/>
                      <w:sz w:val="21"/>
                      <w:szCs w:val="21"/>
                    </w:rPr>
                    <w:t>实验者用手掌内侧边缘快速地叩击被实验者上面</w:t>
                  </w:r>
                  <w:r>
                    <w:rPr>
                      <w:rFonts w:ascii="宋体" w:hAnsi="宋体" w:eastAsia="宋体" w:cs="宋体"/>
                      <w:color w:val="auto"/>
                      <w:spacing w:val="8"/>
                      <w:sz w:val="21"/>
                      <w:szCs w:val="21"/>
                    </w:rPr>
                    <w:t>那条腿的膝盖下位</w:t>
                  </w:r>
                  <w:r>
                    <w:rPr>
                      <w:rFonts w:ascii="宋体" w:hAnsi="宋体" w:eastAsia="宋体" w:cs="宋体"/>
                      <w:color w:val="auto"/>
                      <w:sz w:val="21"/>
                      <w:szCs w:val="21"/>
                    </w:rPr>
                    <w:t>的韧带，同时观察小腿的反应。</w:t>
                  </w:r>
                </w:p>
              </w:tc>
              <w:tc>
                <w:tcPr>
                  <w:tcW w:w="856" w:type="pct"/>
                  <w:tcBorders>
                    <w:tl2br w:val="nil"/>
                    <w:tr2bl w:val="nil"/>
                  </w:tcBorders>
                  <w:vAlign w:val="center"/>
                </w:tcPr>
                <w:p w14:paraId="25E00C1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675" w:type="pct"/>
                  <w:tcBorders>
                    <w:tl2br w:val="nil"/>
                    <w:tr2bl w:val="nil"/>
                  </w:tcBorders>
                  <w:vAlign w:val="center"/>
                </w:tcPr>
                <w:p w14:paraId="5C8EAC6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537" w:type="pct"/>
                  <w:tcBorders>
                    <w:tl2br w:val="nil"/>
                    <w:tr2bl w:val="nil"/>
                  </w:tcBorders>
                  <w:vAlign w:val="center"/>
                </w:tcPr>
                <w:p w14:paraId="7224968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3EA275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2BB2E66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33</w:t>
                  </w:r>
                </w:p>
              </w:tc>
              <w:tc>
                <w:tcPr>
                  <w:tcW w:w="690" w:type="pct"/>
                  <w:tcBorders>
                    <w:tl2br w:val="nil"/>
                    <w:tr2bl w:val="nil"/>
                  </w:tcBorders>
                  <w:vAlign w:val="center"/>
                </w:tcPr>
                <w:p w14:paraId="4782A58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测定反应</w:t>
                  </w:r>
                  <w:r>
                    <w:rPr>
                      <w:rFonts w:ascii="宋体" w:hAnsi="宋体" w:eastAsia="宋体" w:cs="宋体"/>
                      <w:color w:val="auto"/>
                      <w:spacing w:val="5"/>
                      <w:sz w:val="21"/>
                      <w:szCs w:val="21"/>
                    </w:rPr>
                    <w:t>速度</w:t>
                  </w:r>
                </w:p>
              </w:tc>
              <w:tc>
                <w:tcPr>
                  <w:tcW w:w="1769" w:type="pct"/>
                  <w:tcBorders>
                    <w:tl2br w:val="nil"/>
                    <w:tr2bl w:val="nil"/>
                  </w:tcBorders>
                  <w:vAlign w:val="center"/>
                </w:tcPr>
                <w:p w14:paraId="766618B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9"/>
                      <w:sz w:val="21"/>
                      <w:szCs w:val="21"/>
                    </w:rPr>
                    <w:t>1.</w:t>
                  </w:r>
                  <w:r>
                    <w:rPr>
                      <w:rFonts w:ascii="宋体" w:hAnsi="宋体" w:eastAsia="宋体" w:cs="宋体"/>
                      <w:color w:val="auto"/>
                      <w:spacing w:val="9"/>
                      <w:sz w:val="21"/>
                      <w:szCs w:val="21"/>
                    </w:rPr>
                    <w:t>让甲同学拿着尺子的</w:t>
                  </w:r>
                  <w:r>
                    <w:rPr>
                      <w:rFonts w:ascii="Times New Roman" w:hAnsi="Times New Roman" w:eastAsia="Times New Roman" w:cs="Times New Roman"/>
                      <w:color w:val="auto"/>
                      <w:spacing w:val="9"/>
                      <w:sz w:val="21"/>
                      <w:szCs w:val="21"/>
                    </w:rPr>
                    <w:t>“0”</w:t>
                  </w:r>
                  <w:r>
                    <w:rPr>
                      <w:rFonts w:ascii="宋体" w:hAnsi="宋体" w:eastAsia="宋体" w:cs="宋体"/>
                      <w:color w:val="auto"/>
                      <w:spacing w:val="1"/>
                      <w:sz w:val="21"/>
                      <w:szCs w:val="21"/>
                    </w:rPr>
                    <w:t>刻度上，并把胳膊肘放在桌子上，手腕抬高，乙同学把</w:t>
                  </w:r>
                  <w:r>
                    <w:rPr>
                      <w:rFonts w:ascii="宋体" w:hAnsi="宋体" w:eastAsia="宋体" w:cs="宋体"/>
                      <w:color w:val="auto"/>
                      <w:spacing w:val="11"/>
                      <w:sz w:val="21"/>
                      <w:szCs w:val="21"/>
                    </w:rPr>
                    <w:t>手放在尺子下大约</w:t>
                  </w:r>
                  <w:r>
                    <w:rPr>
                      <w:rFonts w:ascii="Times New Roman" w:hAnsi="Times New Roman" w:eastAsia="Times New Roman" w:cs="Times New Roman"/>
                      <w:color w:val="auto"/>
                      <w:spacing w:val="11"/>
                      <w:sz w:val="21"/>
                      <w:szCs w:val="21"/>
                    </w:rPr>
                    <w:t>20</w:t>
                  </w:r>
                  <w:r>
                    <w:rPr>
                      <w:rFonts w:ascii="宋体" w:hAnsi="宋体" w:eastAsia="宋体" w:cs="宋体"/>
                      <w:color w:val="auto"/>
                      <w:spacing w:val="11"/>
                      <w:sz w:val="21"/>
                      <w:szCs w:val="21"/>
                    </w:rPr>
                    <w:t>厘米</w:t>
                  </w:r>
                  <w:r>
                    <w:rPr>
                      <w:rFonts w:ascii="宋体" w:hAnsi="宋体" w:eastAsia="宋体" w:cs="宋体"/>
                      <w:color w:val="auto"/>
                      <w:spacing w:val="2"/>
                      <w:sz w:val="21"/>
                      <w:szCs w:val="21"/>
                    </w:rPr>
                    <w:t>处，伸出大拇指和食指，聚</w:t>
                  </w:r>
                  <w:r>
                    <w:rPr>
                      <w:rFonts w:ascii="宋体" w:hAnsi="宋体" w:eastAsia="宋体" w:cs="宋体"/>
                      <w:color w:val="auto"/>
                      <w:spacing w:val="8"/>
                      <w:sz w:val="21"/>
                      <w:szCs w:val="21"/>
                    </w:rPr>
                    <w:t>精会神，准备接住尺子</w:t>
                  </w:r>
                  <w:r>
                    <w:rPr>
                      <w:rFonts w:ascii="Times New Roman" w:hAnsi="Times New Roman" w:eastAsia="Times New Roman" w:cs="Times New Roman"/>
                      <w:color w:val="auto"/>
                      <w:spacing w:val="8"/>
                      <w:sz w:val="21"/>
                      <w:szCs w:val="21"/>
                    </w:rPr>
                    <w:t>;</w:t>
                  </w:r>
                  <w:r>
                    <w:rPr>
                      <w:rFonts w:ascii="宋体" w:hAnsi="宋体" w:eastAsia="宋体" w:cs="宋体"/>
                      <w:color w:val="auto"/>
                      <w:spacing w:val="8"/>
                      <w:sz w:val="21"/>
                      <w:szCs w:val="21"/>
                    </w:rPr>
                    <w:t>丙</w:t>
                  </w:r>
                  <w:r>
                    <w:rPr>
                      <w:rFonts w:ascii="宋体" w:hAnsi="宋体" w:eastAsia="宋体" w:cs="宋体"/>
                      <w:color w:val="auto"/>
                      <w:spacing w:val="2"/>
                      <w:sz w:val="21"/>
                      <w:szCs w:val="21"/>
                    </w:rPr>
                    <w:t>同学发出指令，仔细观察尺</w:t>
                  </w:r>
                  <w:r>
                    <w:rPr>
                      <w:rFonts w:ascii="宋体" w:hAnsi="宋体" w:eastAsia="宋体" w:cs="宋体"/>
                      <w:color w:val="auto"/>
                      <w:spacing w:val="7"/>
                      <w:sz w:val="21"/>
                      <w:szCs w:val="21"/>
                    </w:rPr>
                    <w:t>子刻度并详细记录。</w:t>
                  </w:r>
                </w:p>
                <w:p w14:paraId="5D356E19">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10"/>
                      <w:sz w:val="21"/>
                      <w:szCs w:val="21"/>
                    </w:rPr>
                    <w:t>2.</w:t>
                  </w:r>
                  <w:r>
                    <w:rPr>
                      <w:rFonts w:ascii="宋体" w:hAnsi="宋体" w:eastAsia="宋体" w:cs="宋体"/>
                      <w:color w:val="auto"/>
                      <w:spacing w:val="10"/>
                      <w:sz w:val="21"/>
                      <w:szCs w:val="21"/>
                    </w:rPr>
                    <w:t>让甲同学拿着尺子的</w:t>
                  </w:r>
                  <w:r>
                    <w:rPr>
                      <w:rFonts w:ascii="Times New Roman" w:hAnsi="Times New Roman" w:eastAsia="Times New Roman" w:cs="Times New Roman"/>
                      <w:color w:val="auto"/>
                      <w:spacing w:val="10"/>
                      <w:sz w:val="21"/>
                      <w:szCs w:val="21"/>
                    </w:rPr>
                    <w:t>“0”</w:t>
                  </w:r>
                  <w:r>
                    <w:rPr>
                      <w:rFonts w:ascii="宋体" w:hAnsi="宋体" w:eastAsia="宋体" w:cs="宋体"/>
                      <w:color w:val="auto"/>
                      <w:spacing w:val="1"/>
                      <w:sz w:val="21"/>
                      <w:szCs w:val="21"/>
                    </w:rPr>
                    <w:t>刻度上，同样把胳膊肘放在</w:t>
                  </w:r>
                  <w:r>
                    <w:rPr>
                      <w:rFonts w:ascii="宋体" w:hAnsi="宋体" w:eastAsia="宋体" w:cs="宋体"/>
                      <w:color w:val="auto"/>
                      <w:spacing w:val="2"/>
                      <w:sz w:val="21"/>
                      <w:szCs w:val="21"/>
                    </w:rPr>
                    <w:t>桌子抬高，甲同学故意讲笑话干扰乙同学，丙同学发出指令，仔细观察尺子刻度并</w:t>
                  </w:r>
                  <w:r>
                    <w:rPr>
                      <w:rFonts w:ascii="宋体" w:hAnsi="宋体" w:eastAsia="宋体" w:cs="宋体"/>
                      <w:color w:val="auto"/>
                      <w:spacing w:val="5"/>
                      <w:sz w:val="21"/>
                      <w:szCs w:val="21"/>
                    </w:rPr>
                    <w:t>详细记录。</w:t>
                  </w:r>
                </w:p>
              </w:tc>
              <w:tc>
                <w:tcPr>
                  <w:tcW w:w="856" w:type="pct"/>
                  <w:tcBorders>
                    <w:tl2br w:val="nil"/>
                    <w:tr2bl w:val="nil"/>
                  </w:tcBorders>
                  <w:vAlign w:val="center"/>
                </w:tcPr>
                <w:p w14:paraId="120C879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675" w:type="pct"/>
                  <w:tcBorders>
                    <w:tl2br w:val="nil"/>
                    <w:tr2bl w:val="nil"/>
                  </w:tcBorders>
                  <w:vAlign w:val="center"/>
                </w:tcPr>
                <w:p w14:paraId="65BD767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尺子</w:t>
                  </w:r>
                </w:p>
              </w:tc>
              <w:tc>
                <w:tcPr>
                  <w:tcW w:w="537" w:type="pct"/>
                  <w:tcBorders>
                    <w:tl2br w:val="nil"/>
                    <w:tr2bl w:val="nil"/>
                  </w:tcBorders>
                  <w:vAlign w:val="center"/>
                </w:tcPr>
                <w:p w14:paraId="3E3C150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4E0E7C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7E2FB88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34</w:t>
                  </w:r>
                </w:p>
              </w:tc>
              <w:tc>
                <w:tcPr>
                  <w:tcW w:w="690" w:type="pct"/>
                  <w:tcBorders>
                    <w:tl2br w:val="nil"/>
                    <w:tr2bl w:val="nil"/>
                  </w:tcBorders>
                  <w:vAlign w:val="center"/>
                </w:tcPr>
                <w:p w14:paraId="4D33B41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探究蚂蚁</w:t>
                  </w:r>
                  <w:r>
                    <w:rPr>
                      <w:rFonts w:ascii="宋体" w:hAnsi="宋体" w:eastAsia="宋体" w:cs="宋体"/>
                      <w:color w:val="auto"/>
                      <w:spacing w:val="1"/>
                      <w:sz w:val="21"/>
                      <w:szCs w:val="21"/>
                    </w:rPr>
                    <w:t>的行为</w:t>
                  </w:r>
                  <w:r>
                    <w:rPr>
                      <w:rFonts w:ascii="宋体" w:hAnsi="宋体" w:eastAsia="宋体" w:cs="宋体"/>
                      <w:color w:val="auto"/>
                      <w:spacing w:val="2"/>
                      <w:sz w:val="21"/>
                      <w:szCs w:val="21"/>
                    </w:rPr>
                    <w:t>（通讯）</w:t>
                  </w:r>
                </w:p>
              </w:tc>
              <w:tc>
                <w:tcPr>
                  <w:tcW w:w="1769" w:type="pct"/>
                  <w:tcBorders>
                    <w:tl2br w:val="nil"/>
                    <w:tr2bl w:val="nil"/>
                  </w:tcBorders>
                  <w:vAlign w:val="center"/>
                </w:tcPr>
                <w:p w14:paraId="7DFEDB1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6"/>
                      <w:sz w:val="21"/>
                      <w:szCs w:val="21"/>
                    </w:rPr>
                    <w:t>1</w:t>
                  </w:r>
                  <w:r>
                    <w:rPr>
                      <w:rFonts w:ascii="Times New Roman" w:hAnsi="Times New Roman" w:eastAsia="Times New Roman" w:cs="Times New Roman"/>
                      <w:color w:val="auto"/>
                      <w:spacing w:val="-17"/>
                      <w:sz w:val="21"/>
                      <w:szCs w:val="21"/>
                    </w:rPr>
                    <w:t xml:space="preserve"> </w:t>
                  </w:r>
                  <w:r>
                    <w:rPr>
                      <w:rFonts w:ascii="宋体" w:hAnsi="宋体" w:eastAsia="宋体" w:cs="宋体"/>
                      <w:color w:val="auto"/>
                      <w:spacing w:val="6"/>
                      <w:sz w:val="21"/>
                      <w:szCs w:val="21"/>
                    </w:rPr>
                    <w:t>、把面包屑放在地面上，</w:t>
                  </w:r>
                  <w:r>
                    <w:rPr>
                      <w:rFonts w:ascii="宋体" w:hAnsi="宋体" w:eastAsia="宋体" w:cs="宋体"/>
                      <w:color w:val="auto"/>
                      <w:spacing w:val="2"/>
                      <w:sz w:val="21"/>
                      <w:szCs w:val="21"/>
                    </w:rPr>
                    <w:t>仔细观察，看看是否有一两</w:t>
                  </w:r>
                  <w:r>
                    <w:rPr>
                      <w:rFonts w:ascii="宋体" w:hAnsi="宋体" w:eastAsia="宋体" w:cs="宋体"/>
                      <w:color w:val="auto"/>
                      <w:spacing w:val="8"/>
                      <w:sz w:val="21"/>
                      <w:szCs w:val="21"/>
                    </w:rPr>
                    <w:t>只蚂蚁接近来侦</w:t>
                  </w:r>
                  <w:r>
                    <w:rPr>
                      <w:rFonts w:ascii="宋体" w:hAnsi="宋体" w:eastAsia="宋体" w:cs="宋体"/>
                      <w:color w:val="auto"/>
                      <w:spacing w:val="1"/>
                      <w:sz w:val="21"/>
                      <w:szCs w:val="21"/>
                    </w:rPr>
                    <w:t>察食物，要记住侦察蚁来的</w:t>
                  </w:r>
                  <w:r>
                    <w:rPr>
                      <w:rFonts w:ascii="宋体" w:hAnsi="宋体" w:eastAsia="宋体" w:cs="宋体"/>
                      <w:color w:val="auto"/>
                      <w:spacing w:val="6"/>
                      <w:sz w:val="21"/>
                      <w:szCs w:val="21"/>
                    </w:rPr>
                    <w:t>时候的毕经之路。</w:t>
                  </w:r>
                </w:p>
                <w:p w14:paraId="186FE8B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2"/>
                      <w:sz w:val="21"/>
                      <w:szCs w:val="21"/>
                    </w:rPr>
                    <w:t>2</w:t>
                  </w:r>
                  <w:r>
                    <w:rPr>
                      <w:rFonts w:ascii="Times New Roman" w:hAnsi="Times New Roman" w:eastAsia="Times New Roman" w:cs="Times New Roman"/>
                      <w:color w:val="auto"/>
                      <w:spacing w:val="-16"/>
                      <w:sz w:val="21"/>
                      <w:szCs w:val="21"/>
                    </w:rPr>
                    <w:t xml:space="preserve"> </w:t>
                  </w:r>
                  <w:r>
                    <w:rPr>
                      <w:rFonts w:ascii="宋体" w:hAnsi="宋体" w:eastAsia="宋体" w:cs="宋体"/>
                      <w:color w:val="auto"/>
                      <w:spacing w:val="2"/>
                      <w:sz w:val="21"/>
                      <w:szCs w:val="21"/>
                    </w:rPr>
                    <w:t>、等侦察蚁侦察完毕后，</w:t>
                  </w:r>
                  <w:r>
                    <w:rPr>
                      <w:rFonts w:ascii="宋体" w:hAnsi="宋体" w:eastAsia="宋体" w:cs="宋体"/>
                      <w:color w:val="auto"/>
                      <w:spacing w:val="9"/>
                      <w:sz w:val="21"/>
                      <w:szCs w:val="21"/>
                    </w:rPr>
                    <w:t>用多张小纸片事先铺满侦</w:t>
                  </w:r>
                  <w:r>
                    <w:rPr>
                      <w:rFonts w:ascii="宋体" w:hAnsi="宋体" w:eastAsia="宋体" w:cs="宋体"/>
                      <w:color w:val="auto"/>
                      <w:spacing w:val="7"/>
                      <w:sz w:val="21"/>
                      <w:szCs w:val="21"/>
                    </w:rPr>
                    <w:t>察蚁的毕经之路，</w:t>
                  </w:r>
                  <w:r>
                    <w:rPr>
                      <w:rFonts w:ascii="宋体" w:hAnsi="宋体" w:eastAsia="宋体" w:cs="宋体"/>
                      <w:color w:val="auto"/>
                      <w:spacing w:val="8"/>
                      <w:sz w:val="21"/>
                      <w:szCs w:val="21"/>
                    </w:rPr>
                    <w:t>然后跟着蚂蚁返回蚁穴。</w:t>
                  </w:r>
                </w:p>
                <w:p w14:paraId="5718BE9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6"/>
                      <w:sz w:val="21"/>
                      <w:szCs w:val="21"/>
                    </w:rPr>
                    <w:t>3</w:t>
                  </w:r>
                  <w:r>
                    <w:rPr>
                      <w:rFonts w:ascii="Times New Roman" w:hAnsi="Times New Roman" w:eastAsia="Times New Roman" w:cs="Times New Roman"/>
                      <w:color w:val="auto"/>
                      <w:spacing w:val="-18"/>
                      <w:sz w:val="21"/>
                      <w:szCs w:val="21"/>
                    </w:rPr>
                    <w:t xml:space="preserve"> </w:t>
                  </w:r>
                  <w:r>
                    <w:rPr>
                      <w:rFonts w:ascii="宋体" w:hAnsi="宋体" w:eastAsia="宋体" w:cs="宋体"/>
                      <w:color w:val="auto"/>
                      <w:spacing w:val="6"/>
                      <w:sz w:val="21"/>
                      <w:szCs w:val="21"/>
                    </w:rPr>
                    <w:t>、等到看见大批蚂蚁工蚁</w:t>
                  </w:r>
                  <w:r>
                    <w:rPr>
                      <w:rFonts w:ascii="宋体" w:hAnsi="宋体" w:eastAsia="宋体" w:cs="宋体"/>
                      <w:color w:val="auto"/>
                      <w:sz w:val="21"/>
                      <w:szCs w:val="21"/>
                    </w:rPr>
                    <w:t>出动要去搬食物的时候，返</w:t>
                  </w:r>
                  <w:r>
                    <w:rPr>
                      <w:rFonts w:ascii="宋体" w:hAnsi="宋体" w:eastAsia="宋体" w:cs="宋体"/>
                      <w:color w:val="auto"/>
                      <w:spacing w:val="6"/>
                      <w:sz w:val="21"/>
                      <w:szCs w:val="21"/>
                    </w:rPr>
                    <w:t>回放面包屑的地</w:t>
                  </w:r>
                </w:p>
                <w:p w14:paraId="6E5E33F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pacing w:val="2"/>
                      <w:sz w:val="21"/>
                      <w:szCs w:val="21"/>
                    </w:rPr>
                  </w:pPr>
                  <w:r>
                    <w:rPr>
                      <w:rFonts w:ascii="宋体" w:hAnsi="宋体" w:eastAsia="宋体" w:cs="宋体"/>
                      <w:color w:val="auto"/>
                      <w:spacing w:val="2"/>
                      <w:sz w:val="21"/>
                      <w:szCs w:val="21"/>
                    </w:rPr>
                    <w:t>方，将小纸片重新排列，排</w:t>
                  </w:r>
                  <w:r>
                    <w:rPr>
                      <w:rFonts w:ascii="宋体" w:hAnsi="宋体" w:eastAsia="宋体" w:cs="宋体"/>
                      <w:color w:val="auto"/>
                      <w:spacing w:val="8"/>
                      <w:sz w:val="21"/>
                      <w:szCs w:val="21"/>
                    </w:rPr>
                    <w:t>列成以面包屑为圆心的圆</w:t>
                  </w:r>
                  <w:r>
                    <w:rPr>
                      <w:rFonts w:ascii="宋体" w:hAnsi="宋体" w:eastAsia="宋体" w:cs="宋体"/>
                      <w:color w:val="auto"/>
                      <w:spacing w:val="-1"/>
                      <w:sz w:val="21"/>
                      <w:szCs w:val="21"/>
                    </w:rPr>
                    <w:t>形。</w:t>
                  </w:r>
                </w:p>
                <w:p w14:paraId="467F44D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6"/>
                      <w:sz w:val="21"/>
                      <w:szCs w:val="21"/>
                    </w:rPr>
                    <w:t>4</w:t>
                  </w:r>
                  <w:r>
                    <w:rPr>
                      <w:rFonts w:ascii="Times New Roman" w:hAnsi="Times New Roman" w:eastAsia="Times New Roman" w:cs="Times New Roman"/>
                      <w:color w:val="auto"/>
                      <w:spacing w:val="-25"/>
                      <w:sz w:val="21"/>
                      <w:szCs w:val="21"/>
                    </w:rPr>
                    <w:t xml:space="preserve"> </w:t>
                  </w:r>
                  <w:r>
                    <w:rPr>
                      <w:rFonts w:ascii="宋体" w:hAnsi="宋体" w:eastAsia="宋体" w:cs="宋体"/>
                      <w:color w:val="auto"/>
                      <w:spacing w:val="6"/>
                      <w:sz w:val="21"/>
                      <w:szCs w:val="21"/>
                    </w:rPr>
                    <w:t>、观察蚂蚁的行动</w:t>
                  </w:r>
                </w:p>
              </w:tc>
              <w:tc>
                <w:tcPr>
                  <w:tcW w:w="856" w:type="pct"/>
                  <w:tcBorders>
                    <w:tl2br w:val="nil"/>
                    <w:tr2bl w:val="nil"/>
                  </w:tcBorders>
                  <w:vAlign w:val="center"/>
                </w:tcPr>
                <w:p w14:paraId="28C1C6F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面包屑</w:t>
                  </w:r>
                </w:p>
              </w:tc>
              <w:tc>
                <w:tcPr>
                  <w:tcW w:w="675" w:type="pct"/>
                  <w:tcBorders>
                    <w:tl2br w:val="nil"/>
                    <w:tr2bl w:val="nil"/>
                  </w:tcBorders>
                  <w:vAlign w:val="center"/>
                </w:tcPr>
                <w:p w14:paraId="11F578D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537" w:type="pct"/>
                  <w:tcBorders>
                    <w:tl2br w:val="nil"/>
                    <w:tr2bl w:val="nil"/>
                  </w:tcBorders>
                  <w:vAlign w:val="center"/>
                </w:tcPr>
                <w:p w14:paraId="1CBEB64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教师</w:t>
                  </w:r>
                  <w:r>
                    <w:rPr>
                      <w:rFonts w:ascii="宋体" w:hAnsi="宋体" w:eastAsia="宋体" w:cs="宋体"/>
                      <w:color w:val="auto"/>
                      <w:spacing w:val="4"/>
                      <w:sz w:val="21"/>
                      <w:szCs w:val="21"/>
                    </w:rPr>
                    <w:t>演示</w:t>
                  </w:r>
                </w:p>
              </w:tc>
            </w:tr>
            <w:tr w14:paraId="427026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5E1B1B7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35</w:t>
                  </w:r>
                </w:p>
              </w:tc>
              <w:tc>
                <w:tcPr>
                  <w:tcW w:w="690" w:type="pct"/>
                  <w:tcBorders>
                    <w:tl2br w:val="nil"/>
                    <w:tr2bl w:val="nil"/>
                  </w:tcBorders>
                  <w:vAlign w:val="center"/>
                </w:tcPr>
                <w:p w14:paraId="3246485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观察和识</w:t>
                  </w:r>
                  <w:r>
                    <w:rPr>
                      <w:rFonts w:ascii="宋体" w:hAnsi="宋体" w:eastAsia="宋体" w:cs="宋体"/>
                      <w:color w:val="auto"/>
                      <w:spacing w:val="6"/>
                      <w:sz w:val="21"/>
                      <w:szCs w:val="21"/>
                    </w:rPr>
                    <w:t>别人的生殖系统</w:t>
                  </w:r>
                </w:p>
              </w:tc>
              <w:tc>
                <w:tcPr>
                  <w:tcW w:w="1769" w:type="pct"/>
                  <w:tcBorders>
                    <w:tl2br w:val="nil"/>
                    <w:tr2bl w:val="nil"/>
                  </w:tcBorders>
                  <w:vAlign w:val="center"/>
                </w:tcPr>
                <w:p w14:paraId="0375CCF9">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宋体" w:hAnsi="宋体" w:eastAsia="宋体" w:cs="宋体"/>
                      <w:color w:val="auto"/>
                      <w:spacing w:val="2"/>
                      <w:sz w:val="21"/>
                      <w:szCs w:val="21"/>
                    </w:rPr>
                    <w:t>观看人体模型，认识生殖系</w:t>
                  </w:r>
                  <w:r>
                    <w:rPr>
                      <w:rFonts w:ascii="宋体" w:hAnsi="宋体" w:eastAsia="宋体" w:cs="宋体"/>
                      <w:color w:val="auto"/>
                      <w:sz w:val="21"/>
                      <w:szCs w:val="21"/>
                    </w:rPr>
                    <w:t>统</w:t>
                  </w:r>
                </w:p>
              </w:tc>
              <w:tc>
                <w:tcPr>
                  <w:tcW w:w="856" w:type="pct"/>
                  <w:tcBorders>
                    <w:tl2br w:val="nil"/>
                    <w:tr2bl w:val="nil"/>
                  </w:tcBorders>
                  <w:vAlign w:val="center"/>
                </w:tcPr>
                <w:p w14:paraId="7EEF3CC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675" w:type="pct"/>
                  <w:tcBorders>
                    <w:tl2br w:val="nil"/>
                    <w:tr2bl w:val="nil"/>
                  </w:tcBorders>
                  <w:vAlign w:val="center"/>
                </w:tcPr>
                <w:p w14:paraId="5952051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人体模型</w:t>
                  </w:r>
                </w:p>
              </w:tc>
              <w:tc>
                <w:tcPr>
                  <w:tcW w:w="537" w:type="pct"/>
                  <w:tcBorders>
                    <w:tl2br w:val="nil"/>
                    <w:tr2bl w:val="nil"/>
                  </w:tcBorders>
                  <w:vAlign w:val="center"/>
                </w:tcPr>
                <w:p w14:paraId="00966BF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教师</w:t>
                  </w:r>
                  <w:r>
                    <w:rPr>
                      <w:rFonts w:ascii="宋体" w:hAnsi="宋体" w:eastAsia="宋体" w:cs="宋体"/>
                      <w:color w:val="auto"/>
                      <w:spacing w:val="4"/>
                      <w:sz w:val="21"/>
                      <w:szCs w:val="21"/>
                    </w:rPr>
                    <w:t>演示</w:t>
                  </w:r>
                </w:p>
              </w:tc>
            </w:tr>
            <w:tr w14:paraId="293AF4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2DE37E1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36</w:t>
                  </w:r>
                </w:p>
              </w:tc>
              <w:tc>
                <w:tcPr>
                  <w:tcW w:w="690" w:type="pct"/>
                  <w:tcBorders>
                    <w:tl2br w:val="nil"/>
                    <w:tr2bl w:val="nil"/>
                  </w:tcBorders>
                  <w:vAlign w:val="center"/>
                </w:tcPr>
                <w:p w14:paraId="2E07DAF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观察蝗虫及其生活</w:t>
                  </w:r>
                  <w:r>
                    <w:rPr>
                      <w:rFonts w:ascii="宋体" w:hAnsi="宋体" w:eastAsia="宋体" w:cs="宋体"/>
                      <w:color w:val="auto"/>
                      <w:spacing w:val="6"/>
                      <w:sz w:val="21"/>
                      <w:szCs w:val="21"/>
                    </w:rPr>
                    <w:t>史的标本</w:t>
                  </w:r>
                </w:p>
              </w:tc>
              <w:tc>
                <w:tcPr>
                  <w:tcW w:w="1769" w:type="pct"/>
                  <w:tcBorders>
                    <w:tl2br w:val="nil"/>
                    <w:tr2bl w:val="nil"/>
                  </w:tcBorders>
                  <w:vAlign w:val="center"/>
                </w:tcPr>
                <w:p w14:paraId="76BFA35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宋体" w:hAnsi="宋体" w:eastAsia="宋体" w:cs="宋体"/>
                      <w:color w:val="auto"/>
                      <w:spacing w:val="8"/>
                      <w:sz w:val="21"/>
                      <w:szCs w:val="21"/>
                    </w:rPr>
                    <w:t>观察蝗虫标本</w:t>
                  </w:r>
                </w:p>
              </w:tc>
              <w:tc>
                <w:tcPr>
                  <w:tcW w:w="856" w:type="pct"/>
                  <w:tcBorders>
                    <w:tl2br w:val="nil"/>
                    <w:tr2bl w:val="nil"/>
                  </w:tcBorders>
                  <w:vAlign w:val="center"/>
                </w:tcPr>
                <w:p w14:paraId="4EEC513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675" w:type="pct"/>
                  <w:tcBorders>
                    <w:tl2br w:val="nil"/>
                    <w:tr2bl w:val="nil"/>
                  </w:tcBorders>
                  <w:vAlign w:val="center"/>
                </w:tcPr>
                <w:p w14:paraId="350B98D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蝗虫标本</w:t>
                  </w:r>
                </w:p>
              </w:tc>
              <w:tc>
                <w:tcPr>
                  <w:tcW w:w="537" w:type="pct"/>
                  <w:tcBorders>
                    <w:tl2br w:val="nil"/>
                    <w:tr2bl w:val="nil"/>
                  </w:tcBorders>
                  <w:vAlign w:val="center"/>
                </w:tcPr>
                <w:p w14:paraId="5670869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教师</w:t>
                  </w:r>
                  <w:r>
                    <w:rPr>
                      <w:rFonts w:ascii="宋体" w:hAnsi="宋体" w:eastAsia="宋体" w:cs="宋体"/>
                      <w:color w:val="auto"/>
                      <w:spacing w:val="4"/>
                      <w:sz w:val="21"/>
                      <w:szCs w:val="21"/>
                    </w:rPr>
                    <w:t>演示</w:t>
                  </w:r>
                </w:p>
              </w:tc>
            </w:tr>
            <w:tr w14:paraId="58B13F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00CC760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37</w:t>
                  </w:r>
                </w:p>
              </w:tc>
              <w:tc>
                <w:tcPr>
                  <w:tcW w:w="690" w:type="pct"/>
                  <w:tcBorders>
                    <w:tl2br w:val="nil"/>
                    <w:tr2bl w:val="nil"/>
                  </w:tcBorders>
                  <w:vAlign w:val="center"/>
                </w:tcPr>
                <w:p w14:paraId="14FFA28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观察鸟卵</w:t>
                  </w:r>
                  <w:r>
                    <w:rPr>
                      <w:rFonts w:ascii="宋体" w:hAnsi="宋体" w:eastAsia="宋体" w:cs="宋体"/>
                      <w:color w:val="auto"/>
                      <w:spacing w:val="1"/>
                      <w:sz w:val="21"/>
                      <w:szCs w:val="21"/>
                    </w:rPr>
                    <w:t>的结构</w:t>
                  </w:r>
                </w:p>
              </w:tc>
              <w:tc>
                <w:tcPr>
                  <w:tcW w:w="1769" w:type="pct"/>
                  <w:tcBorders>
                    <w:tl2br w:val="nil"/>
                    <w:tr2bl w:val="nil"/>
                  </w:tcBorders>
                  <w:vAlign w:val="center"/>
                </w:tcPr>
                <w:p w14:paraId="72D9029A">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6"/>
                      <w:sz w:val="21"/>
                      <w:szCs w:val="21"/>
                    </w:rPr>
                    <w:t>1.</w:t>
                  </w:r>
                  <w:r>
                    <w:rPr>
                      <w:rFonts w:ascii="宋体" w:hAnsi="宋体" w:eastAsia="宋体" w:cs="宋体"/>
                      <w:color w:val="auto"/>
                      <w:spacing w:val="6"/>
                      <w:sz w:val="21"/>
                      <w:szCs w:val="21"/>
                    </w:rPr>
                    <w:t>用放大镜观察鸡蛋的外</w:t>
                  </w:r>
                  <w:r>
                    <w:rPr>
                      <w:rFonts w:ascii="宋体" w:hAnsi="宋体" w:eastAsia="宋体" w:cs="宋体"/>
                      <w:color w:val="auto"/>
                      <w:spacing w:val="3"/>
                      <w:sz w:val="21"/>
                      <w:szCs w:val="21"/>
                    </w:rPr>
                    <w:t>表面。</w:t>
                  </w:r>
                </w:p>
                <w:p w14:paraId="55966E7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7"/>
                      <w:sz w:val="21"/>
                      <w:szCs w:val="21"/>
                    </w:rPr>
                    <w:t>2.</w:t>
                  </w:r>
                  <w:r>
                    <w:rPr>
                      <w:rFonts w:ascii="宋体" w:hAnsi="宋体" w:eastAsia="宋体" w:cs="宋体"/>
                      <w:color w:val="auto"/>
                      <w:spacing w:val="7"/>
                      <w:sz w:val="21"/>
                      <w:szCs w:val="21"/>
                    </w:rPr>
                    <w:t>将鸡蛋放在温水中观察。</w:t>
                  </w:r>
                </w:p>
                <w:p w14:paraId="2BF2200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5"/>
                      <w:sz w:val="21"/>
                      <w:szCs w:val="21"/>
                    </w:rPr>
                    <w:t>3.</w:t>
                  </w:r>
                  <w:r>
                    <w:rPr>
                      <w:rFonts w:ascii="宋体" w:hAnsi="宋体" w:eastAsia="宋体" w:cs="宋体"/>
                      <w:color w:val="auto"/>
                      <w:spacing w:val="5"/>
                      <w:sz w:val="21"/>
                      <w:szCs w:val="21"/>
                    </w:rPr>
                    <w:t>将鸡蛋的钝端向上，用剪</w:t>
                  </w:r>
                  <w:r>
                    <w:rPr>
                      <w:rFonts w:ascii="宋体" w:hAnsi="宋体" w:eastAsia="宋体" w:cs="宋体"/>
                      <w:color w:val="auto"/>
                      <w:spacing w:val="2"/>
                      <w:sz w:val="21"/>
                      <w:szCs w:val="21"/>
                    </w:rPr>
                    <w:t>刀轻轻把蛋壳小心敲碎，再撕破外卵壳膜，观察鸟卵的</w:t>
                  </w:r>
                  <w:r>
                    <w:rPr>
                      <w:rFonts w:ascii="宋体" w:hAnsi="宋体" w:eastAsia="宋体" w:cs="宋体"/>
                      <w:color w:val="auto"/>
                      <w:spacing w:val="3"/>
                      <w:sz w:val="21"/>
                      <w:szCs w:val="21"/>
                    </w:rPr>
                    <w:t>结构。</w:t>
                  </w:r>
                </w:p>
              </w:tc>
              <w:tc>
                <w:tcPr>
                  <w:tcW w:w="856" w:type="pct"/>
                  <w:tcBorders>
                    <w:tl2br w:val="nil"/>
                    <w:tr2bl w:val="nil"/>
                  </w:tcBorders>
                  <w:vAlign w:val="center"/>
                </w:tcPr>
                <w:p w14:paraId="693007E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鸡蛋</w:t>
                  </w:r>
                </w:p>
              </w:tc>
              <w:tc>
                <w:tcPr>
                  <w:tcW w:w="675" w:type="pct"/>
                  <w:tcBorders>
                    <w:tl2br w:val="nil"/>
                    <w:tr2bl w:val="nil"/>
                  </w:tcBorders>
                  <w:vAlign w:val="center"/>
                </w:tcPr>
                <w:p w14:paraId="6BEEB58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剪刀、放</w:t>
                  </w:r>
                  <w:r>
                    <w:rPr>
                      <w:rFonts w:ascii="宋体" w:hAnsi="宋体" w:eastAsia="宋体" w:cs="宋体"/>
                      <w:color w:val="auto"/>
                      <w:spacing w:val="6"/>
                      <w:sz w:val="21"/>
                      <w:szCs w:val="21"/>
                    </w:rPr>
                    <w:t>大镜、镊</w:t>
                  </w:r>
                  <w:r>
                    <w:rPr>
                      <w:rFonts w:ascii="宋体" w:hAnsi="宋体" w:eastAsia="宋体" w:cs="宋体"/>
                      <w:color w:val="auto"/>
                      <w:sz w:val="21"/>
                      <w:szCs w:val="21"/>
                    </w:rPr>
                    <w:t>子</w:t>
                  </w:r>
                </w:p>
              </w:tc>
              <w:tc>
                <w:tcPr>
                  <w:tcW w:w="537" w:type="pct"/>
                  <w:tcBorders>
                    <w:tl2br w:val="nil"/>
                    <w:tr2bl w:val="nil"/>
                  </w:tcBorders>
                  <w:vAlign w:val="center"/>
                </w:tcPr>
                <w:p w14:paraId="578A414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0655A1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09BF79C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38</w:t>
                  </w:r>
                </w:p>
              </w:tc>
              <w:tc>
                <w:tcPr>
                  <w:tcW w:w="690" w:type="pct"/>
                  <w:tcBorders>
                    <w:tl2br w:val="nil"/>
                    <w:tr2bl w:val="nil"/>
                  </w:tcBorders>
                  <w:vAlign w:val="center"/>
                </w:tcPr>
                <w:p w14:paraId="541A29A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模拟精子和卵细胞</w:t>
                  </w:r>
                  <w:r>
                    <w:rPr>
                      <w:rFonts w:ascii="宋体" w:hAnsi="宋体" w:eastAsia="宋体" w:cs="宋体"/>
                      <w:color w:val="auto"/>
                      <w:spacing w:val="3"/>
                      <w:sz w:val="21"/>
                      <w:szCs w:val="21"/>
                    </w:rPr>
                    <w:t>的随机结</w:t>
                  </w:r>
                  <w:r>
                    <w:rPr>
                      <w:rFonts w:ascii="宋体" w:hAnsi="宋体" w:eastAsia="宋体" w:cs="宋体"/>
                      <w:color w:val="auto"/>
                      <w:sz w:val="21"/>
                      <w:szCs w:val="21"/>
                    </w:rPr>
                    <w:t>合</w:t>
                  </w:r>
                </w:p>
              </w:tc>
              <w:tc>
                <w:tcPr>
                  <w:tcW w:w="1769" w:type="pct"/>
                  <w:tcBorders>
                    <w:tl2br w:val="nil"/>
                    <w:tr2bl w:val="nil"/>
                  </w:tcBorders>
                  <w:vAlign w:val="center"/>
                </w:tcPr>
                <w:p w14:paraId="2D6A51F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5"/>
                      <w:sz w:val="21"/>
                      <w:szCs w:val="21"/>
                    </w:rPr>
                    <w:t>1.</w:t>
                  </w:r>
                  <w:r>
                    <w:rPr>
                      <w:rFonts w:ascii="宋体" w:hAnsi="宋体" w:eastAsia="宋体" w:cs="宋体"/>
                      <w:color w:val="auto"/>
                      <w:spacing w:val="5"/>
                      <w:sz w:val="21"/>
                      <w:szCs w:val="21"/>
                    </w:rPr>
                    <w:t>黑围棋子代表含丫染色</w:t>
                  </w:r>
                  <w:r>
                    <w:rPr>
                      <w:rFonts w:ascii="宋体" w:hAnsi="宋体" w:eastAsia="宋体" w:cs="宋体"/>
                      <w:color w:val="auto"/>
                      <w:spacing w:val="2"/>
                      <w:sz w:val="21"/>
                      <w:szCs w:val="21"/>
                    </w:rPr>
                    <w:t>体的精子，白围棋子代表含</w:t>
                  </w:r>
                  <w:r>
                    <w:rPr>
                      <w:rFonts w:ascii="Times New Roman" w:hAnsi="Times New Roman" w:eastAsia="Times New Roman" w:cs="Times New Roman"/>
                      <w:color w:val="auto"/>
                      <w:spacing w:val="6"/>
                      <w:sz w:val="21"/>
                      <w:szCs w:val="21"/>
                    </w:rPr>
                    <w:t>X</w:t>
                  </w:r>
                  <w:r>
                    <w:rPr>
                      <w:rFonts w:ascii="宋体" w:hAnsi="宋体" w:eastAsia="宋体" w:cs="宋体"/>
                      <w:color w:val="auto"/>
                      <w:spacing w:val="6"/>
                      <w:sz w:val="21"/>
                      <w:szCs w:val="21"/>
                    </w:rPr>
                    <w:t>染色体的精子和卵细胞。</w:t>
                  </w:r>
                </w:p>
                <w:p w14:paraId="4F516CC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3"/>
                      <w:sz w:val="21"/>
                      <w:szCs w:val="21"/>
                    </w:rPr>
                    <w:t>2.</w:t>
                  </w:r>
                  <w:r>
                    <w:rPr>
                      <w:rFonts w:ascii="宋体" w:hAnsi="宋体" w:eastAsia="宋体" w:cs="宋体"/>
                      <w:color w:val="auto"/>
                      <w:spacing w:val="3"/>
                      <w:sz w:val="21"/>
                      <w:szCs w:val="21"/>
                    </w:rPr>
                    <w:t>学生三人一组，先将</w:t>
                  </w:r>
                  <w:r>
                    <w:rPr>
                      <w:rFonts w:ascii="Times New Roman" w:hAnsi="Times New Roman" w:eastAsia="Times New Roman" w:cs="Times New Roman"/>
                      <w:color w:val="auto"/>
                      <w:spacing w:val="3"/>
                      <w:sz w:val="21"/>
                      <w:szCs w:val="21"/>
                    </w:rPr>
                    <w:t>10</w:t>
                  </w:r>
                  <w:r>
                    <w:rPr>
                      <w:rFonts w:ascii="宋体" w:hAnsi="宋体" w:eastAsia="宋体" w:cs="宋体"/>
                      <w:color w:val="auto"/>
                      <w:spacing w:val="5"/>
                      <w:sz w:val="21"/>
                      <w:szCs w:val="21"/>
                    </w:rPr>
                    <w:t>枚黑围棋子和</w:t>
                  </w:r>
                  <w:r>
                    <w:rPr>
                      <w:rFonts w:ascii="Times New Roman" w:hAnsi="Times New Roman" w:eastAsia="Times New Roman" w:cs="Times New Roman"/>
                      <w:color w:val="auto"/>
                      <w:spacing w:val="5"/>
                      <w:sz w:val="21"/>
                      <w:szCs w:val="21"/>
                    </w:rPr>
                    <w:t>10</w:t>
                  </w:r>
                  <w:r>
                    <w:rPr>
                      <w:rFonts w:ascii="宋体" w:hAnsi="宋体" w:eastAsia="宋体" w:cs="宋体"/>
                      <w:color w:val="auto"/>
                      <w:spacing w:val="5"/>
                      <w:sz w:val="21"/>
                      <w:szCs w:val="21"/>
                    </w:rPr>
                    <w:t>枚白围棋</w:t>
                  </w:r>
                  <w:r>
                    <w:rPr>
                      <w:rFonts w:ascii="宋体" w:hAnsi="宋体" w:eastAsia="宋体" w:cs="宋体"/>
                      <w:color w:val="auto"/>
                      <w:spacing w:val="7"/>
                      <w:sz w:val="21"/>
                      <w:szCs w:val="21"/>
                    </w:rPr>
                    <w:t>子放入一个纸盒中，这</w:t>
                  </w:r>
                  <w:r>
                    <w:rPr>
                      <w:rFonts w:ascii="宋体" w:hAnsi="宋体" w:eastAsia="宋体" w:cs="宋体"/>
                      <w:color w:val="auto"/>
                      <w:spacing w:val="-34"/>
                      <w:sz w:val="21"/>
                      <w:szCs w:val="21"/>
                    </w:rPr>
                    <w:t xml:space="preserve"> </w:t>
                  </w:r>
                  <w:r>
                    <w:rPr>
                      <w:rFonts w:ascii="Times New Roman" w:hAnsi="Times New Roman" w:eastAsia="Times New Roman" w:cs="Times New Roman"/>
                      <w:color w:val="auto"/>
                      <w:spacing w:val="7"/>
                      <w:sz w:val="21"/>
                      <w:szCs w:val="21"/>
                    </w:rPr>
                    <w:t>20</w:t>
                  </w:r>
                  <w:r>
                    <w:rPr>
                      <w:rFonts w:ascii="宋体" w:hAnsi="宋体" w:eastAsia="宋体" w:cs="宋体"/>
                      <w:color w:val="auto"/>
                      <w:spacing w:val="9"/>
                      <w:sz w:val="21"/>
                      <w:szCs w:val="21"/>
                    </w:rPr>
                    <w:t>枚围棋子表示精子，再将</w:t>
                  </w:r>
                </w:p>
                <w:p w14:paraId="4E87EE3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7"/>
                      <w:sz w:val="21"/>
                      <w:szCs w:val="21"/>
                    </w:rPr>
                    <w:t>20</w:t>
                  </w:r>
                  <w:r>
                    <w:rPr>
                      <w:rFonts w:ascii="宋体" w:hAnsi="宋体" w:eastAsia="宋体" w:cs="宋体"/>
                      <w:color w:val="auto"/>
                      <w:spacing w:val="7"/>
                      <w:sz w:val="21"/>
                      <w:szCs w:val="21"/>
                    </w:rPr>
                    <w:t>枚白围棋子放入另一个</w:t>
                  </w:r>
                  <w:r>
                    <w:rPr>
                      <w:rFonts w:ascii="宋体" w:hAnsi="宋体" w:eastAsia="宋体" w:cs="宋体"/>
                      <w:color w:val="auto"/>
                      <w:spacing w:val="5"/>
                      <w:sz w:val="21"/>
                      <w:szCs w:val="21"/>
                    </w:rPr>
                    <w:t>纸盒中，这</w:t>
                  </w:r>
                  <w:r>
                    <w:rPr>
                      <w:rFonts w:ascii="宋体" w:hAnsi="宋体" w:eastAsia="宋体" w:cs="宋体"/>
                      <w:color w:val="auto"/>
                      <w:spacing w:val="-38"/>
                      <w:sz w:val="21"/>
                      <w:szCs w:val="21"/>
                    </w:rPr>
                    <w:t xml:space="preserve"> </w:t>
                  </w:r>
                  <w:r>
                    <w:rPr>
                      <w:rFonts w:ascii="Times New Roman" w:hAnsi="Times New Roman" w:eastAsia="Times New Roman" w:cs="Times New Roman"/>
                      <w:color w:val="auto"/>
                      <w:spacing w:val="5"/>
                      <w:sz w:val="21"/>
                      <w:szCs w:val="21"/>
                    </w:rPr>
                    <w:t>20</w:t>
                  </w:r>
                  <w:r>
                    <w:rPr>
                      <w:rFonts w:ascii="宋体" w:hAnsi="宋体" w:eastAsia="宋体" w:cs="宋体"/>
                      <w:color w:val="auto"/>
                      <w:spacing w:val="5"/>
                      <w:sz w:val="21"/>
                      <w:szCs w:val="21"/>
                    </w:rPr>
                    <w:t>围棋子表示</w:t>
                  </w:r>
                  <w:r>
                    <w:rPr>
                      <w:rFonts w:ascii="宋体" w:hAnsi="宋体" w:eastAsia="宋体" w:cs="宋体"/>
                      <w:color w:val="auto"/>
                      <w:spacing w:val="4"/>
                      <w:sz w:val="21"/>
                      <w:szCs w:val="21"/>
                    </w:rPr>
                    <w:t>卵细胞。</w:t>
                  </w:r>
                </w:p>
                <w:p w14:paraId="38E0818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6"/>
                      <w:sz w:val="21"/>
                      <w:szCs w:val="21"/>
                    </w:rPr>
                    <w:t>3.</w:t>
                  </w:r>
                  <w:r>
                    <w:rPr>
                      <w:rFonts w:ascii="宋体" w:hAnsi="宋体" w:eastAsia="宋体" w:cs="宋体"/>
                      <w:color w:val="auto"/>
                      <w:spacing w:val="6"/>
                      <w:sz w:val="21"/>
                      <w:szCs w:val="21"/>
                    </w:rPr>
                    <w:t>一位同学负责从装有</w:t>
                  </w:r>
                  <w:r>
                    <w:rPr>
                      <w:rFonts w:hint="eastAsia" w:ascii="Times New Roman" w:hAnsi="Times New Roman" w:eastAsia="宋体" w:cs="Times New Roman"/>
                      <w:color w:val="auto"/>
                      <w:spacing w:val="12"/>
                      <w:sz w:val="21"/>
                      <w:szCs w:val="21"/>
                      <w:lang w:eastAsia="zh-CN"/>
                    </w:rPr>
                    <w:t>“</w:t>
                  </w:r>
                  <w:r>
                    <w:rPr>
                      <w:rFonts w:ascii="宋体" w:hAnsi="宋体" w:eastAsia="宋体" w:cs="宋体"/>
                      <w:color w:val="auto"/>
                      <w:spacing w:val="12"/>
                      <w:sz w:val="21"/>
                      <w:szCs w:val="21"/>
                    </w:rPr>
                    <w:t>精子</w:t>
                  </w:r>
                  <w:r>
                    <w:rPr>
                      <w:rFonts w:hint="eastAsia" w:ascii="Times New Roman" w:hAnsi="Times New Roman" w:eastAsia="宋体" w:cs="Times New Roman"/>
                      <w:color w:val="auto"/>
                      <w:spacing w:val="12"/>
                      <w:sz w:val="21"/>
                      <w:szCs w:val="21"/>
                      <w:lang w:eastAsia="zh-CN"/>
                    </w:rPr>
                    <w:t>”</w:t>
                  </w:r>
                  <w:r>
                    <w:rPr>
                      <w:rFonts w:ascii="宋体" w:hAnsi="宋体" w:eastAsia="宋体" w:cs="宋体"/>
                      <w:color w:val="auto"/>
                      <w:spacing w:val="12"/>
                      <w:sz w:val="21"/>
                      <w:szCs w:val="21"/>
                    </w:rPr>
                    <w:t>的纸盒中随机取一</w:t>
                  </w:r>
                  <w:r>
                    <w:rPr>
                      <w:rFonts w:ascii="宋体" w:hAnsi="宋体" w:eastAsia="宋体" w:cs="宋体"/>
                      <w:color w:val="auto"/>
                      <w:spacing w:val="8"/>
                      <w:sz w:val="21"/>
                      <w:szCs w:val="21"/>
                    </w:rPr>
                    <w:t>枚棋子</w:t>
                  </w:r>
                  <w:r>
                    <w:rPr>
                      <w:rFonts w:hint="eastAsia" w:ascii="Times New Roman" w:hAnsi="Times New Roman" w:eastAsia="宋体" w:cs="Times New Roman"/>
                      <w:color w:val="auto"/>
                      <w:spacing w:val="8"/>
                      <w:sz w:val="21"/>
                      <w:szCs w:val="21"/>
                      <w:lang w:eastAsia="zh-CN"/>
                    </w:rPr>
                    <w:t>；</w:t>
                  </w:r>
                  <w:r>
                    <w:rPr>
                      <w:rFonts w:ascii="宋体" w:hAnsi="宋体" w:eastAsia="宋体" w:cs="宋体"/>
                      <w:color w:val="auto"/>
                      <w:spacing w:val="8"/>
                      <w:sz w:val="21"/>
                      <w:szCs w:val="21"/>
                    </w:rPr>
                    <w:t>另一位同学负责从装有</w:t>
                  </w:r>
                  <w:r>
                    <w:rPr>
                      <w:rFonts w:hint="eastAsia" w:ascii="Times New Roman" w:hAnsi="Times New Roman" w:eastAsia="宋体" w:cs="Times New Roman"/>
                      <w:color w:val="auto"/>
                      <w:spacing w:val="8"/>
                      <w:sz w:val="21"/>
                      <w:szCs w:val="21"/>
                      <w:lang w:eastAsia="zh-CN"/>
                    </w:rPr>
                    <w:t>“</w:t>
                  </w:r>
                  <w:r>
                    <w:rPr>
                      <w:rFonts w:ascii="宋体" w:hAnsi="宋体" w:eastAsia="宋体" w:cs="宋体"/>
                      <w:color w:val="auto"/>
                      <w:spacing w:val="8"/>
                      <w:sz w:val="21"/>
                      <w:szCs w:val="21"/>
                    </w:rPr>
                    <w:t>卵细胞</w:t>
                  </w:r>
                  <w:r>
                    <w:rPr>
                      <w:rFonts w:hint="eastAsia" w:ascii="Times New Roman" w:hAnsi="Times New Roman" w:eastAsia="宋体" w:cs="Times New Roman"/>
                      <w:color w:val="auto"/>
                      <w:spacing w:val="8"/>
                      <w:sz w:val="21"/>
                      <w:szCs w:val="21"/>
                      <w:lang w:eastAsia="zh-CN"/>
                    </w:rPr>
                    <w:t>”</w:t>
                  </w:r>
                  <w:r>
                    <w:rPr>
                      <w:rFonts w:ascii="宋体" w:hAnsi="宋体" w:eastAsia="宋体" w:cs="宋体"/>
                      <w:color w:val="auto"/>
                      <w:spacing w:val="8"/>
                      <w:sz w:val="21"/>
                      <w:szCs w:val="21"/>
                    </w:rPr>
                    <w:t>的纸盒中随机取一枚棋子</w:t>
                  </w:r>
                  <w:r>
                    <w:rPr>
                      <w:rFonts w:hint="eastAsia" w:ascii="Times New Roman" w:hAnsi="Times New Roman" w:eastAsia="宋体" w:cs="Times New Roman"/>
                      <w:color w:val="auto"/>
                      <w:spacing w:val="8"/>
                      <w:sz w:val="21"/>
                      <w:szCs w:val="21"/>
                      <w:lang w:eastAsia="zh-CN"/>
                    </w:rPr>
                    <w:t>；</w:t>
                  </w:r>
                  <w:r>
                    <w:rPr>
                      <w:rFonts w:ascii="宋体" w:hAnsi="宋体" w:eastAsia="宋体" w:cs="宋体"/>
                      <w:color w:val="auto"/>
                      <w:spacing w:val="8"/>
                      <w:sz w:val="21"/>
                      <w:szCs w:val="21"/>
                    </w:rPr>
                    <w:t>第三位同学</w:t>
                  </w:r>
                  <w:r>
                    <w:rPr>
                      <w:rFonts w:ascii="宋体" w:hAnsi="宋体" w:eastAsia="宋体" w:cs="宋体"/>
                      <w:color w:val="auto"/>
                      <w:spacing w:val="9"/>
                      <w:sz w:val="21"/>
                      <w:szCs w:val="21"/>
                    </w:rPr>
                    <w:t>负责记录两枚围棋子代表</w:t>
                  </w:r>
                  <w:r>
                    <w:rPr>
                      <w:rFonts w:ascii="宋体" w:hAnsi="宋体" w:eastAsia="宋体" w:cs="宋体"/>
                      <w:color w:val="auto"/>
                      <w:spacing w:val="2"/>
                      <w:sz w:val="21"/>
                      <w:szCs w:val="21"/>
                    </w:rPr>
                    <w:t>的性染色体组成。每次取完</w:t>
                  </w:r>
                  <w:r>
                    <w:rPr>
                      <w:rFonts w:ascii="宋体" w:hAnsi="宋体" w:eastAsia="宋体" w:cs="宋体"/>
                      <w:color w:val="auto"/>
                      <w:spacing w:val="5"/>
                      <w:sz w:val="21"/>
                      <w:szCs w:val="21"/>
                    </w:rPr>
                    <w:t>记录后，再将棋子放回去，</w:t>
                  </w:r>
                  <w:r>
                    <w:rPr>
                      <w:rFonts w:ascii="宋体" w:hAnsi="宋体" w:eastAsia="宋体" w:cs="宋体"/>
                      <w:color w:val="auto"/>
                      <w:spacing w:val="6"/>
                      <w:sz w:val="21"/>
                      <w:szCs w:val="21"/>
                    </w:rPr>
                    <w:t>注意摇匀再取，共记录</w:t>
                  </w:r>
                  <w:r>
                    <w:rPr>
                      <w:rFonts w:ascii="Times New Roman" w:hAnsi="Times New Roman" w:eastAsia="Times New Roman" w:cs="Times New Roman"/>
                      <w:color w:val="auto"/>
                      <w:spacing w:val="6"/>
                      <w:sz w:val="21"/>
                      <w:szCs w:val="21"/>
                    </w:rPr>
                    <w:t>10</w:t>
                  </w:r>
                  <w:r>
                    <w:rPr>
                      <w:rFonts w:ascii="宋体" w:hAnsi="宋体" w:eastAsia="宋体" w:cs="宋体"/>
                      <w:color w:val="auto"/>
                      <w:sz w:val="21"/>
                      <w:szCs w:val="21"/>
                    </w:rPr>
                    <w:t>次。</w:t>
                  </w:r>
                </w:p>
                <w:p w14:paraId="5341CF29">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7"/>
                      <w:sz w:val="21"/>
                      <w:szCs w:val="21"/>
                    </w:rPr>
                    <w:t>4.</w:t>
                  </w:r>
                  <w:r>
                    <w:rPr>
                      <w:rFonts w:ascii="宋体" w:hAnsi="宋体" w:eastAsia="宋体" w:cs="宋体"/>
                      <w:color w:val="auto"/>
                      <w:spacing w:val="7"/>
                      <w:sz w:val="21"/>
                      <w:szCs w:val="21"/>
                    </w:rPr>
                    <w:t>全班统计各个小组模拟</w:t>
                  </w:r>
                  <w:r>
                    <w:rPr>
                      <w:rFonts w:ascii="宋体" w:hAnsi="宋体" w:eastAsia="宋体" w:cs="宋体"/>
                      <w:color w:val="auto"/>
                      <w:spacing w:val="9"/>
                      <w:sz w:val="21"/>
                      <w:szCs w:val="21"/>
                    </w:rPr>
                    <w:t>精子与卵细胞随机结合的</w:t>
                  </w:r>
                  <w:r>
                    <w:rPr>
                      <w:rFonts w:ascii="宋体" w:hAnsi="宋体" w:eastAsia="宋体" w:cs="宋体"/>
                      <w:color w:val="auto"/>
                      <w:spacing w:val="3"/>
                      <w:sz w:val="21"/>
                      <w:szCs w:val="21"/>
                    </w:rPr>
                    <w:t>结果。</w:t>
                  </w:r>
                </w:p>
              </w:tc>
              <w:tc>
                <w:tcPr>
                  <w:tcW w:w="856" w:type="pct"/>
                  <w:tcBorders>
                    <w:tl2br w:val="nil"/>
                    <w:tr2bl w:val="nil"/>
                  </w:tcBorders>
                  <w:vAlign w:val="center"/>
                </w:tcPr>
                <w:p w14:paraId="540EC98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675" w:type="pct"/>
                  <w:tcBorders>
                    <w:tl2br w:val="nil"/>
                    <w:tr2bl w:val="nil"/>
                  </w:tcBorders>
                  <w:vAlign w:val="center"/>
                </w:tcPr>
                <w:p w14:paraId="5C3A4B5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z w:val="21"/>
                      <w:szCs w:val="21"/>
                    </w:rPr>
                    <w:t>围棋棋</w:t>
                  </w:r>
                  <w:r>
                    <w:rPr>
                      <w:rFonts w:ascii="宋体" w:hAnsi="宋体" w:eastAsia="宋体" w:cs="宋体"/>
                      <w:color w:val="auto"/>
                      <w:spacing w:val="7"/>
                      <w:sz w:val="21"/>
                      <w:szCs w:val="21"/>
                    </w:rPr>
                    <w:t>子、纸盒</w:t>
                  </w:r>
                </w:p>
              </w:tc>
              <w:tc>
                <w:tcPr>
                  <w:tcW w:w="537" w:type="pct"/>
                  <w:tcBorders>
                    <w:tl2br w:val="nil"/>
                    <w:tr2bl w:val="nil"/>
                  </w:tcBorders>
                  <w:vAlign w:val="center"/>
                </w:tcPr>
                <w:p w14:paraId="669C1A5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7515A0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3DC0505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39</w:t>
                  </w:r>
                </w:p>
              </w:tc>
              <w:tc>
                <w:tcPr>
                  <w:tcW w:w="690" w:type="pct"/>
                  <w:tcBorders>
                    <w:tl2br w:val="nil"/>
                    <w:tr2bl w:val="nil"/>
                  </w:tcBorders>
                  <w:vAlign w:val="center"/>
                </w:tcPr>
                <w:p w14:paraId="639C267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观察酵母</w:t>
                  </w:r>
                  <w:r>
                    <w:rPr>
                      <w:rFonts w:ascii="宋体" w:hAnsi="宋体" w:eastAsia="宋体" w:cs="宋体"/>
                      <w:color w:val="auto"/>
                      <w:spacing w:val="6"/>
                      <w:sz w:val="21"/>
                      <w:szCs w:val="21"/>
                    </w:rPr>
                    <w:t>菌和霉菌</w:t>
                  </w:r>
                </w:p>
              </w:tc>
              <w:tc>
                <w:tcPr>
                  <w:tcW w:w="1769" w:type="pct"/>
                  <w:tcBorders>
                    <w:tl2br w:val="nil"/>
                    <w:tr2bl w:val="nil"/>
                  </w:tcBorders>
                  <w:vAlign w:val="center"/>
                </w:tcPr>
                <w:p w14:paraId="47488CAB">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4"/>
                      <w:sz w:val="21"/>
                      <w:szCs w:val="21"/>
                    </w:rPr>
                    <w:t>1.</w:t>
                  </w:r>
                  <w:r>
                    <w:rPr>
                      <w:rFonts w:ascii="宋体" w:hAnsi="宋体" w:eastAsia="宋体" w:cs="宋体"/>
                      <w:color w:val="auto"/>
                      <w:spacing w:val="4"/>
                      <w:sz w:val="21"/>
                      <w:szCs w:val="21"/>
                    </w:rPr>
                    <w:t>观察酵母菌：取一滴酵母</w:t>
                  </w:r>
                  <w:r>
                    <w:rPr>
                      <w:rFonts w:ascii="宋体" w:hAnsi="宋体" w:eastAsia="宋体" w:cs="宋体"/>
                      <w:color w:val="auto"/>
                      <w:spacing w:val="9"/>
                      <w:sz w:val="21"/>
                      <w:szCs w:val="21"/>
                    </w:rPr>
                    <w:t>菌的培养液，滴在载玻片</w:t>
                  </w:r>
                  <w:r>
                    <w:rPr>
                      <w:rFonts w:ascii="宋体" w:hAnsi="宋体" w:eastAsia="宋体" w:cs="宋体"/>
                      <w:color w:val="auto"/>
                      <w:spacing w:val="1"/>
                      <w:sz w:val="21"/>
                      <w:szCs w:val="21"/>
                    </w:rPr>
                    <w:t>上，盖上盖玻片，用显微镜</w:t>
                  </w:r>
                  <w:r>
                    <w:rPr>
                      <w:rFonts w:ascii="宋体" w:hAnsi="宋体" w:eastAsia="宋体" w:cs="宋体"/>
                      <w:color w:val="auto"/>
                      <w:spacing w:val="3"/>
                      <w:sz w:val="21"/>
                      <w:szCs w:val="21"/>
                    </w:rPr>
                    <w:t>观察。</w:t>
                  </w:r>
                </w:p>
                <w:p w14:paraId="2F086252">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6"/>
                      <w:sz w:val="21"/>
                      <w:szCs w:val="21"/>
                    </w:rPr>
                    <w:t>2.</w:t>
                  </w:r>
                  <w:r>
                    <w:rPr>
                      <w:rFonts w:ascii="宋体" w:hAnsi="宋体" w:eastAsia="宋体" w:cs="宋体"/>
                      <w:color w:val="auto"/>
                      <w:spacing w:val="6"/>
                      <w:sz w:val="21"/>
                      <w:szCs w:val="21"/>
                    </w:rPr>
                    <w:t>观察青霉菌：在长有青霉</w:t>
                  </w:r>
                  <w:r>
                    <w:rPr>
                      <w:rFonts w:ascii="宋体" w:hAnsi="宋体" w:eastAsia="宋体" w:cs="宋体"/>
                      <w:color w:val="auto"/>
                      <w:spacing w:val="2"/>
                      <w:sz w:val="21"/>
                      <w:szCs w:val="21"/>
                    </w:rPr>
                    <w:t>菌的橘子皮抖在白纸上，先用放大镜观看，再用解剖针</w:t>
                  </w:r>
                  <w:r>
                    <w:rPr>
                      <w:rFonts w:ascii="宋体" w:hAnsi="宋体" w:eastAsia="宋体" w:cs="宋体"/>
                      <w:color w:val="auto"/>
                      <w:spacing w:val="1"/>
                      <w:sz w:val="21"/>
                      <w:szCs w:val="21"/>
                    </w:rPr>
                    <w:t>取少量放入载玻片上，制成</w:t>
                  </w:r>
                  <w:r>
                    <w:rPr>
                      <w:rFonts w:ascii="宋体" w:hAnsi="宋体" w:eastAsia="宋体" w:cs="宋体"/>
                      <w:color w:val="auto"/>
                      <w:spacing w:val="2"/>
                      <w:sz w:val="21"/>
                      <w:szCs w:val="21"/>
                    </w:rPr>
                    <w:t>临时装片，放在载物台上观</w:t>
                  </w:r>
                  <w:r>
                    <w:rPr>
                      <w:rFonts w:ascii="宋体" w:hAnsi="宋体" w:eastAsia="宋体" w:cs="宋体"/>
                      <w:color w:val="auto"/>
                      <w:sz w:val="21"/>
                      <w:szCs w:val="21"/>
                    </w:rPr>
                    <w:t>看。</w:t>
                  </w:r>
                </w:p>
              </w:tc>
              <w:tc>
                <w:tcPr>
                  <w:tcW w:w="856" w:type="pct"/>
                  <w:tcBorders>
                    <w:tl2br w:val="nil"/>
                    <w:tr2bl w:val="nil"/>
                  </w:tcBorders>
                  <w:vAlign w:val="center"/>
                </w:tcPr>
                <w:p w14:paraId="279C6F8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8"/>
                      <w:sz w:val="21"/>
                      <w:szCs w:val="21"/>
                    </w:rPr>
                    <w:t>酵母菌的培养</w:t>
                  </w:r>
                  <w:r>
                    <w:rPr>
                      <w:rFonts w:ascii="宋体" w:hAnsi="宋体" w:eastAsia="宋体" w:cs="宋体"/>
                      <w:color w:val="auto"/>
                      <w:spacing w:val="7"/>
                      <w:sz w:val="21"/>
                      <w:szCs w:val="21"/>
                    </w:rPr>
                    <w:t>液、橘子皮上</w:t>
                  </w:r>
                  <w:r>
                    <w:rPr>
                      <w:rFonts w:ascii="宋体" w:hAnsi="宋体" w:eastAsia="宋体" w:cs="宋体"/>
                      <w:color w:val="auto"/>
                      <w:spacing w:val="-11"/>
                      <w:sz w:val="21"/>
                      <w:szCs w:val="21"/>
                    </w:rPr>
                    <w:t>的霉菌、碘液。</w:t>
                  </w:r>
                </w:p>
              </w:tc>
              <w:tc>
                <w:tcPr>
                  <w:tcW w:w="675" w:type="pct"/>
                  <w:tcBorders>
                    <w:tl2br w:val="nil"/>
                    <w:tr2bl w:val="nil"/>
                  </w:tcBorders>
                  <w:vAlign w:val="center"/>
                </w:tcPr>
                <w:p w14:paraId="64AB4B1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吸管、镊</w:t>
                  </w:r>
                  <w:r>
                    <w:rPr>
                      <w:rFonts w:ascii="宋体" w:hAnsi="宋体" w:eastAsia="宋体" w:cs="宋体"/>
                      <w:color w:val="auto"/>
                      <w:spacing w:val="7"/>
                      <w:sz w:val="21"/>
                      <w:szCs w:val="21"/>
                    </w:rPr>
                    <w:t>子、显微镜、解剖针、载玻</w:t>
                  </w:r>
                  <w:r>
                    <w:rPr>
                      <w:rFonts w:ascii="宋体" w:hAnsi="宋体" w:eastAsia="宋体" w:cs="宋体"/>
                      <w:color w:val="auto"/>
                      <w:spacing w:val="6"/>
                      <w:sz w:val="21"/>
                      <w:szCs w:val="21"/>
                    </w:rPr>
                    <w:t>片、盖玻片、放大</w:t>
                  </w:r>
                  <w:r>
                    <w:rPr>
                      <w:rFonts w:ascii="宋体" w:hAnsi="宋体" w:eastAsia="宋体" w:cs="宋体"/>
                      <w:color w:val="auto"/>
                      <w:spacing w:val="7"/>
                      <w:sz w:val="21"/>
                      <w:szCs w:val="21"/>
                    </w:rPr>
                    <w:t>镜、吸水</w:t>
                  </w:r>
                  <w:r>
                    <w:rPr>
                      <w:rFonts w:ascii="宋体" w:hAnsi="宋体" w:eastAsia="宋体" w:cs="宋体"/>
                      <w:color w:val="auto"/>
                      <w:sz w:val="21"/>
                      <w:szCs w:val="21"/>
                    </w:rPr>
                    <w:t>纸</w:t>
                  </w:r>
                </w:p>
              </w:tc>
              <w:tc>
                <w:tcPr>
                  <w:tcW w:w="537" w:type="pct"/>
                  <w:tcBorders>
                    <w:tl2br w:val="nil"/>
                    <w:tr2bl w:val="nil"/>
                  </w:tcBorders>
                  <w:vAlign w:val="center"/>
                </w:tcPr>
                <w:p w14:paraId="7A58DC0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3C2221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1CDC2B6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40</w:t>
                  </w:r>
                </w:p>
              </w:tc>
              <w:tc>
                <w:tcPr>
                  <w:tcW w:w="690" w:type="pct"/>
                  <w:tcBorders>
                    <w:tl2br w:val="nil"/>
                    <w:tr2bl w:val="nil"/>
                  </w:tcBorders>
                  <w:vAlign w:val="center"/>
                </w:tcPr>
                <w:p w14:paraId="0060142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观察蚯蚓</w:t>
                  </w:r>
                  <w:r>
                    <w:rPr>
                      <w:rFonts w:ascii="宋体" w:hAnsi="宋体" w:eastAsia="宋体" w:cs="宋体"/>
                      <w:color w:val="auto"/>
                      <w:spacing w:val="-2"/>
                      <w:sz w:val="21"/>
                      <w:szCs w:val="21"/>
                    </w:rPr>
                    <w:t>或水螅、</w:t>
                  </w:r>
                  <w:r>
                    <w:rPr>
                      <w:rFonts w:ascii="宋体" w:hAnsi="宋体" w:eastAsia="宋体" w:cs="宋体"/>
                      <w:color w:val="auto"/>
                      <w:spacing w:val="3"/>
                      <w:sz w:val="21"/>
                      <w:szCs w:val="21"/>
                    </w:rPr>
                    <w:t>蝗虫</w:t>
                  </w:r>
                </w:p>
              </w:tc>
              <w:tc>
                <w:tcPr>
                  <w:tcW w:w="1769" w:type="pct"/>
                  <w:tcBorders>
                    <w:tl2br w:val="nil"/>
                    <w:tr2bl w:val="nil"/>
                  </w:tcBorders>
                  <w:vAlign w:val="center"/>
                </w:tcPr>
                <w:p w14:paraId="7639AE9A">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宋体" w:hAnsi="宋体" w:eastAsia="宋体" w:cs="宋体"/>
                      <w:color w:val="auto"/>
                      <w:spacing w:val="9"/>
                      <w:sz w:val="21"/>
                      <w:szCs w:val="21"/>
                    </w:rPr>
                    <w:t>用肉眼和放大镜观察培养</w:t>
                  </w:r>
                  <w:r>
                    <w:rPr>
                      <w:rFonts w:ascii="宋体" w:hAnsi="宋体" w:eastAsia="宋体" w:cs="宋体"/>
                      <w:color w:val="auto"/>
                      <w:spacing w:val="8"/>
                      <w:sz w:val="21"/>
                      <w:szCs w:val="21"/>
                    </w:rPr>
                    <w:t>皿中的活蚯蚓</w:t>
                  </w:r>
                </w:p>
              </w:tc>
              <w:tc>
                <w:tcPr>
                  <w:tcW w:w="856" w:type="pct"/>
                  <w:tcBorders>
                    <w:tl2br w:val="nil"/>
                    <w:tr2bl w:val="nil"/>
                  </w:tcBorders>
                  <w:vAlign w:val="center"/>
                </w:tcPr>
                <w:p w14:paraId="6D725CD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活蚯蚓</w:t>
                  </w:r>
                </w:p>
              </w:tc>
              <w:tc>
                <w:tcPr>
                  <w:tcW w:w="675" w:type="pct"/>
                  <w:tcBorders>
                    <w:tl2br w:val="nil"/>
                    <w:tr2bl w:val="nil"/>
                  </w:tcBorders>
                  <w:vAlign w:val="center"/>
                </w:tcPr>
                <w:p w14:paraId="5093669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放大镜</w:t>
                  </w:r>
                </w:p>
              </w:tc>
              <w:tc>
                <w:tcPr>
                  <w:tcW w:w="537" w:type="pct"/>
                  <w:tcBorders>
                    <w:tl2br w:val="nil"/>
                    <w:tr2bl w:val="nil"/>
                  </w:tcBorders>
                  <w:vAlign w:val="center"/>
                </w:tcPr>
                <w:p w14:paraId="0FF1A2E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2E7E29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57B6C27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41</w:t>
                  </w:r>
                </w:p>
              </w:tc>
              <w:tc>
                <w:tcPr>
                  <w:tcW w:w="690" w:type="pct"/>
                  <w:tcBorders>
                    <w:tl2br w:val="nil"/>
                    <w:tr2bl w:val="nil"/>
                  </w:tcBorders>
                  <w:vAlign w:val="center"/>
                </w:tcPr>
                <w:p w14:paraId="5325437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观察昆虫</w:t>
                  </w:r>
                  <w:r>
                    <w:rPr>
                      <w:rFonts w:ascii="宋体" w:hAnsi="宋体" w:eastAsia="宋体" w:cs="宋体"/>
                      <w:color w:val="auto"/>
                      <w:spacing w:val="4"/>
                      <w:sz w:val="21"/>
                      <w:szCs w:val="21"/>
                    </w:rPr>
                    <w:t>标本</w:t>
                  </w:r>
                </w:p>
              </w:tc>
              <w:tc>
                <w:tcPr>
                  <w:tcW w:w="1769" w:type="pct"/>
                  <w:tcBorders>
                    <w:tl2br w:val="nil"/>
                    <w:tr2bl w:val="nil"/>
                  </w:tcBorders>
                  <w:vAlign w:val="center"/>
                </w:tcPr>
                <w:p w14:paraId="1FCED56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宋体" w:hAnsi="宋体" w:eastAsia="宋体" w:cs="宋体"/>
                      <w:color w:val="auto"/>
                      <w:spacing w:val="9"/>
                      <w:sz w:val="21"/>
                      <w:szCs w:val="21"/>
                    </w:rPr>
                    <w:t>用肉眼和放大镜观察昆虫</w:t>
                  </w:r>
                  <w:r>
                    <w:rPr>
                      <w:rFonts w:ascii="宋体" w:hAnsi="宋体" w:eastAsia="宋体" w:cs="宋体"/>
                      <w:color w:val="auto"/>
                      <w:spacing w:val="4"/>
                      <w:sz w:val="21"/>
                      <w:szCs w:val="21"/>
                    </w:rPr>
                    <w:t>标本</w:t>
                  </w:r>
                </w:p>
              </w:tc>
              <w:tc>
                <w:tcPr>
                  <w:tcW w:w="856" w:type="pct"/>
                  <w:tcBorders>
                    <w:tl2br w:val="nil"/>
                    <w:tr2bl w:val="nil"/>
                  </w:tcBorders>
                  <w:vAlign w:val="center"/>
                </w:tcPr>
                <w:p w14:paraId="7FA242C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675" w:type="pct"/>
                  <w:tcBorders>
                    <w:tl2br w:val="nil"/>
                    <w:tr2bl w:val="nil"/>
                  </w:tcBorders>
                  <w:vAlign w:val="center"/>
                </w:tcPr>
                <w:p w14:paraId="3FF8905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1"/>
                      <w:sz w:val="21"/>
                      <w:szCs w:val="21"/>
                    </w:rPr>
                    <w:t>昆虫标本</w:t>
                  </w:r>
                </w:p>
              </w:tc>
              <w:tc>
                <w:tcPr>
                  <w:tcW w:w="537" w:type="pct"/>
                  <w:tcBorders>
                    <w:tl2br w:val="nil"/>
                    <w:tr2bl w:val="nil"/>
                  </w:tcBorders>
                  <w:vAlign w:val="center"/>
                </w:tcPr>
                <w:p w14:paraId="50DCC25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p>
                <w:p w14:paraId="41CC2A9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操作</w:t>
                  </w:r>
                </w:p>
              </w:tc>
            </w:tr>
            <w:tr w14:paraId="6FFAE2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4F9F32D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42</w:t>
                  </w:r>
                </w:p>
              </w:tc>
              <w:tc>
                <w:tcPr>
                  <w:tcW w:w="690" w:type="pct"/>
                  <w:tcBorders>
                    <w:tl2br w:val="nil"/>
                    <w:tr2bl w:val="nil"/>
                  </w:tcBorders>
                  <w:vAlign w:val="center"/>
                </w:tcPr>
                <w:p w14:paraId="482E0A0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观察鱼适</w:t>
                  </w:r>
                  <w:r>
                    <w:rPr>
                      <w:rFonts w:ascii="宋体" w:hAnsi="宋体" w:eastAsia="宋体" w:cs="宋体"/>
                      <w:color w:val="auto"/>
                      <w:spacing w:val="6"/>
                      <w:sz w:val="21"/>
                      <w:szCs w:val="21"/>
                    </w:rPr>
                    <w:t>于水中生活的形态结构特点</w:t>
                  </w:r>
                </w:p>
              </w:tc>
              <w:tc>
                <w:tcPr>
                  <w:tcW w:w="1769" w:type="pct"/>
                  <w:tcBorders>
                    <w:tl2br w:val="nil"/>
                    <w:tr2bl w:val="nil"/>
                  </w:tcBorders>
                  <w:vAlign w:val="center"/>
                </w:tcPr>
                <w:p w14:paraId="55BA053A">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2"/>
                      <w:sz w:val="21"/>
                      <w:szCs w:val="21"/>
                    </w:rPr>
                    <w:t>1</w:t>
                  </w:r>
                  <w:r>
                    <w:rPr>
                      <w:rFonts w:ascii="宋体" w:hAnsi="宋体" w:eastAsia="宋体" w:cs="宋体"/>
                      <w:color w:val="auto"/>
                      <w:spacing w:val="-2"/>
                      <w:sz w:val="21"/>
                      <w:szCs w:val="21"/>
                    </w:rPr>
                    <w:t>、观察鲫鱼的体色、体型、</w:t>
                  </w:r>
                  <w:r>
                    <w:rPr>
                      <w:rFonts w:ascii="宋体" w:hAnsi="宋体" w:eastAsia="宋体" w:cs="宋体"/>
                      <w:color w:val="auto"/>
                      <w:spacing w:val="5"/>
                      <w:sz w:val="21"/>
                      <w:szCs w:val="21"/>
                    </w:rPr>
                    <w:t>鳞片</w:t>
                  </w:r>
                </w:p>
                <w:p w14:paraId="53DC19B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7"/>
                      <w:sz w:val="21"/>
                      <w:szCs w:val="21"/>
                    </w:rPr>
                    <w:t>2</w:t>
                  </w:r>
                  <w:r>
                    <w:rPr>
                      <w:rFonts w:ascii="Times New Roman" w:hAnsi="Times New Roman" w:eastAsia="Times New Roman" w:cs="Times New Roman"/>
                      <w:color w:val="auto"/>
                      <w:spacing w:val="-25"/>
                      <w:sz w:val="21"/>
                      <w:szCs w:val="21"/>
                    </w:rPr>
                    <w:t xml:space="preserve"> </w:t>
                  </w:r>
                  <w:r>
                    <w:rPr>
                      <w:rFonts w:ascii="宋体" w:hAnsi="宋体" w:eastAsia="宋体" w:cs="宋体"/>
                      <w:color w:val="auto"/>
                      <w:spacing w:val="7"/>
                      <w:sz w:val="21"/>
                      <w:szCs w:val="21"/>
                    </w:rPr>
                    <w:t>、观察各种鳍在运动中是如何配合的</w:t>
                  </w:r>
                </w:p>
                <w:p w14:paraId="6E285FF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6"/>
                      <w:sz w:val="21"/>
                      <w:szCs w:val="21"/>
                    </w:rPr>
                    <w:t>3</w:t>
                  </w:r>
                  <w:r>
                    <w:rPr>
                      <w:rFonts w:ascii="Times New Roman" w:hAnsi="Times New Roman" w:eastAsia="Times New Roman" w:cs="Times New Roman"/>
                      <w:color w:val="auto"/>
                      <w:spacing w:val="-18"/>
                      <w:sz w:val="21"/>
                      <w:szCs w:val="21"/>
                    </w:rPr>
                    <w:t xml:space="preserve"> </w:t>
                  </w:r>
                  <w:r>
                    <w:rPr>
                      <w:rFonts w:ascii="宋体" w:hAnsi="宋体" w:eastAsia="宋体" w:cs="宋体"/>
                      <w:color w:val="auto"/>
                      <w:spacing w:val="6"/>
                      <w:sz w:val="21"/>
                      <w:szCs w:val="21"/>
                    </w:rPr>
                    <w:t>、观察鲫鱼口的开合与鳃</w:t>
                  </w:r>
                  <w:r>
                    <w:rPr>
                      <w:rFonts w:ascii="宋体" w:hAnsi="宋体" w:eastAsia="宋体" w:cs="宋体"/>
                      <w:color w:val="auto"/>
                      <w:spacing w:val="8"/>
                      <w:sz w:val="21"/>
                      <w:szCs w:val="21"/>
                    </w:rPr>
                    <w:t>盖的张合之间的关系</w:t>
                  </w:r>
                </w:p>
                <w:p w14:paraId="5955C1A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7"/>
                      <w:sz w:val="21"/>
                      <w:szCs w:val="21"/>
                    </w:rPr>
                    <w:t>4</w:t>
                  </w:r>
                  <w:r>
                    <w:rPr>
                      <w:rFonts w:ascii="Times New Roman" w:hAnsi="Times New Roman" w:eastAsia="Times New Roman" w:cs="Times New Roman"/>
                      <w:color w:val="auto"/>
                      <w:spacing w:val="-24"/>
                      <w:sz w:val="21"/>
                      <w:szCs w:val="21"/>
                    </w:rPr>
                    <w:t xml:space="preserve"> </w:t>
                  </w:r>
                  <w:r>
                    <w:rPr>
                      <w:rFonts w:ascii="宋体" w:hAnsi="宋体" w:eastAsia="宋体" w:cs="宋体"/>
                      <w:color w:val="auto"/>
                      <w:spacing w:val="7"/>
                      <w:sz w:val="21"/>
                      <w:szCs w:val="21"/>
                    </w:rPr>
                    <w:t>、触摸鲫鱼的体表，体会</w:t>
                  </w:r>
                  <w:r>
                    <w:rPr>
                      <w:rFonts w:ascii="宋体" w:hAnsi="宋体" w:eastAsia="宋体" w:cs="宋体"/>
                      <w:color w:val="auto"/>
                      <w:spacing w:val="6"/>
                      <w:sz w:val="21"/>
                      <w:szCs w:val="21"/>
                    </w:rPr>
                    <w:t>一下感觉</w:t>
                  </w:r>
                </w:p>
                <w:p w14:paraId="15DA2D5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宋体" w:hAnsi="宋体" w:eastAsia="宋体" w:cs="宋体"/>
                      <w:color w:val="auto"/>
                      <w:sz w:val="21"/>
                      <w:szCs w:val="21"/>
                    </w:rPr>
                  </w:pPr>
                  <w:r>
                    <w:rPr>
                      <w:rFonts w:ascii="Times New Roman" w:hAnsi="Times New Roman" w:eastAsia="Times New Roman" w:cs="Times New Roman"/>
                      <w:color w:val="auto"/>
                      <w:spacing w:val="6"/>
                      <w:sz w:val="21"/>
                      <w:szCs w:val="21"/>
                    </w:rPr>
                    <w:t>5</w:t>
                  </w:r>
                  <w:r>
                    <w:rPr>
                      <w:rFonts w:ascii="Times New Roman" w:hAnsi="Times New Roman" w:eastAsia="Times New Roman" w:cs="Times New Roman"/>
                      <w:color w:val="auto"/>
                      <w:spacing w:val="-19"/>
                      <w:sz w:val="21"/>
                      <w:szCs w:val="21"/>
                    </w:rPr>
                    <w:t xml:space="preserve"> </w:t>
                  </w:r>
                  <w:r>
                    <w:rPr>
                      <w:rFonts w:ascii="宋体" w:hAnsi="宋体" w:eastAsia="宋体" w:cs="宋体"/>
                      <w:color w:val="auto"/>
                      <w:spacing w:val="6"/>
                      <w:sz w:val="21"/>
                      <w:szCs w:val="21"/>
                    </w:rPr>
                    <w:t>、观察鱼的骨骼标本，了</w:t>
                  </w:r>
                  <w:r>
                    <w:rPr>
                      <w:rFonts w:ascii="宋体" w:hAnsi="宋体" w:eastAsia="宋体" w:cs="宋体"/>
                      <w:color w:val="auto"/>
                      <w:spacing w:val="9"/>
                      <w:sz w:val="21"/>
                      <w:szCs w:val="21"/>
                    </w:rPr>
                    <w:t>解鱼脊柱的构造特点</w:t>
                  </w:r>
                </w:p>
              </w:tc>
              <w:tc>
                <w:tcPr>
                  <w:tcW w:w="856" w:type="pct"/>
                  <w:tcBorders>
                    <w:tl2br w:val="nil"/>
                    <w:tr2bl w:val="nil"/>
                  </w:tcBorders>
                  <w:vAlign w:val="center"/>
                </w:tcPr>
                <w:p w14:paraId="5DC78A1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4"/>
                      <w:sz w:val="21"/>
                      <w:szCs w:val="21"/>
                    </w:rPr>
                    <w:t>鲫鱼</w:t>
                  </w:r>
                </w:p>
              </w:tc>
              <w:tc>
                <w:tcPr>
                  <w:tcW w:w="675" w:type="pct"/>
                  <w:tcBorders>
                    <w:tl2br w:val="nil"/>
                    <w:tr2bl w:val="nil"/>
                  </w:tcBorders>
                  <w:vAlign w:val="center"/>
                </w:tcPr>
                <w:p w14:paraId="7829FEF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5"/>
                      <w:sz w:val="21"/>
                      <w:szCs w:val="21"/>
                    </w:rPr>
                    <w:t>玻璃钢</w:t>
                  </w:r>
                </w:p>
              </w:tc>
              <w:tc>
                <w:tcPr>
                  <w:tcW w:w="537" w:type="pct"/>
                  <w:tcBorders>
                    <w:tl2br w:val="nil"/>
                    <w:tr2bl w:val="nil"/>
                  </w:tcBorders>
                  <w:vAlign w:val="center"/>
                </w:tcPr>
                <w:p w14:paraId="050EF7C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699B51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719FB8B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43</w:t>
                  </w:r>
                </w:p>
              </w:tc>
              <w:tc>
                <w:tcPr>
                  <w:tcW w:w="690" w:type="pct"/>
                  <w:tcBorders>
                    <w:tl2br w:val="nil"/>
                    <w:tr2bl w:val="nil"/>
                  </w:tcBorders>
                  <w:vAlign w:val="center"/>
                </w:tcPr>
                <w:p w14:paraId="05EF2E6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鸟适于飞行的形态结构特点</w:t>
                  </w:r>
                </w:p>
              </w:tc>
              <w:tc>
                <w:tcPr>
                  <w:tcW w:w="1769" w:type="pct"/>
                  <w:tcBorders>
                    <w:tl2br w:val="nil"/>
                    <w:tr2bl w:val="nil"/>
                  </w:tcBorders>
                  <w:vAlign w:val="center"/>
                </w:tcPr>
                <w:p w14:paraId="06E788D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Times New Roman" w:cs="Times New Roman"/>
                      <w:color w:val="auto"/>
                      <w:spacing w:val="5"/>
                      <w:sz w:val="21"/>
                      <w:szCs w:val="21"/>
                    </w:rPr>
                    <w:t>1</w:t>
                  </w:r>
                  <w:r>
                    <w:rPr>
                      <w:rFonts w:hint="default" w:ascii="Times New Roman" w:hAnsi="Times New Roman" w:eastAsia="Times New Roman" w:cs="Times New Roman"/>
                      <w:color w:val="auto"/>
                      <w:spacing w:val="-21"/>
                      <w:sz w:val="21"/>
                      <w:szCs w:val="21"/>
                    </w:rPr>
                    <w:t xml:space="preserve"> </w:t>
                  </w:r>
                  <w:r>
                    <w:rPr>
                      <w:rFonts w:hint="default" w:ascii="Times New Roman" w:hAnsi="Times New Roman" w:eastAsia="宋体" w:cs="Times New Roman"/>
                      <w:color w:val="auto"/>
                      <w:spacing w:val="5"/>
                      <w:sz w:val="21"/>
                      <w:szCs w:val="21"/>
                    </w:rPr>
                    <w:t>、观察家鸽的体形、羽翼</w:t>
                  </w:r>
                </w:p>
                <w:p w14:paraId="25A60B96">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Times New Roman" w:cs="Times New Roman"/>
                      <w:color w:val="auto"/>
                      <w:spacing w:val="-2"/>
                      <w:sz w:val="21"/>
                      <w:szCs w:val="21"/>
                    </w:rPr>
                    <w:t>2</w:t>
                  </w:r>
                  <w:r>
                    <w:rPr>
                      <w:rFonts w:hint="default" w:ascii="Times New Roman" w:hAnsi="Times New Roman" w:eastAsia="宋体" w:cs="Times New Roman"/>
                      <w:color w:val="auto"/>
                      <w:spacing w:val="-2"/>
                      <w:sz w:val="21"/>
                      <w:szCs w:val="21"/>
                    </w:rPr>
                    <w:t>、摸一摸家鸽的胸部肌肉，</w:t>
                  </w:r>
                  <w:r>
                    <w:rPr>
                      <w:rFonts w:hint="default" w:ascii="Times New Roman" w:hAnsi="Times New Roman" w:eastAsia="宋体" w:cs="Times New Roman"/>
                      <w:color w:val="auto"/>
                      <w:spacing w:val="7"/>
                      <w:sz w:val="21"/>
                      <w:szCs w:val="21"/>
                    </w:rPr>
                    <w:t>感受其特点</w:t>
                  </w:r>
                </w:p>
                <w:p w14:paraId="665BDD1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Times New Roman" w:cs="Times New Roman"/>
                      <w:color w:val="auto"/>
                      <w:spacing w:val="6"/>
                      <w:sz w:val="21"/>
                      <w:szCs w:val="21"/>
                    </w:rPr>
                    <w:t>3</w:t>
                  </w:r>
                  <w:r>
                    <w:rPr>
                      <w:rFonts w:hint="default" w:ascii="Times New Roman" w:hAnsi="Times New Roman" w:eastAsia="Times New Roman" w:cs="Times New Roman"/>
                      <w:color w:val="auto"/>
                      <w:spacing w:val="-23"/>
                      <w:sz w:val="21"/>
                      <w:szCs w:val="21"/>
                    </w:rPr>
                    <w:t xml:space="preserve"> </w:t>
                  </w:r>
                  <w:r>
                    <w:rPr>
                      <w:rFonts w:hint="default" w:ascii="Times New Roman" w:hAnsi="Times New Roman" w:eastAsia="宋体" w:cs="Times New Roman"/>
                      <w:color w:val="auto"/>
                      <w:spacing w:val="6"/>
                      <w:sz w:val="21"/>
                      <w:szCs w:val="21"/>
                    </w:rPr>
                    <w:t>、观察家鸽的骨骼标本</w:t>
                  </w:r>
                </w:p>
              </w:tc>
              <w:tc>
                <w:tcPr>
                  <w:tcW w:w="856" w:type="pct"/>
                  <w:tcBorders>
                    <w:tl2br w:val="nil"/>
                    <w:tr2bl w:val="nil"/>
                  </w:tcBorders>
                  <w:vAlign w:val="center"/>
                </w:tcPr>
                <w:p w14:paraId="72BF02B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3"/>
                      <w:sz w:val="21"/>
                      <w:szCs w:val="21"/>
                    </w:rPr>
                    <w:t>家鸽</w:t>
                  </w:r>
                </w:p>
              </w:tc>
              <w:tc>
                <w:tcPr>
                  <w:tcW w:w="675" w:type="pct"/>
                  <w:tcBorders>
                    <w:tl2br w:val="nil"/>
                    <w:tr2bl w:val="nil"/>
                  </w:tcBorders>
                  <w:vAlign w:val="center"/>
                </w:tcPr>
                <w:p w14:paraId="358AC9C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家鸽的骨骼标本</w:t>
                  </w:r>
                </w:p>
              </w:tc>
              <w:tc>
                <w:tcPr>
                  <w:tcW w:w="537" w:type="pct"/>
                  <w:tcBorders>
                    <w:tl2br w:val="nil"/>
                    <w:tr2bl w:val="nil"/>
                  </w:tcBorders>
                  <w:vAlign w:val="center"/>
                </w:tcPr>
                <w:p w14:paraId="7A0944E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r w14:paraId="0F58A7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1" w:type="pct"/>
                  <w:tcBorders>
                    <w:tl2br w:val="nil"/>
                    <w:tr2bl w:val="nil"/>
                  </w:tcBorders>
                  <w:vAlign w:val="center"/>
                </w:tcPr>
                <w:p w14:paraId="338B246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44</w:t>
                  </w:r>
                </w:p>
              </w:tc>
              <w:tc>
                <w:tcPr>
                  <w:tcW w:w="690" w:type="pct"/>
                  <w:tcBorders>
                    <w:tl2br w:val="nil"/>
                    <w:tr2bl w:val="nil"/>
                  </w:tcBorders>
                  <w:vAlign w:val="center"/>
                </w:tcPr>
                <w:p w14:paraId="669DFF5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7"/>
                      <w:sz w:val="21"/>
                      <w:szCs w:val="21"/>
                    </w:rPr>
                    <w:t>模拟保护</w:t>
                  </w:r>
                  <w:r>
                    <w:rPr>
                      <w:rFonts w:ascii="宋体" w:hAnsi="宋体" w:eastAsia="宋体" w:cs="宋体"/>
                      <w:color w:val="auto"/>
                      <w:spacing w:val="6"/>
                      <w:sz w:val="21"/>
                      <w:szCs w:val="21"/>
                    </w:rPr>
                    <w:t>色的形成</w:t>
                  </w:r>
                  <w:r>
                    <w:rPr>
                      <w:rFonts w:ascii="宋体" w:hAnsi="宋体" w:eastAsia="宋体" w:cs="宋体"/>
                      <w:color w:val="auto"/>
                      <w:spacing w:val="4"/>
                      <w:sz w:val="21"/>
                      <w:szCs w:val="21"/>
                    </w:rPr>
                    <w:t>过程</w:t>
                  </w:r>
                </w:p>
              </w:tc>
              <w:tc>
                <w:tcPr>
                  <w:tcW w:w="1769" w:type="pct"/>
                  <w:tcBorders>
                    <w:tl2br w:val="nil"/>
                    <w:tr2bl w:val="nil"/>
                  </w:tcBorders>
                  <w:vAlign w:val="center"/>
                </w:tcPr>
                <w:p w14:paraId="5ADBE44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lang w:val="en-US" w:eastAsia="zh-CN"/>
                    </w:rPr>
                    <w:t>1</w:t>
                  </w:r>
                  <w:r>
                    <w:rPr>
                      <w:rFonts w:hint="default" w:ascii="Times New Roman" w:hAnsi="Times New Roman" w:eastAsia="宋体" w:cs="Times New Roman"/>
                      <w:color w:val="auto"/>
                      <w:spacing w:val="-67"/>
                      <w:sz w:val="21"/>
                      <w:szCs w:val="21"/>
                    </w:rPr>
                    <w:t xml:space="preserve"> </w:t>
                  </w:r>
                  <w:r>
                    <w:rPr>
                      <w:rFonts w:hint="default" w:ascii="Times New Roman" w:hAnsi="Times New Roman" w:eastAsia="宋体" w:cs="Times New Roman"/>
                      <w:color w:val="auto"/>
                      <w:spacing w:val="5"/>
                      <w:sz w:val="21"/>
                      <w:szCs w:val="21"/>
                    </w:rPr>
                    <w:t>、每组一块</w:t>
                  </w:r>
                  <w:r>
                    <w:rPr>
                      <w:rFonts w:hint="default" w:ascii="Times New Roman" w:hAnsi="Times New Roman" w:eastAsia="宋体" w:cs="Times New Roman"/>
                      <w:color w:val="auto"/>
                      <w:spacing w:val="-35"/>
                      <w:sz w:val="21"/>
                      <w:szCs w:val="21"/>
                    </w:rPr>
                    <w:t xml:space="preserve"> </w:t>
                  </w:r>
                  <w:r>
                    <w:rPr>
                      <w:rFonts w:hint="default" w:ascii="Times New Roman" w:hAnsi="Times New Roman" w:eastAsia="Times New Roman" w:cs="Times New Roman"/>
                      <w:color w:val="auto"/>
                      <w:spacing w:val="5"/>
                      <w:sz w:val="21"/>
                      <w:szCs w:val="21"/>
                    </w:rPr>
                    <w:t>80</w:t>
                  </w:r>
                  <w:r>
                    <w:rPr>
                      <w:rFonts w:hint="default" w:ascii="Times New Roman" w:hAnsi="Times New Roman" w:eastAsia="Times New Roman" w:cs="Times New Roman"/>
                      <w:color w:val="auto"/>
                      <w:sz w:val="21"/>
                      <w:szCs w:val="21"/>
                    </w:rPr>
                    <w:t>cm</w:t>
                  </w:r>
                  <w:r>
                    <w:rPr>
                      <w:rFonts w:hint="default" w:ascii="Times New Roman" w:hAnsi="Times New Roman" w:eastAsia="Times New Roman" w:cs="Times New Roman"/>
                      <w:color w:val="auto"/>
                      <w:spacing w:val="5"/>
                      <w:sz w:val="21"/>
                      <w:szCs w:val="21"/>
                    </w:rPr>
                    <w:t>×80</w:t>
                  </w:r>
                  <w:r>
                    <w:rPr>
                      <w:rFonts w:hint="default" w:ascii="Times New Roman" w:hAnsi="Times New Roman" w:eastAsia="Times New Roman" w:cs="Times New Roman"/>
                      <w:color w:val="auto"/>
                      <w:sz w:val="21"/>
                      <w:szCs w:val="21"/>
                    </w:rPr>
                    <w:t>cm</w:t>
                  </w:r>
                  <w:r>
                    <w:rPr>
                      <w:rFonts w:hint="default" w:ascii="Times New Roman" w:hAnsi="Times New Roman" w:eastAsia="宋体" w:cs="Times New Roman"/>
                      <w:color w:val="auto"/>
                      <w:spacing w:val="7"/>
                      <w:sz w:val="21"/>
                      <w:szCs w:val="21"/>
                    </w:rPr>
                    <w:t>的一张大彩纸或彩布和</w:t>
                  </w:r>
                  <w:r>
                    <w:rPr>
                      <w:rFonts w:hint="default" w:ascii="Times New Roman" w:hAnsi="Times New Roman" w:eastAsia="Times New Roman" w:cs="Times New Roman"/>
                      <w:color w:val="auto"/>
                      <w:spacing w:val="2"/>
                      <w:sz w:val="21"/>
                      <w:szCs w:val="21"/>
                    </w:rPr>
                    <w:t>100</w:t>
                  </w:r>
                  <w:r>
                    <w:rPr>
                      <w:rFonts w:hint="default" w:ascii="Times New Roman" w:hAnsi="Times New Roman" w:eastAsia="宋体" w:cs="Times New Roman"/>
                      <w:color w:val="auto"/>
                      <w:spacing w:val="2"/>
                      <w:sz w:val="21"/>
                      <w:szCs w:val="21"/>
                    </w:rPr>
                    <w:t>个四种颜色的纸蝴蝶，</w:t>
                  </w:r>
                  <w:r>
                    <w:rPr>
                      <w:rFonts w:hint="default" w:ascii="Times New Roman" w:hAnsi="Times New Roman" w:eastAsia="宋体" w:cs="Times New Roman"/>
                      <w:color w:val="auto"/>
                      <w:spacing w:val="5"/>
                      <w:sz w:val="21"/>
                      <w:szCs w:val="21"/>
                    </w:rPr>
                    <w:t>每种颜色</w:t>
                  </w:r>
                  <w:r>
                    <w:rPr>
                      <w:rFonts w:hint="default" w:ascii="Times New Roman" w:hAnsi="Times New Roman" w:eastAsia="宋体" w:cs="Times New Roman"/>
                      <w:color w:val="auto"/>
                      <w:spacing w:val="-41"/>
                      <w:sz w:val="21"/>
                      <w:szCs w:val="21"/>
                    </w:rPr>
                    <w:t xml:space="preserve"> </w:t>
                  </w:r>
                  <w:r>
                    <w:rPr>
                      <w:rFonts w:hint="default" w:ascii="Times New Roman" w:hAnsi="Times New Roman" w:eastAsia="Times New Roman" w:cs="Times New Roman"/>
                      <w:color w:val="auto"/>
                      <w:spacing w:val="5"/>
                      <w:sz w:val="21"/>
                      <w:szCs w:val="21"/>
                    </w:rPr>
                    <w:t>25</w:t>
                  </w:r>
                  <w:r>
                    <w:rPr>
                      <w:rFonts w:hint="default" w:ascii="Times New Roman" w:hAnsi="Times New Roman" w:eastAsia="宋体" w:cs="Times New Roman"/>
                      <w:color w:val="auto"/>
                      <w:spacing w:val="5"/>
                      <w:sz w:val="21"/>
                      <w:szCs w:val="21"/>
                    </w:rPr>
                    <w:t>个。</w:t>
                  </w:r>
                </w:p>
                <w:p w14:paraId="4129BB79">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lang w:val="en-US" w:eastAsia="zh-CN"/>
                    </w:rPr>
                    <w:t>2</w:t>
                  </w:r>
                  <w:r>
                    <w:rPr>
                      <w:rFonts w:hint="default" w:ascii="Times New Roman" w:hAnsi="Times New Roman" w:eastAsia="宋体" w:cs="Times New Roman"/>
                      <w:color w:val="auto"/>
                      <w:spacing w:val="-74"/>
                      <w:sz w:val="21"/>
                      <w:szCs w:val="21"/>
                    </w:rPr>
                    <w:t xml:space="preserve"> </w:t>
                  </w:r>
                  <w:r>
                    <w:rPr>
                      <w:rFonts w:hint="default" w:ascii="Times New Roman" w:hAnsi="Times New Roman" w:eastAsia="宋体" w:cs="Times New Roman"/>
                      <w:color w:val="auto"/>
                      <w:spacing w:val="3"/>
                      <w:sz w:val="21"/>
                      <w:szCs w:val="21"/>
                    </w:rPr>
                    <w:t>、以小组为单位，</w:t>
                  </w:r>
                  <w:r>
                    <w:rPr>
                      <w:rFonts w:hint="default" w:ascii="Times New Roman" w:hAnsi="Times New Roman" w:eastAsia="Times New Roman" w:cs="Times New Roman"/>
                      <w:color w:val="auto"/>
                      <w:spacing w:val="3"/>
                      <w:sz w:val="21"/>
                      <w:szCs w:val="21"/>
                    </w:rPr>
                    <w:t>5~6</w:t>
                  </w:r>
                  <w:r>
                    <w:rPr>
                      <w:rFonts w:hint="default" w:ascii="Times New Roman" w:hAnsi="Times New Roman" w:eastAsia="宋体" w:cs="Times New Roman"/>
                      <w:color w:val="auto"/>
                      <w:spacing w:val="3"/>
                      <w:sz w:val="21"/>
                      <w:szCs w:val="21"/>
                    </w:rPr>
                    <w:t>个</w:t>
                  </w:r>
                  <w:r>
                    <w:rPr>
                      <w:rFonts w:hint="default" w:ascii="Times New Roman" w:hAnsi="Times New Roman" w:eastAsia="宋体" w:cs="Times New Roman"/>
                      <w:color w:val="auto"/>
                      <w:spacing w:val="1"/>
                      <w:sz w:val="21"/>
                      <w:szCs w:val="21"/>
                    </w:rPr>
                    <w:t>同学为一组，推举一人为组</w:t>
                  </w:r>
                  <w:r>
                    <w:rPr>
                      <w:rFonts w:hint="default" w:ascii="Times New Roman" w:hAnsi="Times New Roman" w:eastAsia="宋体" w:cs="Times New Roman"/>
                      <w:color w:val="auto"/>
                      <w:sz w:val="21"/>
                      <w:szCs w:val="21"/>
                    </w:rPr>
                    <w:t>长。</w:t>
                  </w:r>
                </w:p>
                <w:p w14:paraId="676AC52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lang w:val="en-US" w:eastAsia="zh-CN"/>
                    </w:rPr>
                    <w:t>3</w:t>
                  </w:r>
                  <w:r>
                    <w:rPr>
                      <w:rFonts w:hint="default" w:ascii="Times New Roman" w:hAnsi="Times New Roman" w:eastAsia="宋体" w:cs="Times New Roman"/>
                      <w:color w:val="auto"/>
                      <w:spacing w:val="2"/>
                      <w:sz w:val="21"/>
                      <w:szCs w:val="21"/>
                    </w:rPr>
                    <w:t>、把大彩纸或彩布展开放在桌上，将小纸蝴蝶均匀平铺在大纸或彩布上，作为生</w:t>
                  </w:r>
                  <w:r>
                    <w:rPr>
                      <w:rFonts w:hint="default" w:ascii="Times New Roman" w:hAnsi="Times New Roman" w:eastAsia="宋体" w:cs="Times New Roman"/>
                      <w:color w:val="auto"/>
                      <w:spacing w:val="6"/>
                      <w:sz w:val="21"/>
                      <w:szCs w:val="21"/>
                    </w:rPr>
                    <w:t>物的</w:t>
                  </w:r>
                  <w:r>
                    <w:rPr>
                      <w:rFonts w:hint="eastAsia"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pacing w:val="6"/>
                      <w:sz w:val="21"/>
                      <w:szCs w:val="21"/>
                    </w:rPr>
                    <w:t>生活环境</w:t>
                  </w:r>
                  <w:r>
                    <w:rPr>
                      <w:rFonts w:hint="eastAsia"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pacing w:val="6"/>
                      <w:sz w:val="21"/>
                      <w:szCs w:val="21"/>
                    </w:rPr>
                    <w:t>。</w:t>
                  </w:r>
                </w:p>
                <w:p w14:paraId="212B59DC">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lang w:val="en-US" w:eastAsia="zh-CN"/>
                    </w:rPr>
                    <w:t>4</w:t>
                  </w:r>
                  <w:r>
                    <w:rPr>
                      <w:rFonts w:hint="default" w:ascii="Times New Roman" w:hAnsi="Times New Roman" w:eastAsia="宋体" w:cs="Times New Roman"/>
                      <w:color w:val="auto"/>
                      <w:spacing w:val="2"/>
                      <w:sz w:val="21"/>
                      <w:szCs w:val="21"/>
                    </w:rPr>
                    <w:t>、组长是监督人，其他同</w:t>
                  </w:r>
                  <w:r>
                    <w:rPr>
                      <w:rFonts w:hint="default" w:ascii="Times New Roman" w:hAnsi="Times New Roman" w:eastAsia="宋体" w:cs="Times New Roman"/>
                      <w:color w:val="auto"/>
                      <w:spacing w:val="9"/>
                      <w:sz w:val="21"/>
                      <w:szCs w:val="21"/>
                    </w:rPr>
                    <w:t>学都是</w:t>
                  </w:r>
                  <w:r>
                    <w:rPr>
                      <w:rFonts w:hint="eastAsia" w:ascii="Times New Roman" w:hAnsi="Times New Roman" w:eastAsia="宋体" w:cs="Times New Roman"/>
                      <w:color w:val="auto"/>
                      <w:spacing w:val="9"/>
                      <w:sz w:val="21"/>
                      <w:szCs w:val="21"/>
                      <w:lang w:eastAsia="zh-CN"/>
                    </w:rPr>
                    <w:t>“</w:t>
                  </w:r>
                  <w:r>
                    <w:rPr>
                      <w:rFonts w:hint="default" w:ascii="Times New Roman" w:hAnsi="Times New Roman" w:eastAsia="宋体" w:cs="Times New Roman"/>
                      <w:color w:val="auto"/>
                      <w:spacing w:val="9"/>
                      <w:sz w:val="21"/>
                      <w:szCs w:val="21"/>
                    </w:rPr>
                    <w:t>捕食者</w:t>
                  </w:r>
                  <w:r>
                    <w:rPr>
                      <w:rFonts w:hint="eastAsia" w:ascii="Times New Roman" w:hAnsi="Times New Roman" w:eastAsia="宋体" w:cs="Times New Roman"/>
                      <w:color w:val="auto"/>
                      <w:spacing w:val="9"/>
                      <w:sz w:val="21"/>
                      <w:szCs w:val="21"/>
                      <w:lang w:eastAsia="zh-CN"/>
                    </w:rPr>
                    <w:t>”</w:t>
                  </w:r>
                  <w:r>
                    <w:rPr>
                      <w:rFonts w:hint="default" w:ascii="Times New Roman" w:hAnsi="Times New Roman" w:eastAsia="Times New Roman" w:cs="Times New Roman"/>
                      <w:color w:val="auto"/>
                      <w:spacing w:val="-15"/>
                      <w:sz w:val="21"/>
                      <w:szCs w:val="21"/>
                    </w:rPr>
                    <w:t xml:space="preserve"> </w:t>
                  </w:r>
                  <w:r>
                    <w:rPr>
                      <w:rFonts w:hint="default" w:ascii="Times New Roman" w:hAnsi="Times New Roman" w:eastAsia="宋体" w:cs="Times New Roman"/>
                      <w:color w:val="auto"/>
                      <w:spacing w:val="9"/>
                      <w:sz w:val="21"/>
                      <w:szCs w:val="21"/>
                    </w:rPr>
                    <w:t>，他们的</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11"/>
                      <w:sz w:val="21"/>
                      <w:szCs w:val="21"/>
                    </w:rPr>
                    <w:t>猎物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11"/>
                      <w:sz w:val="21"/>
                      <w:szCs w:val="21"/>
                    </w:rPr>
                    <w:t>是纸蝴蝶。</w:t>
                  </w:r>
                </w:p>
                <w:p w14:paraId="105EC6A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lang w:val="en-US" w:eastAsia="zh-CN"/>
                    </w:rPr>
                    <w:t>5</w:t>
                  </w:r>
                  <w:r>
                    <w:rPr>
                      <w:rFonts w:hint="default" w:ascii="Times New Roman" w:hAnsi="Times New Roman" w:eastAsia="宋体" w:cs="Times New Roman"/>
                      <w:color w:val="auto"/>
                      <w:spacing w:val="-73"/>
                      <w:sz w:val="21"/>
                      <w:szCs w:val="21"/>
                    </w:rPr>
                    <w:t xml:space="preserve"> </w:t>
                  </w:r>
                  <w:r>
                    <w:rPr>
                      <w:rFonts w:hint="default" w:ascii="Times New Roman" w:hAnsi="Times New Roman" w:eastAsia="宋体" w:cs="Times New Roman"/>
                      <w:color w:val="auto"/>
                      <w:spacing w:val="6"/>
                      <w:sz w:val="21"/>
                      <w:szCs w:val="21"/>
                    </w:rPr>
                    <w:t>、</w:t>
                  </w:r>
                  <w:r>
                    <w:rPr>
                      <w:rFonts w:hint="eastAsia"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pacing w:val="6"/>
                      <w:sz w:val="21"/>
                      <w:szCs w:val="21"/>
                    </w:rPr>
                    <w:t>捕食者</w:t>
                  </w:r>
                  <w:r>
                    <w:rPr>
                      <w:rFonts w:hint="eastAsia"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pacing w:val="6"/>
                      <w:sz w:val="21"/>
                      <w:szCs w:val="21"/>
                    </w:rPr>
                    <w:t>事先背对桌</w:t>
                  </w:r>
                  <w:r>
                    <w:rPr>
                      <w:rFonts w:hint="default" w:ascii="Times New Roman" w:hAnsi="Times New Roman" w:eastAsia="宋体" w:cs="Times New Roman"/>
                      <w:color w:val="auto"/>
                      <w:spacing w:val="1"/>
                      <w:sz w:val="21"/>
                      <w:szCs w:val="21"/>
                    </w:rPr>
                    <w:t>子，组长将纸蝴蝶均匀地散</w:t>
                  </w:r>
                  <w:r>
                    <w:rPr>
                      <w:rFonts w:hint="default" w:ascii="Times New Roman" w:hAnsi="Times New Roman" w:eastAsia="宋体" w:cs="Times New Roman"/>
                      <w:color w:val="auto"/>
                      <w:spacing w:val="7"/>
                      <w:sz w:val="21"/>
                      <w:szCs w:val="21"/>
                    </w:rPr>
                    <w:t>开在大彩纸或彩布上。</w:t>
                  </w:r>
                </w:p>
                <w:p w14:paraId="22135E7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lang w:val="en-US" w:eastAsia="zh-CN"/>
                    </w:rPr>
                    <w:t>6</w:t>
                  </w:r>
                  <w:r>
                    <w:rPr>
                      <w:rFonts w:hint="default" w:ascii="Times New Roman" w:hAnsi="Times New Roman" w:eastAsia="宋体" w:cs="Times New Roman"/>
                      <w:color w:val="auto"/>
                      <w:spacing w:val="-76"/>
                      <w:sz w:val="21"/>
                      <w:szCs w:val="21"/>
                    </w:rPr>
                    <w:t xml:space="preserve"> </w:t>
                  </w:r>
                  <w:r>
                    <w:rPr>
                      <w:rFonts w:hint="default" w:ascii="Times New Roman" w:hAnsi="Times New Roman" w:eastAsia="宋体" w:cs="Times New Roman"/>
                      <w:color w:val="auto"/>
                      <w:spacing w:val="7"/>
                      <w:sz w:val="21"/>
                      <w:szCs w:val="21"/>
                    </w:rPr>
                    <w:t>、捕食者每转向桌子一</w:t>
                  </w:r>
                  <w:r>
                    <w:rPr>
                      <w:rFonts w:hint="default" w:ascii="Times New Roman" w:hAnsi="Times New Roman" w:eastAsia="宋体" w:cs="Times New Roman"/>
                      <w:color w:val="auto"/>
                      <w:spacing w:val="5"/>
                      <w:sz w:val="21"/>
                      <w:szCs w:val="21"/>
                    </w:rPr>
                    <w:t>次，选取一个纸蝴蝶（只用</w:t>
                  </w:r>
                  <w:r>
                    <w:rPr>
                      <w:rFonts w:hint="default" w:ascii="Times New Roman" w:hAnsi="Times New Roman" w:eastAsia="宋体" w:cs="Times New Roman"/>
                      <w:color w:val="auto"/>
                      <w:spacing w:val="13"/>
                      <w:sz w:val="21"/>
                      <w:szCs w:val="21"/>
                    </w:rPr>
                    <w:t>眼睛判定纸蝴蝶的位置</w:t>
                  </w:r>
                  <w:r>
                    <w:rPr>
                      <w:rFonts w:hint="default" w:ascii="Times New Roman" w:hAnsi="Times New Roman" w:eastAsia="宋体" w:cs="Times New Roman"/>
                      <w:color w:val="auto"/>
                      <w:spacing w:val="-13"/>
                      <w:sz w:val="21"/>
                      <w:szCs w:val="21"/>
                    </w:rPr>
                    <w:t>），</w:t>
                  </w:r>
                  <w:r>
                    <w:rPr>
                      <w:rFonts w:hint="default" w:ascii="Times New Roman" w:hAnsi="Times New Roman" w:eastAsia="宋体" w:cs="Times New Roman"/>
                      <w:color w:val="auto"/>
                      <w:spacing w:val="5"/>
                      <w:sz w:val="21"/>
                      <w:szCs w:val="21"/>
                    </w:rPr>
                    <w:t>放在另一只手中，然后继续转身选取，直到纸蝴蝶只剩</w:t>
                  </w:r>
                  <w:r>
                    <w:rPr>
                      <w:rFonts w:hint="default" w:ascii="Times New Roman" w:hAnsi="Times New Roman" w:eastAsia="宋体" w:cs="Times New Roman"/>
                      <w:color w:val="auto"/>
                      <w:spacing w:val="11"/>
                      <w:sz w:val="21"/>
                      <w:szCs w:val="21"/>
                    </w:rPr>
                    <w:t>下</w:t>
                  </w:r>
                  <w:r>
                    <w:rPr>
                      <w:rFonts w:hint="eastAsia" w:ascii="Times New Roman" w:hAnsi="Times New Roman" w:eastAsia="宋体" w:cs="Times New Roman"/>
                      <w:color w:val="auto"/>
                      <w:spacing w:val="-42"/>
                      <w:sz w:val="21"/>
                      <w:szCs w:val="21"/>
                      <w:lang w:val="en-US" w:eastAsia="zh-CN"/>
                    </w:rPr>
                    <w:t>25</w:t>
                  </w:r>
                  <w:r>
                    <w:rPr>
                      <w:rFonts w:hint="default" w:ascii="Times New Roman" w:hAnsi="Times New Roman" w:eastAsia="宋体" w:cs="Times New Roman"/>
                      <w:color w:val="auto"/>
                      <w:spacing w:val="11"/>
                      <w:sz w:val="21"/>
                      <w:szCs w:val="21"/>
                    </w:rPr>
                    <w:t>个，组长通知选择停</w:t>
                  </w:r>
                  <w:r>
                    <w:rPr>
                      <w:rFonts w:hint="default" w:ascii="Times New Roman" w:hAnsi="Times New Roman" w:eastAsia="宋体" w:cs="Times New Roman"/>
                      <w:color w:val="auto"/>
                      <w:spacing w:val="7"/>
                      <w:sz w:val="21"/>
                      <w:szCs w:val="21"/>
                    </w:rPr>
                    <w:t>止。（注意：</w:t>
                  </w:r>
                  <w:r>
                    <w:rPr>
                      <w:rFonts w:hint="eastAsia" w:ascii="Times New Roman" w:hAnsi="Times New Roman" w:eastAsia="宋体" w:cs="Times New Roman"/>
                      <w:color w:val="auto"/>
                      <w:spacing w:val="7"/>
                      <w:sz w:val="21"/>
                      <w:szCs w:val="21"/>
                      <w:lang w:eastAsia="zh-CN"/>
                    </w:rPr>
                    <w:t>“</w:t>
                  </w:r>
                  <w:r>
                    <w:rPr>
                      <w:rFonts w:hint="default" w:ascii="Times New Roman" w:hAnsi="Times New Roman" w:eastAsia="宋体" w:cs="Times New Roman"/>
                      <w:color w:val="auto"/>
                      <w:spacing w:val="7"/>
                      <w:sz w:val="21"/>
                      <w:szCs w:val="21"/>
                    </w:rPr>
                    <w:t>捕食者</w:t>
                  </w:r>
                  <w:r>
                    <w:rPr>
                      <w:rFonts w:hint="eastAsia" w:ascii="Times New Roman" w:hAnsi="Times New Roman" w:eastAsia="宋体" w:cs="Times New Roman"/>
                      <w:color w:val="auto"/>
                      <w:spacing w:val="7"/>
                      <w:sz w:val="21"/>
                      <w:szCs w:val="21"/>
                      <w:lang w:eastAsia="zh-CN"/>
                    </w:rPr>
                    <w:t>”</w:t>
                  </w:r>
                  <w:r>
                    <w:rPr>
                      <w:rFonts w:hint="default" w:ascii="Times New Roman" w:hAnsi="Times New Roman" w:eastAsia="宋体" w:cs="Times New Roman"/>
                      <w:color w:val="auto"/>
                      <w:spacing w:val="7"/>
                      <w:sz w:val="21"/>
                      <w:szCs w:val="21"/>
                    </w:rPr>
                    <w:t>不要</w:t>
                  </w:r>
                  <w:r>
                    <w:rPr>
                      <w:rFonts w:hint="default" w:ascii="Times New Roman" w:hAnsi="Times New Roman" w:eastAsia="宋体" w:cs="Times New Roman"/>
                      <w:color w:val="auto"/>
                      <w:spacing w:val="13"/>
                      <w:sz w:val="21"/>
                      <w:szCs w:val="21"/>
                    </w:rPr>
                    <w:t>特意寻找某种颜色的小纸</w:t>
                  </w:r>
                  <w:r>
                    <w:rPr>
                      <w:rFonts w:hint="default" w:ascii="Times New Roman" w:hAnsi="Times New Roman" w:eastAsia="宋体" w:cs="Times New Roman"/>
                      <w:color w:val="auto"/>
                      <w:spacing w:val="5"/>
                      <w:sz w:val="21"/>
                      <w:szCs w:val="21"/>
                    </w:rPr>
                    <w:t>蝴蝶。）在模拟探究活动过程中，要求学生想象自己是</w:t>
                  </w:r>
                  <w:r>
                    <w:rPr>
                      <w:rFonts w:hint="eastAsia" w:ascii="Times New Roman" w:hAnsi="Times New Roman" w:eastAsia="宋体" w:cs="Times New Roman"/>
                      <w:color w:val="auto"/>
                      <w:spacing w:val="7"/>
                      <w:sz w:val="21"/>
                      <w:szCs w:val="21"/>
                      <w:lang w:eastAsia="zh-CN"/>
                    </w:rPr>
                    <w:t>“</w:t>
                  </w:r>
                  <w:r>
                    <w:rPr>
                      <w:rFonts w:hint="default" w:ascii="Times New Roman" w:hAnsi="Times New Roman" w:eastAsia="宋体" w:cs="Times New Roman"/>
                      <w:color w:val="auto"/>
                      <w:spacing w:val="7"/>
                      <w:sz w:val="21"/>
                      <w:szCs w:val="21"/>
                    </w:rPr>
                    <w:t>捕食者</w:t>
                  </w:r>
                  <w:r>
                    <w:rPr>
                      <w:rFonts w:hint="eastAsia" w:ascii="Times New Roman" w:hAnsi="Times New Roman" w:eastAsia="宋体" w:cs="Times New Roman"/>
                      <w:color w:val="auto"/>
                      <w:spacing w:val="7"/>
                      <w:sz w:val="21"/>
                      <w:szCs w:val="21"/>
                      <w:lang w:eastAsia="zh-CN"/>
                    </w:rPr>
                    <w:t>”</w:t>
                  </w:r>
                  <w:r>
                    <w:rPr>
                      <w:rFonts w:hint="default" w:ascii="Times New Roman" w:hAnsi="Times New Roman" w:eastAsia="宋体" w:cs="Times New Roman"/>
                      <w:color w:val="auto"/>
                      <w:spacing w:val="7"/>
                      <w:sz w:val="21"/>
                      <w:szCs w:val="21"/>
                    </w:rPr>
                    <w:t>，不能刻意选择某</w:t>
                  </w:r>
                  <w:r>
                    <w:rPr>
                      <w:rFonts w:hint="default" w:ascii="Times New Roman" w:hAnsi="Times New Roman" w:eastAsia="宋体" w:cs="Times New Roman"/>
                      <w:color w:val="auto"/>
                      <w:spacing w:val="3"/>
                      <w:sz w:val="21"/>
                      <w:szCs w:val="21"/>
                    </w:rPr>
                    <w:t>种颜色的</w:t>
                  </w:r>
                  <w:r>
                    <w:rPr>
                      <w:rFonts w:hint="eastAsia" w:ascii="Times New Roman" w:hAnsi="Times New Roman" w:eastAsia="宋体" w:cs="Times New Roman"/>
                      <w:color w:val="auto"/>
                      <w:spacing w:val="3"/>
                      <w:sz w:val="21"/>
                      <w:szCs w:val="21"/>
                      <w:lang w:eastAsia="zh-CN"/>
                    </w:rPr>
                    <w:t>“</w:t>
                  </w:r>
                  <w:r>
                    <w:rPr>
                      <w:rFonts w:hint="eastAsia" w:ascii="Times New Roman" w:hAnsi="Times New Roman" w:eastAsia="宋体" w:cs="Times New Roman"/>
                      <w:color w:val="auto"/>
                      <w:spacing w:val="3"/>
                      <w:sz w:val="21"/>
                      <w:szCs w:val="21"/>
                      <w:lang w:val="en-US" w:eastAsia="zh-CN"/>
                    </w:rPr>
                    <w:t>猎物</w:t>
                  </w:r>
                  <w:r>
                    <w:rPr>
                      <w:rFonts w:hint="eastAsia"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，培养学生</w:t>
                  </w:r>
                  <w:r>
                    <w:rPr>
                      <w:rFonts w:hint="default" w:ascii="Times New Roman" w:hAnsi="Times New Roman" w:eastAsia="宋体" w:cs="Times New Roman"/>
                      <w:color w:val="auto"/>
                      <w:spacing w:val="9"/>
                      <w:sz w:val="21"/>
                      <w:szCs w:val="21"/>
                    </w:rPr>
                    <w:t>的科学态度和与他人合作</w:t>
                  </w:r>
                  <w:r>
                    <w:rPr>
                      <w:rFonts w:hint="default" w:ascii="Times New Roman" w:hAnsi="Times New Roman" w:eastAsia="宋体" w:cs="Times New Roman"/>
                      <w:color w:val="auto"/>
                      <w:spacing w:val="2"/>
                      <w:sz w:val="21"/>
                      <w:szCs w:val="21"/>
                    </w:rPr>
                    <w:t>精神，及分配角色、承担各</w:t>
                  </w:r>
                  <w:r>
                    <w:rPr>
                      <w:rFonts w:hint="default" w:ascii="Times New Roman" w:hAnsi="Times New Roman" w:eastAsia="宋体" w:cs="Times New Roman"/>
                      <w:color w:val="auto"/>
                      <w:spacing w:val="8"/>
                      <w:sz w:val="21"/>
                      <w:szCs w:val="21"/>
                    </w:rPr>
                    <w:t>角色的责任</w:t>
                  </w:r>
                </w:p>
                <w:p w14:paraId="5727EE87">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lang w:val="en-US" w:eastAsia="zh-CN"/>
                    </w:rPr>
                    <w:t>7</w:t>
                  </w:r>
                  <w:r>
                    <w:rPr>
                      <w:rFonts w:hint="default" w:ascii="Times New Roman" w:hAnsi="Times New Roman" w:eastAsia="宋体" w:cs="Times New Roman"/>
                      <w:color w:val="auto"/>
                      <w:spacing w:val="3"/>
                      <w:sz w:val="21"/>
                      <w:szCs w:val="21"/>
                    </w:rPr>
                    <w:t>、统计</w:t>
                  </w:r>
                  <w:r>
                    <w:rPr>
                      <w:rFonts w:hint="eastAsia"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幸存者</w:t>
                  </w:r>
                  <w:r>
                    <w:rPr>
                      <w:rFonts w:hint="eastAsia"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中各种颜</w:t>
                  </w:r>
                  <w:r>
                    <w:rPr>
                      <w:rFonts w:hint="default" w:ascii="Times New Roman" w:hAnsi="Times New Roman" w:eastAsia="宋体" w:cs="Times New Roman"/>
                      <w:color w:val="auto"/>
                      <w:spacing w:val="7"/>
                      <w:sz w:val="21"/>
                      <w:szCs w:val="21"/>
                    </w:rPr>
                    <w:t>色的小纸蝴蝶的数目。</w:t>
                  </w:r>
                </w:p>
                <w:p w14:paraId="7DDCEA6C">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lang w:val="en-US" w:eastAsia="zh-CN"/>
                    </w:rPr>
                    <w:t>8</w:t>
                  </w:r>
                  <w:r>
                    <w:rPr>
                      <w:rFonts w:hint="default" w:ascii="Times New Roman" w:hAnsi="Times New Roman" w:eastAsia="宋体" w:cs="Times New Roman"/>
                      <w:color w:val="auto"/>
                      <w:spacing w:val="3"/>
                      <w:sz w:val="21"/>
                      <w:szCs w:val="21"/>
                    </w:rPr>
                    <w:t>、假设每个</w:t>
                  </w:r>
                  <w:r>
                    <w:rPr>
                      <w:rFonts w:hint="eastAsia"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幸存者</w:t>
                  </w:r>
                  <w:r>
                    <w:rPr>
                      <w:rFonts w:hint="eastAsia"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都产</w:t>
                  </w:r>
                  <w:r>
                    <w:rPr>
                      <w:rFonts w:hint="default" w:ascii="Times New Roman" w:hAnsi="Times New Roman" w:eastAsia="宋体" w:cs="Times New Roman"/>
                      <w:color w:val="auto"/>
                      <w:sz w:val="21"/>
                      <w:szCs w:val="21"/>
                    </w:rPr>
                    <w:t>生</w:t>
                  </w:r>
                  <w:r>
                    <w:rPr>
                      <w:rFonts w:hint="eastAsia" w:ascii="Times New Roman" w:hAnsi="Times New Roman" w:eastAsia="宋体" w:cs="Times New Roman"/>
                      <w:color w:val="auto"/>
                      <w:spacing w:val="-30"/>
                      <w:sz w:val="21"/>
                      <w:szCs w:val="21"/>
                      <w:lang w:val="en-US" w:eastAsia="zh-CN"/>
                    </w:rPr>
                    <w:t>3</w:t>
                  </w:r>
                  <w:r>
                    <w:rPr>
                      <w:rFonts w:hint="default" w:ascii="Times New Roman" w:hAnsi="Times New Roman" w:eastAsia="宋体" w:cs="Times New Roman"/>
                      <w:color w:val="auto"/>
                      <w:sz w:val="21"/>
                      <w:szCs w:val="21"/>
                    </w:rPr>
                    <w:t>个后代，而且体色与自</w:t>
                  </w:r>
                  <w:r>
                    <w:rPr>
                      <w:rFonts w:hint="default" w:ascii="Times New Roman" w:hAnsi="Times New Roman" w:eastAsia="宋体" w:cs="Times New Roman"/>
                      <w:color w:val="auto"/>
                      <w:spacing w:val="6"/>
                      <w:sz w:val="21"/>
                      <w:szCs w:val="21"/>
                    </w:rPr>
                    <w:t>己的相同。在每个</w:t>
                  </w:r>
                  <w:r>
                    <w:rPr>
                      <w:rFonts w:hint="eastAsia"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幸存者</w:t>
                  </w:r>
                  <w:r>
                    <w:rPr>
                      <w:rFonts w:hint="eastAsia"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7"/>
                      <w:sz w:val="21"/>
                      <w:szCs w:val="21"/>
                    </w:rPr>
                    <w:t>旁边放上</w:t>
                  </w:r>
                  <w:r>
                    <w:rPr>
                      <w:rFonts w:hint="default" w:ascii="Times New Roman" w:hAnsi="Times New Roman" w:eastAsia="Times New Roman" w:cs="Times New Roman"/>
                      <w:color w:val="auto"/>
                      <w:spacing w:val="7"/>
                      <w:sz w:val="21"/>
                      <w:szCs w:val="21"/>
                    </w:rPr>
                    <w:t>3</w:t>
                  </w:r>
                  <w:r>
                    <w:rPr>
                      <w:rFonts w:hint="default" w:ascii="Times New Roman" w:hAnsi="Times New Roman" w:eastAsia="宋体" w:cs="Times New Roman"/>
                      <w:color w:val="auto"/>
                      <w:spacing w:val="7"/>
                      <w:sz w:val="21"/>
                      <w:szCs w:val="21"/>
                    </w:rPr>
                    <w:t>个备用小纸蝴</w:t>
                  </w:r>
                  <w:r>
                    <w:rPr>
                      <w:rFonts w:hint="default" w:ascii="Times New Roman" w:hAnsi="Times New Roman" w:eastAsia="宋体" w:cs="Times New Roman"/>
                      <w:color w:val="auto"/>
                      <w:spacing w:val="-1"/>
                      <w:sz w:val="21"/>
                      <w:szCs w:val="21"/>
                    </w:rPr>
                    <w:t>蝶。</w:t>
                  </w:r>
                </w:p>
                <w:p w14:paraId="2B7C03AB">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lang w:val="en-US" w:eastAsia="zh-CN"/>
                    </w:rPr>
                    <w:t>9</w:t>
                  </w:r>
                  <w:r>
                    <w:rPr>
                      <w:rFonts w:hint="default" w:ascii="Times New Roman" w:hAnsi="Times New Roman" w:eastAsia="宋体" w:cs="Times New Roman"/>
                      <w:color w:val="auto"/>
                      <w:spacing w:val="3"/>
                      <w:sz w:val="21"/>
                      <w:szCs w:val="21"/>
                    </w:rPr>
                    <w:t>、将</w:t>
                  </w:r>
                  <w:r>
                    <w:rPr>
                      <w:rFonts w:hint="eastAsia"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幸存者</w:t>
                  </w:r>
                  <w:r>
                    <w:rPr>
                      <w:rFonts w:hint="eastAsia"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和它们的后</w:t>
                  </w:r>
                  <w:r>
                    <w:rPr>
                      <w:rFonts w:hint="default" w:ascii="Times New Roman" w:hAnsi="Times New Roman" w:eastAsia="宋体" w:cs="Times New Roman"/>
                      <w:color w:val="auto"/>
                      <w:spacing w:val="9"/>
                      <w:sz w:val="21"/>
                      <w:szCs w:val="21"/>
                    </w:rPr>
                    <w:t>代充分混合，重复上面</w:t>
                  </w:r>
                  <w:r>
                    <w:rPr>
                      <w:rFonts w:hint="default" w:ascii="Times New Roman" w:hAnsi="Times New Roman" w:eastAsia="宋体" w:cs="Times New Roman"/>
                      <w:color w:val="auto"/>
                      <w:spacing w:val="8"/>
                      <w:sz w:val="21"/>
                      <w:szCs w:val="21"/>
                      <w:lang w:val="en-US" w:eastAsia="zh-CN"/>
                    </w:rPr>
                    <w:t>5</w:t>
                  </w:r>
                  <w:r>
                    <w:rPr>
                      <w:rFonts w:hint="default" w:ascii="Times New Roman" w:hAnsi="Times New Roman" w:eastAsia="Times New Roman" w:cs="Times New Roman"/>
                      <w:color w:val="auto"/>
                      <w:spacing w:val="8"/>
                      <w:sz w:val="21"/>
                      <w:szCs w:val="21"/>
                    </w:rPr>
                    <w:t>-</w:t>
                  </w:r>
                  <w:r>
                    <w:rPr>
                      <w:rFonts w:hint="default" w:ascii="Times New Roman" w:hAnsi="Times New Roman" w:eastAsia="宋体" w:cs="Times New Roman"/>
                      <w:color w:val="auto"/>
                      <w:spacing w:val="8"/>
                      <w:sz w:val="21"/>
                      <w:szCs w:val="21"/>
                      <w:lang w:val="en-US" w:eastAsia="zh-CN"/>
                    </w:rPr>
                    <w:t>8</w:t>
                  </w:r>
                  <w:r>
                    <w:rPr>
                      <w:rFonts w:hint="default" w:ascii="Times New Roman" w:hAnsi="Times New Roman" w:eastAsia="宋体" w:cs="Times New Roman"/>
                      <w:color w:val="auto"/>
                      <w:spacing w:val="8"/>
                      <w:sz w:val="21"/>
                      <w:szCs w:val="21"/>
                    </w:rPr>
                    <w:t>步。每轮开始记录各</w:t>
                  </w:r>
                  <w:r>
                    <w:rPr>
                      <w:rFonts w:hint="default" w:ascii="Times New Roman" w:hAnsi="Times New Roman" w:eastAsia="宋体" w:cs="Times New Roman"/>
                      <w:color w:val="auto"/>
                      <w:spacing w:val="6"/>
                      <w:sz w:val="21"/>
                      <w:szCs w:val="21"/>
                    </w:rPr>
                    <w:t>种颜色的小纸蝴蝶的数目。</w:t>
                  </w:r>
                </w:p>
              </w:tc>
              <w:tc>
                <w:tcPr>
                  <w:tcW w:w="856" w:type="pct"/>
                  <w:tcBorders>
                    <w:tl2br w:val="nil"/>
                    <w:tr2bl w:val="nil"/>
                  </w:tcBorders>
                  <w:vAlign w:val="center"/>
                </w:tcPr>
                <w:p w14:paraId="7C4F66E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w:t>
                  </w:r>
                </w:p>
              </w:tc>
              <w:tc>
                <w:tcPr>
                  <w:tcW w:w="675" w:type="pct"/>
                  <w:tcBorders>
                    <w:tl2br w:val="nil"/>
                    <w:tr2bl w:val="nil"/>
                  </w:tcBorders>
                  <w:vAlign w:val="center"/>
                </w:tcPr>
                <w:p w14:paraId="14649A9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6"/>
                      <w:sz w:val="21"/>
                      <w:szCs w:val="21"/>
                    </w:rPr>
                    <w:t>纸蝴蝶</w:t>
                  </w:r>
                </w:p>
              </w:tc>
              <w:tc>
                <w:tcPr>
                  <w:tcW w:w="537" w:type="pct"/>
                  <w:tcBorders>
                    <w:tl2br w:val="nil"/>
                    <w:tr2bl w:val="nil"/>
                  </w:tcBorders>
                  <w:vAlign w:val="center"/>
                </w:tcPr>
                <w:p w14:paraId="4CF068E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学生</w:t>
                  </w:r>
                  <w:r>
                    <w:rPr>
                      <w:rFonts w:ascii="宋体" w:hAnsi="宋体" w:eastAsia="宋体" w:cs="宋体"/>
                      <w:color w:val="auto"/>
                      <w:spacing w:val="5"/>
                      <w:sz w:val="21"/>
                      <w:szCs w:val="21"/>
                    </w:rPr>
                    <w:t>操作</w:t>
                  </w:r>
                </w:p>
              </w:tc>
            </w:tr>
          </w:tbl>
          <w:p w14:paraId="65CF3D4B">
            <w:pPr>
              <w:spacing w:line="360" w:lineRule="auto"/>
              <w:ind w:firstLine="480"/>
              <w:rPr>
                <w:rFonts w:ascii="Times New Roman" w:hAnsi="Times New Roman" w:cs="Times New Roman"/>
                <w:color w:val="auto"/>
                <w:sz w:val="24"/>
                <w:szCs w:val="24"/>
                <w:highlight w:val="none"/>
              </w:rPr>
            </w:pPr>
          </w:p>
        </w:tc>
      </w:tr>
      <w:tr w14:paraId="7057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9" w:hRule="atLeast"/>
          <w:jc w:val="center"/>
        </w:trPr>
        <w:tc>
          <w:tcPr>
            <w:tcW w:w="410" w:type="pct"/>
            <w:vAlign w:val="center"/>
          </w:tcPr>
          <w:p w14:paraId="3379797F">
            <w:pPr>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与项目有关的原有环境污染问题</w:t>
            </w:r>
          </w:p>
        </w:tc>
        <w:tc>
          <w:tcPr>
            <w:tcW w:w="4590" w:type="pct"/>
          </w:tcPr>
          <w:p w14:paraId="41154D8A">
            <w:p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1、原有项目概况</w:t>
            </w:r>
          </w:p>
          <w:p w14:paraId="58A8C912">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马尔康市第二中学位于马尔康市达萨街439号，学校始建于1984年9月，总占地面积为15865m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，其中运动场地面积9374m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、食堂面积2595m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、教学及辅助用房建筑面积5013.15m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、学生宿舍建筑面积11193.35m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。马尔康市第二中学仅有初中部，规模设置学生752人，教职工92人，全校师生共计844人。</w:t>
            </w:r>
          </w:p>
          <w:p w14:paraId="51F38C71">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根据调查，马尔康市第二中学原有项目建设工程如下：</w:t>
            </w:r>
          </w:p>
          <w:p w14:paraId="34DD12B4">
            <w:pPr>
              <w:pStyle w:val="114"/>
              <w:bidi w:val="0"/>
              <w:rPr>
                <w:color w:val="auto"/>
              </w:rPr>
            </w:pPr>
            <w:r>
              <w:rPr>
                <w:rFonts w:hint="eastAsia"/>
                <w:color w:val="auto"/>
                <w:lang w:val="en-US" w:eastAsia="zh-CN"/>
              </w:rPr>
              <w:t>原有</w:t>
            </w:r>
            <w:r>
              <w:rPr>
                <w:rFonts w:hint="eastAsia"/>
                <w:color w:val="auto"/>
              </w:rPr>
              <w:t>项目</w:t>
            </w:r>
            <w:r>
              <w:rPr>
                <w:color w:val="auto"/>
              </w:rPr>
              <w:t>组成及主要环境问题</w:t>
            </w:r>
          </w:p>
          <w:tbl>
            <w:tblPr>
              <w:tblStyle w:val="4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723"/>
              <w:gridCol w:w="1387"/>
              <w:gridCol w:w="4467"/>
              <w:gridCol w:w="1483"/>
            </w:tblGrid>
            <w:tr w14:paraId="15FB8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25" w:type="dxa"/>
                  <w:gridSpan w:val="3"/>
                  <w:tcBorders>
                    <w:tl2br w:val="nil"/>
                    <w:tr2bl w:val="nil"/>
                  </w:tcBorders>
                  <w:vAlign w:val="center"/>
                </w:tcPr>
                <w:p w14:paraId="676101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工程类别</w:t>
                  </w:r>
                </w:p>
              </w:tc>
              <w:tc>
                <w:tcPr>
                  <w:tcW w:w="4467" w:type="dxa"/>
                  <w:tcBorders>
                    <w:tl2br w:val="nil"/>
                    <w:tr2bl w:val="nil"/>
                  </w:tcBorders>
                  <w:vAlign w:val="center"/>
                </w:tcPr>
                <w:p w14:paraId="14FD04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建设内容</w:t>
                  </w:r>
                </w:p>
              </w:tc>
              <w:tc>
                <w:tcPr>
                  <w:tcW w:w="1483" w:type="dxa"/>
                  <w:tcBorders>
                    <w:tl2br w:val="nil"/>
                    <w:tr2bl w:val="nil"/>
                  </w:tcBorders>
                  <w:vAlign w:val="center"/>
                </w:tcPr>
                <w:p w14:paraId="4B1191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主要环境问题</w:t>
                  </w:r>
                </w:p>
              </w:tc>
            </w:tr>
            <w:tr w14:paraId="1F300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vMerge w:val="restart"/>
                  <w:tcBorders>
                    <w:tl2br w:val="nil"/>
                    <w:tr2bl w:val="nil"/>
                  </w:tcBorders>
                  <w:vAlign w:val="center"/>
                </w:tcPr>
                <w:p w14:paraId="7000B4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主体工程</w:t>
                  </w:r>
                </w:p>
              </w:tc>
              <w:tc>
                <w:tcPr>
                  <w:tcW w:w="2110" w:type="dxa"/>
                  <w:gridSpan w:val="2"/>
                  <w:tcBorders>
                    <w:tl2br w:val="nil"/>
                    <w:tr2bl w:val="nil"/>
                  </w:tcBorders>
                  <w:vAlign w:val="center"/>
                </w:tcPr>
                <w:p w14:paraId="4FF1C8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教学楼</w:t>
                  </w:r>
                </w:p>
              </w:tc>
              <w:tc>
                <w:tcPr>
                  <w:tcW w:w="4467" w:type="dxa"/>
                  <w:tcBorders>
                    <w:tl2br w:val="nil"/>
                    <w:tr2bl w:val="nil"/>
                  </w:tcBorders>
                  <w:vAlign w:val="center"/>
                </w:tcPr>
                <w:p w14:paraId="1BCE54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位于学校东北侧，共2栋，一栋为4层建筑，一栋为5层建筑，主要布置有教室</w:t>
                  </w:r>
                </w:p>
              </w:tc>
              <w:tc>
                <w:tcPr>
                  <w:tcW w:w="1483" w:type="dxa"/>
                  <w:vMerge w:val="restart"/>
                  <w:tcBorders>
                    <w:tl2br w:val="nil"/>
                    <w:tr2bl w:val="nil"/>
                  </w:tcBorders>
                  <w:vAlign w:val="center"/>
                </w:tcPr>
                <w:p w14:paraId="141AEB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废水、固废、噪声</w:t>
                  </w:r>
                </w:p>
              </w:tc>
            </w:tr>
            <w:tr w14:paraId="20DA6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vMerge w:val="continue"/>
                  <w:tcBorders>
                    <w:tl2br w:val="nil"/>
                    <w:tr2bl w:val="nil"/>
                  </w:tcBorders>
                  <w:vAlign w:val="center"/>
                </w:tcPr>
                <w:p w14:paraId="0D92AD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2110" w:type="dxa"/>
                  <w:gridSpan w:val="2"/>
                  <w:tcBorders>
                    <w:tl2br w:val="nil"/>
                    <w:tr2bl w:val="nil"/>
                  </w:tcBorders>
                  <w:vAlign w:val="center"/>
                </w:tcPr>
                <w:p w14:paraId="775098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w:t>
                  </w:r>
                </w:p>
              </w:tc>
              <w:tc>
                <w:tcPr>
                  <w:tcW w:w="4467" w:type="dxa"/>
                  <w:tcBorders>
                    <w:tl2br w:val="nil"/>
                    <w:tr2bl w:val="nil"/>
                  </w:tcBorders>
                  <w:vAlign w:val="center"/>
                </w:tcPr>
                <w:p w14:paraId="2F89C0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位于风雨操场东北侧，共1栋，4层，主要布置有教师办公室</w:t>
                  </w:r>
                </w:p>
              </w:tc>
              <w:tc>
                <w:tcPr>
                  <w:tcW w:w="1483" w:type="dxa"/>
                  <w:vMerge w:val="continue"/>
                  <w:tcBorders>
                    <w:tl2br w:val="nil"/>
                    <w:tr2bl w:val="nil"/>
                  </w:tcBorders>
                  <w:vAlign w:val="center"/>
                </w:tcPr>
                <w:p w14:paraId="7947D7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r>
            <w:tr w14:paraId="40E04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vMerge w:val="continue"/>
                  <w:tcBorders>
                    <w:tl2br w:val="nil"/>
                    <w:tr2bl w:val="nil"/>
                  </w:tcBorders>
                  <w:vAlign w:val="center"/>
                </w:tcPr>
                <w:p w14:paraId="19F5B5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2110" w:type="dxa"/>
                  <w:gridSpan w:val="2"/>
                  <w:tcBorders>
                    <w:tl2br w:val="nil"/>
                    <w:tr2bl w:val="nil"/>
                  </w:tcBorders>
                  <w:vAlign w:val="center"/>
                </w:tcPr>
                <w:p w14:paraId="6DAF04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礼堂</w:t>
                  </w:r>
                </w:p>
              </w:tc>
              <w:tc>
                <w:tcPr>
                  <w:tcW w:w="4467" w:type="dxa"/>
                  <w:tcBorders>
                    <w:tl2br w:val="nil"/>
                    <w:tr2bl w:val="nil"/>
                  </w:tcBorders>
                  <w:vAlign w:val="center"/>
                </w:tcPr>
                <w:p w14:paraId="725F1C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位于风雨操场东侧，共1栋，2层</w:t>
                  </w:r>
                </w:p>
              </w:tc>
              <w:tc>
                <w:tcPr>
                  <w:tcW w:w="1483" w:type="dxa"/>
                  <w:vMerge w:val="continue"/>
                  <w:tcBorders>
                    <w:tl2br w:val="nil"/>
                    <w:tr2bl w:val="nil"/>
                  </w:tcBorders>
                  <w:vAlign w:val="center"/>
                </w:tcPr>
                <w:p w14:paraId="605FE1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r>
            <w:tr w14:paraId="47CA5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vMerge w:val="continue"/>
                  <w:tcBorders>
                    <w:tl2br w:val="nil"/>
                    <w:tr2bl w:val="nil"/>
                  </w:tcBorders>
                  <w:vAlign w:val="center"/>
                </w:tcPr>
                <w:p w14:paraId="746BCB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2110" w:type="dxa"/>
                  <w:gridSpan w:val="2"/>
                  <w:tcBorders>
                    <w:tl2br w:val="nil"/>
                    <w:tr2bl w:val="nil"/>
                  </w:tcBorders>
                  <w:vAlign w:val="center"/>
                </w:tcPr>
                <w:p w14:paraId="42B8DE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学生食堂</w:t>
                  </w:r>
                </w:p>
              </w:tc>
              <w:tc>
                <w:tcPr>
                  <w:tcW w:w="4467" w:type="dxa"/>
                  <w:tcBorders>
                    <w:tl2br w:val="nil"/>
                    <w:tr2bl w:val="nil"/>
                  </w:tcBorders>
                  <w:vAlign w:val="center"/>
                </w:tcPr>
                <w:p w14:paraId="354370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位于学校西北侧，共1栋，3层</w:t>
                  </w:r>
                </w:p>
              </w:tc>
              <w:tc>
                <w:tcPr>
                  <w:tcW w:w="1483" w:type="dxa"/>
                  <w:vMerge w:val="continue"/>
                  <w:tcBorders>
                    <w:tl2br w:val="nil"/>
                    <w:tr2bl w:val="nil"/>
                  </w:tcBorders>
                  <w:vAlign w:val="center"/>
                </w:tcPr>
                <w:p w14:paraId="736B58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r>
            <w:tr w14:paraId="342A1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vMerge w:val="continue"/>
                  <w:tcBorders>
                    <w:tl2br w:val="nil"/>
                    <w:tr2bl w:val="nil"/>
                  </w:tcBorders>
                  <w:vAlign w:val="center"/>
                </w:tcPr>
                <w:p w14:paraId="02F5A9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2110" w:type="dxa"/>
                  <w:gridSpan w:val="2"/>
                  <w:tcBorders>
                    <w:tl2br w:val="nil"/>
                    <w:tr2bl w:val="nil"/>
                  </w:tcBorders>
                  <w:vAlign w:val="center"/>
                </w:tcPr>
                <w:p w14:paraId="23A9B5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教师周转房</w:t>
                  </w:r>
                </w:p>
              </w:tc>
              <w:tc>
                <w:tcPr>
                  <w:tcW w:w="4467" w:type="dxa"/>
                  <w:tcBorders>
                    <w:tl2br w:val="nil"/>
                    <w:tr2bl w:val="nil"/>
                  </w:tcBorders>
                  <w:vAlign w:val="center"/>
                </w:tcPr>
                <w:p w14:paraId="0B6CDD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位于风雨操场东北侧，共1栋，4层</w:t>
                  </w:r>
                </w:p>
              </w:tc>
              <w:tc>
                <w:tcPr>
                  <w:tcW w:w="1483" w:type="dxa"/>
                  <w:vMerge w:val="continue"/>
                  <w:tcBorders>
                    <w:tl2br w:val="nil"/>
                    <w:tr2bl w:val="nil"/>
                  </w:tcBorders>
                  <w:vAlign w:val="center"/>
                </w:tcPr>
                <w:p w14:paraId="1B183B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r>
            <w:tr w14:paraId="4BD54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vMerge w:val="continue"/>
                  <w:tcBorders>
                    <w:tl2br w:val="nil"/>
                    <w:tr2bl w:val="nil"/>
                  </w:tcBorders>
                  <w:vAlign w:val="center"/>
                </w:tcPr>
                <w:p w14:paraId="19F470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2110" w:type="dxa"/>
                  <w:gridSpan w:val="2"/>
                  <w:tcBorders>
                    <w:tl2br w:val="nil"/>
                    <w:tr2bl w:val="nil"/>
                  </w:tcBorders>
                  <w:vAlign w:val="center"/>
                </w:tcPr>
                <w:p w14:paraId="1A98F5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女生宿舍楼</w:t>
                  </w:r>
                </w:p>
              </w:tc>
              <w:tc>
                <w:tcPr>
                  <w:tcW w:w="4467" w:type="dxa"/>
                  <w:tcBorders>
                    <w:tl2br w:val="nil"/>
                    <w:tr2bl w:val="nil"/>
                  </w:tcBorders>
                  <w:vAlign w:val="center"/>
                </w:tcPr>
                <w:p w14:paraId="34E98E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位于风雨操场北侧，共1栋，5层</w:t>
                  </w:r>
                </w:p>
              </w:tc>
              <w:tc>
                <w:tcPr>
                  <w:tcW w:w="1483" w:type="dxa"/>
                  <w:vMerge w:val="continue"/>
                  <w:tcBorders>
                    <w:tl2br w:val="nil"/>
                    <w:tr2bl w:val="nil"/>
                  </w:tcBorders>
                  <w:vAlign w:val="center"/>
                </w:tcPr>
                <w:p w14:paraId="1DC3A7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r>
            <w:tr w14:paraId="7365D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vMerge w:val="continue"/>
                  <w:tcBorders>
                    <w:tl2br w:val="nil"/>
                    <w:tr2bl w:val="nil"/>
                  </w:tcBorders>
                  <w:vAlign w:val="center"/>
                </w:tcPr>
                <w:p w14:paraId="6BA865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2110" w:type="dxa"/>
                  <w:gridSpan w:val="2"/>
                  <w:tcBorders>
                    <w:tl2br w:val="nil"/>
                    <w:tr2bl w:val="nil"/>
                  </w:tcBorders>
                  <w:vAlign w:val="center"/>
                </w:tcPr>
                <w:p w14:paraId="4CFA5B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宿舍楼</w:t>
                  </w:r>
                </w:p>
              </w:tc>
              <w:tc>
                <w:tcPr>
                  <w:tcW w:w="4467" w:type="dxa"/>
                  <w:tcBorders>
                    <w:tl2br w:val="nil"/>
                    <w:tr2bl w:val="nil"/>
                  </w:tcBorders>
                  <w:vAlign w:val="center"/>
                </w:tcPr>
                <w:p w14:paraId="75C151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位于学校东南侧，共1栋，12层</w:t>
                  </w:r>
                </w:p>
              </w:tc>
              <w:tc>
                <w:tcPr>
                  <w:tcW w:w="1483" w:type="dxa"/>
                  <w:vMerge w:val="continue"/>
                  <w:tcBorders>
                    <w:tl2br w:val="nil"/>
                    <w:tr2bl w:val="nil"/>
                  </w:tcBorders>
                  <w:vAlign w:val="center"/>
                </w:tcPr>
                <w:p w14:paraId="747EB8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r>
            <w:tr w14:paraId="34E22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vMerge w:val="restart"/>
                  <w:tcBorders>
                    <w:tl2br w:val="nil"/>
                    <w:tr2bl w:val="nil"/>
                  </w:tcBorders>
                  <w:vAlign w:val="center"/>
                </w:tcPr>
                <w:p w14:paraId="352D62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公用工程</w:t>
                  </w:r>
                </w:p>
              </w:tc>
              <w:tc>
                <w:tcPr>
                  <w:tcW w:w="2110" w:type="dxa"/>
                  <w:gridSpan w:val="2"/>
                  <w:tcBorders>
                    <w:tl2br w:val="nil"/>
                    <w:tr2bl w:val="nil"/>
                  </w:tcBorders>
                  <w:vAlign w:val="center"/>
                </w:tcPr>
                <w:p w14:paraId="206108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供水</w:t>
                  </w:r>
                </w:p>
              </w:tc>
              <w:tc>
                <w:tcPr>
                  <w:tcW w:w="4467" w:type="dxa"/>
                  <w:tcBorders>
                    <w:tl2br w:val="nil"/>
                    <w:tr2bl w:val="nil"/>
                  </w:tcBorders>
                  <w:vAlign w:val="center"/>
                </w:tcPr>
                <w:p w14:paraId="53AD88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接市政供水管网</w:t>
                  </w:r>
                </w:p>
              </w:tc>
              <w:tc>
                <w:tcPr>
                  <w:tcW w:w="1483" w:type="dxa"/>
                  <w:tcBorders>
                    <w:tl2br w:val="nil"/>
                    <w:tr2bl w:val="nil"/>
                  </w:tcBorders>
                  <w:vAlign w:val="center"/>
                </w:tcPr>
                <w:p w14:paraId="09EA34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14:paraId="00E22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vMerge w:val="continue"/>
                  <w:tcBorders>
                    <w:tl2br w:val="nil"/>
                    <w:tr2bl w:val="nil"/>
                  </w:tcBorders>
                  <w:vAlign w:val="center"/>
                </w:tcPr>
                <w:p w14:paraId="34B3D5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2110" w:type="dxa"/>
                  <w:gridSpan w:val="2"/>
                  <w:tcBorders>
                    <w:tl2br w:val="nil"/>
                    <w:tr2bl w:val="nil"/>
                  </w:tcBorders>
                  <w:vAlign w:val="center"/>
                </w:tcPr>
                <w:p w14:paraId="02A37C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供电</w:t>
                  </w:r>
                </w:p>
              </w:tc>
              <w:tc>
                <w:tcPr>
                  <w:tcW w:w="4467" w:type="dxa"/>
                  <w:tcBorders>
                    <w:tl2br w:val="nil"/>
                    <w:tr2bl w:val="nil"/>
                  </w:tcBorders>
                  <w:vAlign w:val="center"/>
                </w:tcPr>
                <w:p w14:paraId="5F4D43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市政电网</w:t>
                  </w:r>
                </w:p>
              </w:tc>
              <w:tc>
                <w:tcPr>
                  <w:tcW w:w="1483" w:type="dxa"/>
                  <w:tcBorders>
                    <w:tl2br w:val="nil"/>
                    <w:tr2bl w:val="nil"/>
                  </w:tcBorders>
                  <w:vAlign w:val="center"/>
                </w:tcPr>
                <w:p w14:paraId="334FB0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14:paraId="4F811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tcBorders>
                    <w:tl2br w:val="nil"/>
                    <w:tr2bl w:val="nil"/>
                  </w:tcBorders>
                  <w:vAlign w:val="center"/>
                </w:tcPr>
                <w:p w14:paraId="332317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辅助工程</w:t>
                  </w:r>
                </w:p>
              </w:tc>
              <w:tc>
                <w:tcPr>
                  <w:tcW w:w="2110" w:type="dxa"/>
                  <w:gridSpan w:val="2"/>
                  <w:tcBorders>
                    <w:tl2br w:val="nil"/>
                    <w:tr2bl w:val="nil"/>
                  </w:tcBorders>
                  <w:vAlign w:val="center"/>
                </w:tcPr>
                <w:p w14:paraId="444044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门卫</w:t>
                  </w:r>
                </w:p>
              </w:tc>
              <w:tc>
                <w:tcPr>
                  <w:tcW w:w="4467" w:type="dxa"/>
                  <w:tcBorders>
                    <w:tl2br w:val="nil"/>
                    <w:tr2bl w:val="nil"/>
                  </w:tcBorders>
                  <w:vAlign w:val="center"/>
                </w:tcPr>
                <w:p w14:paraId="0D79E1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位于学校南侧大门口</w:t>
                  </w:r>
                </w:p>
              </w:tc>
              <w:tc>
                <w:tcPr>
                  <w:tcW w:w="1483" w:type="dxa"/>
                  <w:tcBorders>
                    <w:tl2br w:val="nil"/>
                    <w:tr2bl w:val="nil"/>
                  </w:tcBorders>
                  <w:vAlign w:val="center"/>
                </w:tcPr>
                <w:p w14:paraId="7CE81F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固废</w:t>
                  </w:r>
                </w:p>
              </w:tc>
            </w:tr>
            <w:tr w14:paraId="099216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vMerge w:val="restart"/>
                  <w:tcBorders>
                    <w:tl2br w:val="nil"/>
                    <w:tr2bl w:val="nil"/>
                  </w:tcBorders>
                  <w:vAlign w:val="center"/>
                </w:tcPr>
                <w:p w14:paraId="351878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环保工程</w:t>
                  </w:r>
                </w:p>
              </w:tc>
              <w:tc>
                <w:tcPr>
                  <w:tcW w:w="723" w:type="dxa"/>
                  <w:vMerge w:val="restart"/>
                  <w:tcBorders>
                    <w:tl2br w:val="nil"/>
                    <w:tr2bl w:val="nil"/>
                  </w:tcBorders>
                  <w:vAlign w:val="center"/>
                </w:tcPr>
                <w:p w14:paraId="78378A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废气</w:t>
                  </w:r>
                </w:p>
              </w:tc>
              <w:tc>
                <w:tcPr>
                  <w:tcW w:w="1387" w:type="dxa"/>
                  <w:tcBorders>
                    <w:tl2br w:val="nil"/>
                    <w:tr2bl w:val="nil"/>
                  </w:tcBorders>
                  <w:vAlign w:val="center"/>
                </w:tcPr>
                <w:p w14:paraId="527BF9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实验室废气</w:t>
                  </w:r>
                </w:p>
              </w:tc>
              <w:tc>
                <w:tcPr>
                  <w:tcW w:w="4467" w:type="dxa"/>
                  <w:tcBorders>
                    <w:tl2br w:val="nil"/>
                    <w:tr2bl w:val="nil"/>
                  </w:tcBorders>
                  <w:vAlign w:val="center"/>
                </w:tcPr>
                <w:p w14:paraId="54A9AA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无组织排放</w:t>
                  </w:r>
                </w:p>
              </w:tc>
              <w:tc>
                <w:tcPr>
                  <w:tcW w:w="1483" w:type="dxa"/>
                  <w:tcBorders>
                    <w:tl2br w:val="nil"/>
                    <w:tr2bl w:val="nil"/>
                  </w:tcBorders>
                  <w:vAlign w:val="center"/>
                </w:tcPr>
                <w:p w14:paraId="587FFB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氯化氢、硫酸雾、氨、VOCs</w:t>
                  </w:r>
                </w:p>
              </w:tc>
            </w:tr>
            <w:tr w14:paraId="36994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vMerge w:val="continue"/>
                  <w:tcBorders>
                    <w:tl2br w:val="nil"/>
                    <w:tr2bl w:val="nil"/>
                  </w:tcBorders>
                  <w:vAlign w:val="center"/>
                </w:tcPr>
                <w:p w14:paraId="0290B8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723" w:type="dxa"/>
                  <w:vMerge w:val="continue"/>
                  <w:tcBorders>
                    <w:tl2br w:val="nil"/>
                    <w:tr2bl w:val="nil"/>
                  </w:tcBorders>
                  <w:vAlign w:val="center"/>
                </w:tcPr>
                <w:p w14:paraId="0DF49E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1387" w:type="dxa"/>
                  <w:tcBorders>
                    <w:tl2br w:val="nil"/>
                    <w:tr2bl w:val="nil"/>
                  </w:tcBorders>
                  <w:vAlign w:val="center"/>
                </w:tcPr>
                <w:p w14:paraId="72A02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食堂油烟</w:t>
                  </w:r>
                </w:p>
              </w:tc>
              <w:tc>
                <w:tcPr>
                  <w:tcW w:w="4467" w:type="dxa"/>
                  <w:tcBorders>
                    <w:tl2br w:val="nil"/>
                    <w:tr2bl w:val="nil"/>
                  </w:tcBorders>
                  <w:vAlign w:val="center"/>
                </w:tcPr>
                <w:p w14:paraId="5C20FE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灶台顶部设置有集气罩，油烟废气经烟道室外排放</w:t>
                  </w:r>
                </w:p>
              </w:tc>
              <w:tc>
                <w:tcPr>
                  <w:tcW w:w="1483" w:type="dxa"/>
                  <w:tcBorders>
                    <w:tl2br w:val="nil"/>
                    <w:tr2bl w:val="nil"/>
                  </w:tcBorders>
                  <w:vAlign w:val="center"/>
                </w:tcPr>
                <w:p w14:paraId="45AEFC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油烟</w:t>
                  </w:r>
                </w:p>
              </w:tc>
            </w:tr>
            <w:tr w14:paraId="04AC8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vMerge w:val="continue"/>
                  <w:tcBorders>
                    <w:tl2br w:val="nil"/>
                    <w:tr2bl w:val="nil"/>
                  </w:tcBorders>
                  <w:vAlign w:val="center"/>
                </w:tcPr>
                <w:p w14:paraId="0504F5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723" w:type="dxa"/>
                  <w:vMerge w:val="continue"/>
                  <w:tcBorders>
                    <w:tl2br w:val="nil"/>
                    <w:tr2bl w:val="nil"/>
                  </w:tcBorders>
                  <w:vAlign w:val="center"/>
                </w:tcPr>
                <w:p w14:paraId="0B538D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1387" w:type="dxa"/>
                  <w:tcBorders>
                    <w:tl2br w:val="nil"/>
                    <w:tr2bl w:val="nil"/>
                  </w:tcBorders>
                  <w:vAlign w:val="center"/>
                </w:tcPr>
                <w:p w14:paraId="4F2B59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柴油发电机废气</w:t>
                  </w:r>
                </w:p>
              </w:tc>
              <w:tc>
                <w:tcPr>
                  <w:tcW w:w="4467" w:type="dxa"/>
                  <w:tcBorders>
                    <w:tl2br w:val="nil"/>
                    <w:tr2bl w:val="nil"/>
                  </w:tcBorders>
                  <w:vAlign w:val="center"/>
                </w:tcPr>
                <w:p w14:paraId="5D23F6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经自带的净化器处理后通过排烟管道排至室外</w:t>
                  </w:r>
                </w:p>
              </w:tc>
              <w:tc>
                <w:tcPr>
                  <w:tcW w:w="1483" w:type="dxa"/>
                  <w:tcBorders>
                    <w:tl2br w:val="nil"/>
                    <w:tr2bl w:val="nil"/>
                  </w:tcBorders>
                  <w:vAlign w:val="center"/>
                </w:tcPr>
                <w:p w14:paraId="7F3845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CO、HC、NO</w:t>
                  </w:r>
                  <w:r>
                    <w:rPr>
                      <w:rFonts w:hint="eastAsia" w:ascii="Times New Roman" w:hAnsi="Times New Roman" w:cs="Times New Roman"/>
                      <w:color w:val="auto"/>
                      <w:sz w:val="21"/>
                      <w:szCs w:val="21"/>
                      <w:highlight w:val="none"/>
                      <w:vertAlign w:val="subscript"/>
                      <w:lang w:val="en-US" w:eastAsia="zh-CN"/>
                    </w:rPr>
                    <w:t>2</w:t>
                  </w:r>
                </w:p>
              </w:tc>
            </w:tr>
            <w:tr w14:paraId="7A2AF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vMerge w:val="continue"/>
                  <w:tcBorders>
                    <w:tl2br w:val="nil"/>
                    <w:tr2bl w:val="nil"/>
                  </w:tcBorders>
                  <w:vAlign w:val="center"/>
                </w:tcPr>
                <w:p w14:paraId="00F90B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723" w:type="dxa"/>
                  <w:vMerge w:val="restart"/>
                  <w:tcBorders>
                    <w:tl2br w:val="nil"/>
                    <w:tr2bl w:val="nil"/>
                  </w:tcBorders>
                  <w:vAlign w:val="center"/>
                </w:tcPr>
                <w:p w14:paraId="2E1291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废水</w:t>
                  </w:r>
                </w:p>
              </w:tc>
              <w:tc>
                <w:tcPr>
                  <w:tcW w:w="1387" w:type="dxa"/>
                  <w:tcBorders>
                    <w:tl2br w:val="nil"/>
                    <w:tr2bl w:val="nil"/>
                  </w:tcBorders>
                  <w:vAlign w:val="center"/>
                </w:tcPr>
                <w:p w14:paraId="0EFC20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生活污水</w:t>
                  </w:r>
                </w:p>
              </w:tc>
              <w:tc>
                <w:tcPr>
                  <w:tcW w:w="4467" w:type="dxa"/>
                  <w:vMerge w:val="restart"/>
                  <w:tcBorders>
                    <w:tl2br w:val="nil"/>
                    <w:tr2bl w:val="nil"/>
                  </w:tcBorders>
                  <w:vAlign w:val="center"/>
                </w:tcPr>
                <w:p w14:paraId="1F5869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经预处理池处理后排入市政污水管网</w:t>
                  </w:r>
                </w:p>
              </w:tc>
              <w:tc>
                <w:tcPr>
                  <w:tcW w:w="1483" w:type="dxa"/>
                  <w:tcBorders>
                    <w:tl2br w:val="nil"/>
                    <w:tr2bl w:val="nil"/>
                  </w:tcBorders>
                  <w:vAlign w:val="center"/>
                </w:tcPr>
                <w:p w14:paraId="322EF9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废水</w:t>
                  </w:r>
                </w:p>
              </w:tc>
            </w:tr>
            <w:tr w14:paraId="50FAF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vMerge w:val="continue"/>
                  <w:tcBorders>
                    <w:tl2br w:val="nil"/>
                    <w:tr2bl w:val="nil"/>
                  </w:tcBorders>
                  <w:vAlign w:val="center"/>
                </w:tcPr>
                <w:p w14:paraId="08BFE5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723" w:type="dxa"/>
                  <w:vMerge w:val="continue"/>
                  <w:tcBorders>
                    <w:tl2br w:val="nil"/>
                    <w:tr2bl w:val="nil"/>
                  </w:tcBorders>
                  <w:vAlign w:val="center"/>
                </w:tcPr>
                <w:p w14:paraId="637132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1387" w:type="dxa"/>
                  <w:tcBorders>
                    <w:tl2br w:val="nil"/>
                    <w:tr2bl w:val="nil"/>
                  </w:tcBorders>
                  <w:vAlign w:val="center"/>
                </w:tcPr>
                <w:p w14:paraId="5405EB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实验废水</w:t>
                  </w:r>
                </w:p>
              </w:tc>
              <w:tc>
                <w:tcPr>
                  <w:tcW w:w="4467" w:type="dxa"/>
                  <w:vMerge w:val="continue"/>
                  <w:tcBorders>
                    <w:tl2br w:val="nil"/>
                    <w:tr2bl w:val="nil"/>
                  </w:tcBorders>
                  <w:vAlign w:val="center"/>
                </w:tcPr>
                <w:p w14:paraId="6E5F82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1483" w:type="dxa"/>
                  <w:tcBorders>
                    <w:tl2br w:val="nil"/>
                    <w:tr2bl w:val="nil"/>
                  </w:tcBorders>
                  <w:vAlign w:val="center"/>
                </w:tcPr>
                <w:p w14:paraId="07F969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废水</w:t>
                  </w:r>
                </w:p>
              </w:tc>
            </w:tr>
            <w:tr w14:paraId="5BAF2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vMerge w:val="continue"/>
                  <w:tcBorders>
                    <w:tl2br w:val="nil"/>
                    <w:tr2bl w:val="nil"/>
                  </w:tcBorders>
                  <w:vAlign w:val="center"/>
                </w:tcPr>
                <w:p w14:paraId="443AA7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2110" w:type="dxa"/>
                  <w:gridSpan w:val="2"/>
                  <w:tcBorders>
                    <w:tl2br w:val="nil"/>
                    <w:tr2bl w:val="nil"/>
                  </w:tcBorders>
                  <w:vAlign w:val="center"/>
                </w:tcPr>
                <w:p w14:paraId="004C10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噪声</w:t>
                  </w:r>
                </w:p>
              </w:tc>
              <w:tc>
                <w:tcPr>
                  <w:tcW w:w="4467" w:type="dxa"/>
                  <w:tcBorders>
                    <w:tl2br w:val="nil"/>
                    <w:tr2bl w:val="nil"/>
                  </w:tcBorders>
                  <w:vAlign w:val="center"/>
                </w:tcPr>
                <w:p w14:paraId="149DC4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设备定期调试维护保养</w:t>
                  </w:r>
                  <w:r>
                    <w:rPr>
                      <w:rFonts w:hint="eastAsia" w:ascii="Times New Roman" w:hAnsi="Times New Roman" w:eastAsia="宋体" w:cs="Times New Roman"/>
                      <w:color w:val="auto"/>
                      <w:sz w:val="21"/>
                      <w:szCs w:val="21"/>
                      <w:highlight w:val="none"/>
                      <w:lang w:val="en-US" w:eastAsia="zh-CN"/>
                    </w:rPr>
                    <w:t>、加强学生管理</w:t>
                  </w:r>
                </w:p>
              </w:tc>
              <w:tc>
                <w:tcPr>
                  <w:tcW w:w="1483" w:type="dxa"/>
                  <w:tcBorders>
                    <w:tl2br w:val="nil"/>
                    <w:tr2bl w:val="nil"/>
                  </w:tcBorders>
                  <w:vAlign w:val="center"/>
                </w:tcPr>
                <w:p w14:paraId="46346C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噪声</w:t>
                  </w:r>
                </w:p>
              </w:tc>
            </w:tr>
            <w:tr w14:paraId="0403C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vMerge w:val="continue"/>
                  <w:tcBorders>
                    <w:tl2br w:val="nil"/>
                    <w:tr2bl w:val="nil"/>
                  </w:tcBorders>
                  <w:vAlign w:val="center"/>
                </w:tcPr>
                <w:p w14:paraId="5ACC2C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723" w:type="dxa"/>
                  <w:vMerge w:val="restart"/>
                  <w:tcBorders>
                    <w:tl2br w:val="nil"/>
                    <w:tr2bl w:val="nil"/>
                  </w:tcBorders>
                  <w:vAlign w:val="center"/>
                </w:tcPr>
                <w:p w14:paraId="07AC80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固废</w:t>
                  </w:r>
                </w:p>
              </w:tc>
              <w:tc>
                <w:tcPr>
                  <w:tcW w:w="1387" w:type="dxa"/>
                  <w:tcBorders>
                    <w:tl2br w:val="nil"/>
                    <w:tr2bl w:val="nil"/>
                  </w:tcBorders>
                  <w:vAlign w:val="center"/>
                </w:tcPr>
                <w:p w14:paraId="109463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一般固废</w:t>
                  </w:r>
                </w:p>
              </w:tc>
              <w:tc>
                <w:tcPr>
                  <w:tcW w:w="4467" w:type="dxa"/>
                  <w:tcBorders>
                    <w:tl2br w:val="nil"/>
                    <w:tr2bl w:val="nil"/>
                  </w:tcBorders>
                  <w:vAlign w:val="center"/>
                </w:tcPr>
                <w:p w14:paraId="5B9A06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生活垃圾由环卫部门统一清运处理；食堂餐厨垃圾经有资质单位回收处置；预处理池污泥定期清掏。</w:t>
                  </w:r>
                </w:p>
              </w:tc>
              <w:tc>
                <w:tcPr>
                  <w:tcW w:w="1483" w:type="dxa"/>
                  <w:tcBorders>
                    <w:tl2br w:val="nil"/>
                    <w:tr2bl w:val="nil"/>
                  </w:tcBorders>
                  <w:vAlign w:val="center"/>
                </w:tcPr>
                <w:p w14:paraId="356A70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固废</w:t>
                  </w:r>
                </w:p>
              </w:tc>
            </w:tr>
            <w:tr w14:paraId="44179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5" w:type="dxa"/>
                  <w:vMerge w:val="continue"/>
                  <w:tcBorders>
                    <w:tl2br w:val="nil"/>
                    <w:tr2bl w:val="nil"/>
                  </w:tcBorders>
                  <w:vAlign w:val="center"/>
                </w:tcPr>
                <w:p w14:paraId="4CEF0B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723" w:type="dxa"/>
                  <w:vMerge w:val="continue"/>
                  <w:tcBorders>
                    <w:tl2br w:val="nil"/>
                    <w:tr2bl w:val="nil"/>
                  </w:tcBorders>
                  <w:vAlign w:val="center"/>
                </w:tcPr>
                <w:p w14:paraId="5529AB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1387" w:type="dxa"/>
                  <w:tcBorders>
                    <w:tl2br w:val="nil"/>
                    <w:tr2bl w:val="nil"/>
                  </w:tcBorders>
                  <w:vAlign w:val="center"/>
                </w:tcPr>
                <w:p w14:paraId="02F552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危险废物</w:t>
                  </w:r>
                </w:p>
              </w:tc>
              <w:tc>
                <w:tcPr>
                  <w:tcW w:w="4467" w:type="dxa"/>
                  <w:tcBorders>
                    <w:tl2br w:val="nil"/>
                    <w:tr2bl w:val="nil"/>
                  </w:tcBorders>
                  <w:vAlign w:val="center"/>
                </w:tcPr>
                <w:p w14:paraId="1252A3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化学实验产生的实验废液和实验器皿前三次清洗废水未作为危废进行收集，直接排入市政污水管网</w:t>
                  </w:r>
                  <w:r>
                    <w:rPr>
                      <w:rFonts w:hint="eastAsia" w:ascii="Times New Roman" w:hAnsi="Times New Roman" w:cs="Times New Roman"/>
                      <w:color w:val="auto"/>
                      <w:sz w:val="21"/>
                      <w:szCs w:val="21"/>
                      <w:highlight w:val="none"/>
                      <w:vertAlign w:val="baseline"/>
                      <w:lang w:val="en-US" w:eastAsia="zh-CN"/>
                    </w:rPr>
                    <w:t>；化学品废包装容器送至马尔康市中学危废暂存间，定期由有危废处理资质单位运输处置</w:t>
                  </w:r>
                </w:p>
              </w:tc>
              <w:tc>
                <w:tcPr>
                  <w:tcW w:w="1483" w:type="dxa"/>
                  <w:tcBorders>
                    <w:tl2br w:val="nil"/>
                    <w:tr2bl w:val="nil"/>
                  </w:tcBorders>
                  <w:vAlign w:val="center"/>
                </w:tcPr>
                <w:p w14:paraId="21D33C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危废</w:t>
                  </w:r>
                </w:p>
              </w:tc>
            </w:tr>
          </w:tbl>
          <w:p w14:paraId="3E42A08C">
            <w:pPr>
              <w:spacing w:line="360" w:lineRule="auto"/>
              <w:ind w:firstLine="482" w:firstLineChars="200"/>
              <w:rPr>
                <w:rFonts w:hint="default" w:ascii="Times New Roman" w:hAnsi="Times New Roman" w:cs="Times New Roman" w:eastAsiaTheme="minorEastAsia"/>
                <w:b/>
                <w:color w:val="auto"/>
                <w:sz w:val="24"/>
                <w:szCs w:val="24"/>
                <w:highlight w:val="none"/>
                <w:lang w:val="en-US" w:eastAsia="zh-CN"/>
              </w:rPr>
            </w:pPr>
            <w:r>
              <w:rPr>
                <w:rFonts w:hint="eastAsia" w:ascii="Times New Roman" w:hAnsi="Times New Roman" w:cs="Times New Roman"/>
                <w:b/>
                <w:color w:val="auto"/>
                <w:sz w:val="24"/>
                <w:szCs w:val="24"/>
                <w:highlight w:val="none"/>
                <w:lang w:val="en-US" w:eastAsia="zh-CN"/>
              </w:rPr>
              <w:t>2、原有项目环保手续情况</w:t>
            </w:r>
          </w:p>
          <w:p w14:paraId="1C57BFA5">
            <w:pPr>
              <w:spacing w:line="360" w:lineRule="auto"/>
              <w:ind w:firstLine="480" w:firstLineChars="200"/>
              <w:rPr>
                <w:rFonts w:hint="default" w:ascii="Times New Roman" w:hAnsi="Times New Roman" w:cs="Times New Roman" w:eastAsiaTheme="minorEastAsia"/>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由于</w:t>
            </w:r>
            <w:r>
              <w:rPr>
                <w:rFonts w:hint="eastAsia" w:ascii="Times New Roman" w:hAnsi="Times New Roman" w:cs="Times New Roman"/>
                <w:color w:val="auto"/>
                <w:sz w:val="24"/>
                <w:szCs w:val="24"/>
                <w:highlight w:val="none"/>
                <w:lang w:val="en-US" w:eastAsia="zh-CN"/>
              </w:rPr>
              <w:t>马尔康市第二中学建设年代较为久远，原有项目未开展环境影响评价工作。</w:t>
            </w:r>
          </w:p>
          <w:p w14:paraId="26AFEC34">
            <w:pPr>
              <w:spacing w:line="360" w:lineRule="auto"/>
              <w:ind w:firstLine="482" w:firstLineChars="200"/>
              <w:rPr>
                <w:rFonts w:ascii="Times New Roman" w:hAnsi="Times New Roman" w:cs="Times New Roman"/>
                <w:b/>
                <w:bCs/>
                <w:color w:val="auto"/>
                <w:sz w:val="24"/>
                <w:szCs w:val="24"/>
                <w:highlight w:val="none"/>
              </w:rPr>
            </w:pPr>
            <w:r>
              <w:rPr>
                <w:rFonts w:hint="eastAsia" w:ascii="Times New Roman" w:hAnsi="Times New Roman" w:cs="Times New Roman"/>
                <w:b/>
                <w:color w:val="auto"/>
                <w:sz w:val="24"/>
                <w:szCs w:val="24"/>
                <w:highlight w:val="none"/>
                <w:lang w:val="en-US" w:eastAsia="zh-CN"/>
              </w:rPr>
              <w:t>3</w:t>
            </w:r>
            <w:r>
              <w:rPr>
                <w:rFonts w:hint="eastAsia" w:ascii="Times New Roman" w:hAnsi="Times New Roman" w:cs="Times New Roman"/>
                <w:b/>
                <w:color w:val="auto"/>
                <w:sz w:val="24"/>
                <w:szCs w:val="24"/>
                <w:highlight w:val="none"/>
              </w:rPr>
              <w:t>、</w:t>
            </w:r>
            <w:r>
              <w:rPr>
                <w:rFonts w:hint="eastAsia" w:ascii="Times New Roman" w:hAnsi="Times New Roman" w:cs="Times New Roman"/>
                <w:b/>
                <w:color w:val="auto"/>
                <w:sz w:val="24"/>
                <w:szCs w:val="24"/>
                <w:highlight w:val="none"/>
                <w:lang w:val="en-US" w:eastAsia="zh-CN"/>
              </w:rPr>
              <w:t>原有项目</w:t>
            </w:r>
            <w:r>
              <w:rPr>
                <w:rFonts w:ascii="Times New Roman" w:hAnsi="Times New Roman" w:cs="Times New Roman"/>
                <w:b/>
                <w:bCs/>
                <w:color w:val="auto"/>
                <w:sz w:val="24"/>
                <w:szCs w:val="24"/>
                <w:highlight w:val="none"/>
              </w:rPr>
              <w:t>主要设备</w:t>
            </w:r>
          </w:p>
          <w:p w14:paraId="5D131A18">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w:t>
            </w:r>
            <w:r>
              <w:rPr>
                <w:rFonts w:hint="eastAsia" w:ascii="Times New Roman" w:hAnsi="Times New Roman" w:cs="Times New Roman"/>
                <w:color w:val="auto"/>
                <w:sz w:val="24"/>
                <w:szCs w:val="24"/>
                <w:highlight w:val="none"/>
                <w:lang w:val="en-US" w:eastAsia="zh-CN"/>
              </w:rPr>
              <w:t>原有项目</w:t>
            </w:r>
            <w:r>
              <w:rPr>
                <w:rFonts w:hint="eastAsia" w:ascii="Times New Roman" w:hAnsi="Times New Roman" w:cs="Times New Roman"/>
                <w:color w:val="auto"/>
                <w:sz w:val="24"/>
                <w:szCs w:val="24"/>
                <w:highlight w:val="none"/>
              </w:rPr>
              <w:t>主要</w:t>
            </w:r>
            <w:r>
              <w:rPr>
                <w:rFonts w:ascii="Times New Roman" w:hAnsi="Times New Roman" w:cs="Times New Roman"/>
                <w:color w:val="auto"/>
                <w:sz w:val="24"/>
                <w:szCs w:val="24"/>
                <w:highlight w:val="none"/>
              </w:rPr>
              <w:t>设备设置情况如下表所示</w:t>
            </w:r>
            <w:r>
              <w:rPr>
                <w:rFonts w:hint="eastAsia" w:ascii="Times New Roman" w:hAnsi="Times New Roman" w:cs="Times New Roman"/>
                <w:color w:val="auto"/>
                <w:sz w:val="24"/>
                <w:szCs w:val="24"/>
                <w:highlight w:val="none"/>
              </w:rPr>
              <w:t>。</w:t>
            </w:r>
            <w:r>
              <w:rPr>
                <w:rFonts w:hint="eastAsia" w:ascii="Times New Roman" w:hAnsi="Times New Roman" w:cs="Times New Roman"/>
                <w:b/>
                <w:bCs/>
                <w:color w:val="auto"/>
                <w:sz w:val="24"/>
                <w:szCs w:val="24"/>
                <w:highlight w:val="none"/>
                <w:lang w:val="en-US" w:eastAsia="zh-CN"/>
              </w:rPr>
              <w:t>本项目建成后，原有实验室实验设备将搬至本项目新建实验室，原有房间将设置为教室。</w:t>
            </w:r>
          </w:p>
          <w:p w14:paraId="3EA9FF85">
            <w:pPr>
              <w:pStyle w:val="114"/>
              <w:bidi w:val="0"/>
              <w:rPr>
                <w:color w:val="auto"/>
              </w:rPr>
            </w:pPr>
            <w:r>
              <w:rPr>
                <w:rFonts w:hint="eastAsia"/>
                <w:color w:val="auto"/>
                <w:lang w:val="en-US" w:eastAsia="zh-CN"/>
              </w:rPr>
              <w:t>原有项目</w:t>
            </w:r>
            <w:r>
              <w:rPr>
                <w:rFonts w:hint="eastAsia"/>
                <w:color w:val="auto"/>
              </w:rPr>
              <w:t>主要设备清单一览表    单位：台/套</w:t>
            </w:r>
          </w:p>
          <w:tbl>
            <w:tblPr>
              <w:tblStyle w:val="4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18"/>
              <w:gridCol w:w="2319"/>
              <w:gridCol w:w="2319"/>
              <w:gridCol w:w="2319"/>
            </w:tblGrid>
            <w:tr w14:paraId="1B894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18" w:type="dxa"/>
                  <w:tcBorders>
                    <w:tl2br w:val="nil"/>
                    <w:tr2bl w:val="nil"/>
                  </w:tcBorders>
                  <w:vAlign w:val="center"/>
                </w:tcPr>
                <w:p w14:paraId="4A7FCC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val="0"/>
                      <w:color w:val="auto"/>
                      <w:sz w:val="21"/>
                      <w:szCs w:val="21"/>
                      <w:highlight w:val="none"/>
                      <w:vertAlign w:val="baseline"/>
                      <w:lang w:val="en-US" w:eastAsia="zh-CN"/>
                    </w:rPr>
                  </w:pPr>
                  <w:r>
                    <w:rPr>
                      <w:rFonts w:hint="eastAsia" w:ascii="Times New Roman" w:hAnsi="Times New Roman" w:cs="Times New Roman"/>
                      <w:b/>
                      <w:bCs w:val="0"/>
                      <w:color w:val="auto"/>
                      <w:sz w:val="21"/>
                      <w:szCs w:val="21"/>
                      <w:highlight w:val="none"/>
                      <w:vertAlign w:val="baseline"/>
                      <w:lang w:val="en-US" w:eastAsia="zh-CN"/>
                    </w:rPr>
                    <w:t>序号</w:t>
                  </w:r>
                </w:p>
              </w:tc>
              <w:tc>
                <w:tcPr>
                  <w:tcW w:w="2319" w:type="dxa"/>
                  <w:tcBorders>
                    <w:tl2br w:val="nil"/>
                    <w:tr2bl w:val="nil"/>
                  </w:tcBorders>
                  <w:vAlign w:val="center"/>
                </w:tcPr>
                <w:p w14:paraId="22130E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val="0"/>
                      <w:color w:val="auto"/>
                      <w:sz w:val="21"/>
                      <w:szCs w:val="21"/>
                      <w:highlight w:val="none"/>
                      <w:vertAlign w:val="baseline"/>
                      <w:lang w:val="en-US" w:eastAsia="zh-CN"/>
                    </w:rPr>
                  </w:pPr>
                  <w:r>
                    <w:rPr>
                      <w:rFonts w:hint="eastAsia" w:ascii="Times New Roman" w:hAnsi="Times New Roman" w:cs="Times New Roman"/>
                      <w:b/>
                      <w:bCs w:val="0"/>
                      <w:color w:val="auto"/>
                      <w:sz w:val="21"/>
                      <w:szCs w:val="21"/>
                      <w:highlight w:val="none"/>
                      <w:vertAlign w:val="baseline"/>
                      <w:lang w:val="en-US" w:eastAsia="zh-CN"/>
                    </w:rPr>
                    <w:t>设备名称</w:t>
                  </w:r>
                </w:p>
              </w:tc>
              <w:tc>
                <w:tcPr>
                  <w:tcW w:w="2319" w:type="dxa"/>
                  <w:tcBorders>
                    <w:tl2br w:val="nil"/>
                    <w:tr2bl w:val="nil"/>
                  </w:tcBorders>
                  <w:vAlign w:val="center"/>
                </w:tcPr>
                <w:p w14:paraId="210CBF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val="0"/>
                      <w:color w:val="auto"/>
                      <w:sz w:val="21"/>
                      <w:szCs w:val="21"/>
                      <w:highlight w:val="none"/>
                      <w:vertAlign w:val="baseline"/>
                      <w:lang w:val="en-US" w:eastAsia="zh-CN"/>
                    </w:rPr>
                  </w:pPr>
                  <w:r>
                    <w:rPr>
                      <w:rFonts w:hint="eastAsia" w:ascii="Times New Roman" w:hAnsi="Times New Roman" w:cs="Times New Roman"/>
                      <w:b/>
                      <w:bCs w:val="0"/>
                      <w:color w:val="auto"/>
                      <w:sz w:val="21"/>
                      <w:szCs w:val="21"/>
                      <w:highlight w:val="none"/>
                      <w:vertAlign w:val="baseline"/>
                      <w:lang w:val="en-US" w:eastAsia="zh-CN"/>
                    </w:rPr>
                    <w:t>规格型号</w:t>
                  </w:r>
                </w:p>
              </w:tc>
              <w:tc>
                <w:tcPr>
                  <w:tcW w:w="2319" w:type="dxa"/>
                  <w:tcBorders>
                    <w:tl2br w:val="nil"/>
                    <w:tr2bl w:val="nil"/>
                  </w:tcBorders>
                  <w:vAlign w:val="center"/>
                </w:tcPr>
                <w:p w14:paraId="4B51CA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val="0"/>
                      <w:color w:val="auto"/>
                      <w:sz w:val="21"/>
                      <w:szCs w:val="21"/>
                      <w:highlight w:val="none"/>
                      <w:vertAlign w:val="baseline"/>
                      <w:lang w:val="en-US" w:eastAsia="zh-CN"/>
                    </w:rPr>
                  </w:pPr>
                  <w:r>
                    <w:rPr>
                      <w:rFonts w:hint="eastAsia" w:ascii="Times New Roman" w:hAnsi="Times New Roman" w:cs="Times New Roman"/>
                      <w:b/>
                      <w:bCs w:val="0"/>
                      <w:color w:val="auto"/>
                      <w:sz w:val="21"/>
                      <w:szCs w:val="21"/>
                      <w:highlight w:val="none"/>
                      <w:vertAlign w:val="baseline"/>
                      <w:lang w:val="en-US" w:eastAsia="zh-CN"/>
                    </w:rPr>
                    <w:t>数量</w:t>
                  </w:r>
                </w:p>
              </w:tc>
            </w:tr>
            <w:tr w14:paraId="21AD7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18" w:type="dxa"/>
                  <w:tcBorders>
                    <w:tl2br w:val="nil"/>
                    <w:tr2bl w:val="nil"/>
                  </w:tcBorders>
                  <w:vAlign w:val="center"/>
                </w:tcPr>
                <w:p w14:paraId="0AEED6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2319" w:type="dxa"/>
                  <w:tcBorders>
                    <w:tl2br w:val="nil"/>
                    <w:tr2bl w:val="nil"/>
                  </w:tcBorders>
                  <w:vAlign w:val="center"/>
                </w:tcPr>
                <w:p w14:paraId="374B1E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教学设施及设备</w:t>
                  </w:r>
                </w:p>
              </w:tc>
              <w:tc>
                <w:tcPr>
                  <w:tcW w:w="2319" w:type="dxa"/>
                  <w:vMerge w:val="restart"/>
                  <w:tcBorders>
                    <w:tl2br w:val="nil"/>
                    <w:tr2bl w:val="nil"/>
                  </w:tcBorders>
                  <w:vAlign w:val="center"/>
                </w:tcPr>
                <w:p w14:paraId="2C1C3B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按四川省中学仪器标准配置</w:t>
                  </w:r>
                </w:p>
              </w:tc>
              <w:tc>
                <w:tcPr>
                  <w:tcW w:w="2319" w:type="dxa"/>
                  <w:tcBorders>
                    <w:tl2br w:val="nil"/>
                    <w:tr2bl w:val="nil"/>
                  </w:tcBorders>
                  <w:vAlign w:val="center"/>
                </w:tcPr>
                <w:p w14:paraId="78F575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若干</w:t>
                  </w:r>
                </w:p>
              </w:tc>
            </w:tr>
            <w:tr w14:paraId="3F495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18" w:type="dxa"/>
                  <w:tcBorders>
                    <w:tl2br w:val="nil"/>
                    <w:tr2bl w:val="nil"/>
                  </w:tcBorders>
                  <w:vAlign w:val="center"/>
                </w:tcPr>
                <w:p w14:paraId="0C427E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2</w:t>
                  </w:r>
                </w:p>
              </w:tc>
              <w:tc>
                <w:tcPr>
                  <w:tcW w:w="2319" w:type="dxa"/>
                  <w:tcBorders>
                    <w:tl2br w:val="nil"/>
                    <w:tr2bl w:val="nil"/>
                  </w:tcBorders>
                  <w:vAlign w:val="center"/>
                </w:tcPr>
                <w:p w14:paraId="6D44FF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计算机教室设备</w:t>
                  </w:r>
                </w:p>
              </w:tc>
              <w:tc>
                <w:tcPr>
                  <w:tcW w:w="2319" w:type="dxa"/>
                  <w:vMerge w:val="continue"/>
                  <w:tcBorders>
                    <w:tl2br w:val="nil"/>
                    <w:tr2bl w:val="nil"/>
                  </w:tcBorders>
                  <w:vAlign w:val="center"/>
                </w:tcPr>
                <w:p w14:paraId="0CE309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highlight w:val="none"/>
                      <w:vertAlign w:val="baseline"/>
                    </w:rPr>
                  </w:pPr>
                </w:p>
              </w:tc>
              <w:tc>
                <w:tcPr>
                  <w:tcW w:w="2319" w:type="dxa"/>
                  <w:tcBorders>
                    <w:tl2br w:val="nil"/>
                    <w:tr2bl w:val="nil"/>
                  </w:tcBorders>
                  <w:vAlign w:val="center"/>
                </w:tcPr>
                <w:p w14:paraId="0BCB06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highlight w:val="none"/>
                      <w:vertAlign w:val="baseline"/>
                    </w:rPr>
                  </w:pPr>
                  <w:r>
                    <w:rPr>
                      <w:rFonts w:hint="eastAsia" w:ascii="Times New Roman" w:hAnsi="Times New Roman" w:cs="Times New Roman"/>
                      <w:b w:val="0"/>
                      <w:bCs/>
                      <w:color w:val="auto"/>
                      <w:sz w:val="21"/>
                      <w:szCs w:val="21"/>
                      <w:highlight w:val="none"/>
                      <w:vertAlign w:val="baseline"/>
                      <w:lang w:val="en-US" w:eastAsia="zh-CN"/>
                    </w:rPr>
                    <w:t>若干</w:t>
                  </w:r>
                </w:p>
              </w:tc>
            </w:tr>
            <w:tr w14:paraId="24140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18" w:type="dxa"/>
                  <w:tcBorders>
                    <w:tl2br w:val="nil"/>
                    <w:tr2bl w:val="nil"/>
                  </w:tcBorders>
                  <w:vAlign w:val="center"/>
                </w:tcPr>
                <w:p w14:paraId="5BCAFF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3</w:t>
                  </w:r>
                </w:p>
              </w:tc>
              <w:tc>
                <w:tcPr>
                  <w:tcW w:w="2319" w:type="dxa"/>
                  <w:tcBorders>
                    <w:tl2br w:val="nil"/>
                    <w:tr2bl w:val="nil"/>
                  </w:tcBorders>
                  <w:vAlign w:val="center"/>
                </w:tcPr>
                <w:p w14:paraId="7CA726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多功能教室设备</w:t>
                  </w:r>
                </w:p>
              </w:tc>
              <w:tc>
                <w:tcPr>
                  <w:tcW w:w="2319" w:type="dxa"/>
                  <w:vMerge w:val="continue"/>
                  <w:tcBorders>
                    <w:tl2br w:val="nil"/>
                    <w:tr2bl w:val="nil"/>
                  </w:tcBorders>
                  <w:vAlign w:val="center"/>
                </w:tcPr>
                <w:p w14:paraId="3B9CBD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highlight w:val="none"/>
                      <w:vertAlign w:val="baseline"/>
                    </w:rPr>
                  </w:pPr>
                </w:p>
              </w:tc>
              <w:tc>
                <w:tcPr>
                  <w:tcW w:w="2319" w:type="dxa"/>
                  <w:tcBorders>
                    <w:tl2br w:val="nil"/>
                    <w:tr2bl w:val="nil"/>
                  </w:tcBorders>
                  <w:vAlign w:val="center"/>
                </w:tcPr>
                <w:p w14:paraId="46A656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highlight w:val="none"/>
                      <w:vertAlign w:val="baseline"/>
                    </w:rPr>
                  </w:pPr>
                  <w:r>
                    <w:rPr>
                      <w:rFonts w:hint="eastAsia" w:ascii="Times New Roman" w:hAnsi="Times New Roman" w:cs="Times New Roman"/>
                      <w:b w:val="0"/>
                      <w:bCs/>
                      <w:color w:val="auto"/>
                      <w:sz w:val="21"/>
                      <w:szCs w:val="21"/>
                      <w:highlight w:val="none"/>
                      <w:vertAlign w:val="baseline"/>
                      <w:lang w:val="en-US" w:eastAsia="zh-CN"/>
                    </w:rPr>
                    <w:t>若干</w:t>
                  </w:r>
                </w:p>
              </w:tc>
            </w:tr>
            <w:tr w14:paraId="155AE4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18" w:type="dxa"/>
                  <w:tcBorders>
                    <w:tl2br w:val="nil"/>
                    <w:tr2bl w:val="nil"/>
                  </w:tcBorders>
                  <w:vAlign w:val="center"/>
                </w:tcPr>
                <w:p w14:paraId="052937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4</w:t>
                  </w:r>
                </w:p>
              </w:tc>
              <w:tc>
                <w:tcPr>
                  <w:tcW w:w="2319" w:type="dxa"/>
                  <w:tcBorders>
                    <w:tl2br w:val="nil"/>
                    <w:tr2bl w:val="nil"/>
                  </w:tcBorders>
                  <w:vAlign w:val="center"/>
                </w:tcPr>
                <w:p w14:paraId="1C5993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校园音箱系统</w:t>
                  </w:r>
                </w:p>
              </w:tc>
              <w:tc>
                <w:tcPr>
                  <w:tcW w:w="2319" w:type="dxa"/>
                  <w:tcBorders>
                    <w:tl2br w:val="nil"/>
                    <w:tr2bl w:val="nil"/>
                  </w:tcBorders>
                  <w:vAlign w:val="center"/>
                </w:tcPr>
                <w:p w14:paraId="5A6DB0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w:t>
                  </w:r>
                </w:p>
              </w:tc>
              <w:tc>
                <w:tcPr>
                  <w:tcW w:w="2319" w:type="dxa"/>
                  <w:tcBorders>
                    <w:tl2br w:val="nil"/>
                    <w:tr2bl w:val="nil"/>
                  </w:tcBorders>
                  <w:vAlign w:val="center"/>
                </w:tcPr>
                <w:p w14:paraId="7561FD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highlight w:val="none"/>
                      <w:vertAlign w:val="baseline"/>
                    </w:rPr>
                  </w:pPr>
                  <w:r>
                    <w:rPr>
                      <w:rFonts w:hint="eastAsia" w:ascii="Times New Roman" w:hAnsi="Times New Roman" w:cs="Times New Roman"/>
                      <w:b w:val="0"/>
                      <w:bCs/>
                      <w:color w:val="auto"/>
                      <w:sz w:val="21"/>
                      <w:szCs w:val="21"/>
                      <w:highlight w:val="none"/>
                      <w:vertAlign w:val="baseline"/>
                      <w:lang w:val="en-US" w:eastAsia="zh-CN"/>
                    </w:rPr>
                    <w:t>若干</w:t>
                  </w:r>
                </w:p>
              </w:tc>
            </w:tr>
            <w:tr w14:paraId="5586C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18" w:type="dxa"/>
                  <w:tcBorders>
                    <w:tl2br w:val="nil"/>
                    <w:tr2bl w:val="nil"/>
                  </w:tcBorders>
                  <w:vAlign w:val="center"/>
                </w:tcPr>
                <w:p w14:paraId="03F03E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5</w:t>
                  </w:r>
                </w:p>
              </w:tc>
              <w:tc>
                <w:tcPr>
                  <w:tcW w:w="2319" w:type="dxa"/>
                  <w:tcBorders>
                    <w:tl2br w:val="nil"/>
                    <w:tr2bl w:val="nil"/>
                  </w:tcBorders>
                  <w:vAlign w:val="center"/>
                </w:tcPr>
                <w:p w14:paraId="550B6C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校园网络系统</w:t>
                  </w:r>
                </w:p>
              </w:tc>
              <w:tc>
                <w:tcPr>
                  <w:tcW w:w="2319" w:type="dxa"/>
                  <w:tcBorders>
                    <w:tl2br w:val="nil"/>
                    <w:tr2bl w:val="nil"/>
                  </w:tcBorders>
                  <w:vAlign w:val="center"/>
                </w:tcPr>
                <w:p w14:paraId="319F3B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w:t>
                  </w:r>
                </w:p>
              </w:tc>
              <w:tc>
                <w:tcPr>
                  <w:tcW w:w="2319" w:type="dxa"/>
                  <w:tcBorders>
                    <w:tl2br w:val="nil"/>
                    <w:tr2bl w:val="nil"/>
                  </w:tcBorders>
                  <w:vAlign w:val="center"/>
                </w:tcPr>
                <w:p w14:paraId="55F4CD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highlight w:val="none"/>
                      <w:vertAlign w:val="baseline"/>
                    </w:rPr>
                  </w:pPr>
                  <w:r>
                    <w:rPr>
                      <w:rFonts w:hint="eastAsia" w:ascii="Times New Roman" w:hAnsi="Times New Roman" w:cs="Times New Roman"/>
                      <w:b w:val="0"/>
                      <w:bCs/>
                      <w:color w:val="auto"/>
                      <w:sz w:val="21"/>
                      <w:szCs w:val="21"/>
                      <w:highlight w:val="none"/>
                      <w:vertAlign w:val="baseline"/>
                      <w:lang w:val="en-US" w:eastAsia="zh-CN"/>
                    </w:rPr>
                    <w:t>若干</w:t>
                  </w:r>
                </w:p>
              </w:tc>
            </w:tr>
            <w:tr w14:paraId="606CD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18" w:type="dxa"/>
                  <w:tcBorders>
                    <w:tl2br w:val="nil"/>
                    <w:tr2bl w:val="nil"/>
                  </w:tcBorders>
                  <w:vAlign w:val="center"/>
                </w:tcPr>
                <w:p w14:paraId="0FC85C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6</w:t>
                  </w:r>
                </w:p>
              </w:tc>
              <w:tc>
                <w:tcPr>
                  <w:tcW w:w="2319" w:type="dxa"/>
                  <w:tcBorders>
                    <w:tl2br w:val="nil"/>
                    <w:tr2bl w:val="nil"/>
                  </w:tcBorders>
                  <w:vAlign w:val="center"/>
                </w:tcPr>
                <w:p w14:paraId="07B512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学生课桌椅</w:t>
                  </w:r>
                </w:p>
              </w:tc>
              <w:tc>
                <w:tcPr>
                  <w:tcW w:w="2319" w:type="dxa"/>
                  <w:tcBorders>
                    <w:tl2br w:val="nil"/>
                    <w:tr2bl w:val="nil"/>
                  </w:tcBorders>
                  <w:vAlign w:val="center"/>
                </w:tcPr>
                <w:p w14:paraId="3374F0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w:t>
                  </w:r>
                </w:p>
              </w:tc>
              <w:tc>
                <w:tcPr>
                  <w:tcW w:w="2319" w:type="dxa"/>
                  <w:tcBorders>
                    <w:tl2br w:val="nil"/>
                    <w:tr2bl w:val="nil"/>
                  </w:tcBorders>
                  <w:vAlign w:val="center"/>
                </w:tcPr>
                <w:p w14:paraId="346BC9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highlight w:val="none"/>
                      <w:vertAlign w:val="baseline"/>
                    </w:rPr>
                  </w:pPr>
                  <w:r>
                    <w:rPr>
                      <w:rFonts w:hint="eastAsia" w:ascii="Times New Roman" w:hAnsi="Times New Roman" w:cs="Times New Roman"/>
                      <w:b w:val="0"/>
                      <w:bCs/>
                      <w:color w:val="auto"/>
                      <w:sz w:val="21"/>
                      <w:szCs w:val="21"/>
                      <w:highlight w:val="none"/>
                      <w:vertAlign w:val="baseline"/>
                      <w:lang w:val="en-US" w:eastAsia="zh-CN"/>
                    </w:rPr>
                    <w:t>若干</w:t>
                  </w:r>
                </w:p>
              </w:tc>
            </w:tr>
            <w:tr w14:paraId="4AA51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18" w:type="dxa"/>
                  <w:tcBorders>
                    <w:tl2br w:val="nil"/>
                    <w:tr2bl w:val="nil"/>
                  </w:tcBorders>
                  <w:vAlign w:val="center"/>
                </w:tcPr>
                <w:p w14:paraId="0EC050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7</w:t>
                  </w:r>
                </w:p>
              </w:tc>
              <w:tc>
                <w:tcPr>
                  <w:tcW w:w="2319" w:type="dxa"/>
                  <w:tcBorders>
                    <w:tl2br w:val="nil"/>
                    <w:tr2bl w:val="nil"/>
                  </w:tcBorders>
                  <w:vAlign w:val="center"/>
                </w:tcPr>
                <w:p w14:paraId="12D623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分体式空调</w:t>
                  </w:r>
                </w:p>
              </w:tc>
              <w:tc>
                <w:tcPr>
                  <w:tcW w:w="2319" w:type="dxa"/>
                  <w:tcBorders>
                    <w:tl2br w:val="nil"/>
                    <w:tr2bl w:val="nil"/>
                  </w:tcBorders>
                  <w:vAlign w:val="center"/>
                </w:tcPr>
                <w:p w14:paraId="35512E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w:t>
                  </w:r>
                </w:p>
              </w:tc>
              <w:tc>
                <w:tcPr>
                  <w:tcW w:w="2319" w:type="dxa"/>
                  <w:tcBorders>
                    <w:tl2br w:val="nil"/>
                    <w:tr2bl w:val="nil"/>
                  </w:tcBorders>
                  <w:vAlign w:val="center"/>
                </w:tcPr>
                <w:p w14:paraId="51C93C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highlight w:val="none"/>
                      <w:vertAlign w:val="baseline"/>
                    </w:rPr>
                  </w:pPr>
                  <w:r>
                    <w:rPr>
                      <w:rFonts w:hint="eastAsia" w:ascii="Times New Roman" w:hAnsi="Times New Roman" w:cs="Times New Roman"/>
                      <w:b w:val="0"/>
                      <w:bCs/>
                      <w:color w:val="auto"/>
                      <w:sz w:val="21"/>
                      <w:szCs w:val="21"/>
                      <w:highlight w:val="none"/>
                      <w:vertAlign w:val="baseline"/>
                      <w:lang w:val="en-US" w:eastAsia="zh-CN"/>
                    </w:rPr>
                    <w:t>若干</w:t>
                  </w:r>
                </w:p>
              </w:tc>
            </w:tr>
          </w:tbl>
          <w:p w14:paraId="0E2C4444">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4</w:t>
            </w:r>
            <w:r>
              <w:rPr>
                <w:rFonts w:hint="eastAsia" w:ascii="Times New Roman" w:hAnsi="Times New Roman" w:cs="Times New Roman"/>
                <w:b/>
                <w:color w:val="auto"/>
                <w:sz w:val="24"/>
                <w:szCs w:val="24"/>
                <w:highlight w:val="none"/>
              </w:rPr>
              <w:t>、</w:t>
            </w:r>
            <w:r>
              <w:rPr>
                <w:rFonts w:hint="eastAsia" w:ascii="Times New Roman" w:hAnsi="Times New Roman" w:cs="Times New Roman"/>
                <w:b/>
                <w:color w:val="auto"/>
                <w:sz w:val="24"/>
                <w:szCs w:val="24"/>
                <w:highlight w:val="none"/>
                <w:lang w:val="en-US" w:eastAsia="zh-CN"/>
              </w:rPr>
              <w:t>原有</w:t>
            </w:r>
            <w:r>
              <w:rPr>
                <w:rFonts w:hint="eastAsia" w:ascii="Times New Roman" w:hAnsi="Times New Roman" w:cs="Times New Roman"/>
                <w:b/>
                <w:color w:val="auto"/>
                <w:sz w:val="24"/>
                <w:szCs w:val="24"/>
                <w:highlight w:val="none"/>
              </w:rPr>
              <w:t>工程主要原辅材料用量及能耗</w:t>
            </w:r>
          </w:p>
          <w:p w14:paraId="6532B084">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（1）原辅材料用量</w:t>
            </w:r>
          </w:p>
          <w:p w14:paraId="59E79DF9">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bCs/>
                <w:color w:val="auto"/>
                <w:sz w:val="24"/>
                <w:szCs w:val="24"/>
                <w:highlight w:val="none"/>
              </w:rPr>
              <w:t>根据建设单位提供资料，</w:t>
            </w:r>
            <w:r>
              <w:rPr>
                <w:rFonts w:hint="eastAsia" w:ascii="Times New Roman" w:hAnsi="Times New Roman" w:cs="Times New Roman"/>
                <w:bCs/>
                <w:color w:val="auto"/>
                <w:sz w:val="24"/>
                <w:szCs w:val="24"/>
                <w:highlight w:val="none"/>
                <w:lang w:eastAsia="zh-CN"/>
              </w:rPr>
              <w:t>原有项目</w:t>
            </w:r>
            <w:r>
              <w:rPr>
                <w:rFonts w:ascii="Times New Roman" w:hAnsi="Times New Roman" w:cs="Times New Roman"/>
                <w:bCs/>
                <w:color w:val="auto"/>
                <w:sz w:val="24"/>
                <w:szCs w:val="24"/>
                <w:highlight w:val="none"/>
              </w:rPr>
              <w:t>主要原辅材料用量情况如下表所示。</w:t>
            </w:r>
          </w:p>
          <w:p w14:paraId="0957CC03">
            <w:pPr>
              <w:pStyle w:val="114"/>
              <w:bidi w:val="0"/>
              <w:rPr>
                <w:color w:val="auto"/>
              </w:rPr>
            </w:pPr>
            <w:r>
              <w:rPr>
                <w:rFonts w:hint="eastAsia"/>
                <w:color w:val="auto"/>
                <w:lang w:val="en-US" w:eastAsia="zh-CN"/>
              </w:rPr>
              <w:t>原有项目</w:t>
            </w:r>
            <w:r>
              <w:rPr>
                <w:color w:val="auto"/>
              </w:rPr>
              <w:t>主要原辅料用量一览表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539"/>
              <w:gridCol w:w="1587"/>
              <w:gridCol w:w="1266"/>
              <w:gridCol w:w="1325"/>
              <w:gridCol w:w="1178"/>
              <w:gridCol w:w="1307"/>
            </w:tblGrid>
            <w:tr w14:paraId="09C43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tcBorders>
                    <w:tl2br w:val="nil"/>
                    <w:tr2bl w:val="nil"/>
                  </w:tcBorders>
                  <w:vAlign w:val="center"/>
                </w:tcPr>
                <w:p w14:paraId="3D1059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实验名称</w:t>
                  </w:r>
                </w:p>
              </w:tc>
              <w:tc>
                <w:tcPr>
                  <w:tcW w:w="828" w:type="pct"/>
                  <w:tcBorders>
                    <w:tl2br w:val="nil"/>
                    <w:tr2bl w:val="nil"/>
                  </w:tcBorders>
                  <w:vAlign w:val="center"/>
                </w:tcPr>
                <w:p w14:paraId="050DA7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原料名称</w:t>
                  </w:r>
                </w:p>
              </w:tc>
              <w:tc>
                <w:tcPr>
                  <w:tcW w:w="854" w:type="pct"/>
                  <w:tcBorders>
                    <w:tl2br w:val="nil"/>
                    <w:tr2bl w:val="nil"/>
                  </w:tcBorders>
                  <w:vAlign w:val="center"/>
                </w:tcPr>
                <w:p w14:paraId="1262B4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成分</w:t>
                  </w:r>
                </w:p>
              </w:tc>
              <w:tc>
                <w:tcPr>
                  <w:tcW w:w="681" w:type="pct"/>
                  <w:tcBorders>
                    <w:tl2br w:val="nil"/>
                    <w:tr2bl w:val="nil"/>
                  </w:tcBorders>
                  <w:vAlign w:val="center"/>
                </w:tcPr>
                <w:p w14:paraId="576648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年使用量</w:t>
                  </w:r>
                </w:p>
              </w:tc>
              <w:tc>
                <w:tcPr>
                  <w:tcW w:w="713" w:type="pct"/>
                  <w:tcBorders>
                    <w:tl2br w:val="nil"/>
                    <w:tr2bl w:val="nil"/>
                  </w:tcBorders>
                  <w:vAlign w:val="center"/>
                </w:tcPr>
                <w:p w14:paraId="3D3F03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最大储存量</w:t>
                  </w:r>
                </w:p>
              </w:tc>
              <w:tc>
                <w:tcPr>
                  <w:tcW w:w="634" w:type="pct"/>
                  <w:tcBorders>
                    <w:tl2br w:val="nil"/>
                    <w:tr2bl w:val="nil"/>
                  </w:tcBorders>
                  <w:vAlign w:val="center"/>
                </w:tcPr>
                <w:p w14:paraId="261C26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包装方式</w:t>
                  </w:r>
                </w:p>
              </w:tc>
              <w:tc>
                <w:tcPr>
                  <w:tcW w:w="703" w:type="pct"/>
                  <w:tcBorders>
                    <w:tl2br w:val="nil"/>
                    <w:tr2bl w:val="nil"/>
                  </w:tcBorders>
                  <w:vAlign w:val="center"/>
                </w:tcPr>
                <w:p w14:paraId="3A5375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备注</w:t>
                  </w:r>
                </w:p>
              </w:tc>
            </w:tr>
            <w:tr w14:paraId="3F8EC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restart"/>
                  <w:tcBorders>
                    <w:tl2br w:val="nil"/>
                    <w:tr2bl w:val="nil"/>
                  </w:tcBorders>
                  <w:vAlign w:val="center"/>
                </w:tcPr>
                <w:p w14:paraId="0DD5E0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化学实验</w:t>
                  </w:r>
                </w:p>
              </w:tc>
              <w:tc>
                <w:tcPr>
                  <w:tcW w:w="828" w:type="pct"/>
                  <w:tcBorders>
                    <w:tl2br w:val="nil"/>
                    <w:tr2bl w:val="nil"/>
                  </w:tcBorders>
                  <w:vAlign w:val="center"/>
                </w:tcPr>
                <w:p w14:paraId="27819684">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pacing w:val="5"/>
                      <w:sz w:val="21"/>
                      <w:szCs w:val="21"/>
                    </w:rPr>
                    <w:t>高锰酸钾</w:t>
                  </w:r>
                </w:p>
              </w:tc>
              <w:tc>
                <w:tcPr>
                  <w:tcW w:w="854" w:type="pct"/>
                  <w:tcBorders>
                    <w:tl2br w:val="nil"/>
                    <w:tr2bl w:val="nil"/>
                  </w:tcBorders>
                  <w:vAlign w:val="center"/>
                </w:tcPr>
                <w:p w14:paraId="12720E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KMnO</w:t>
                  </w:r>
                  <w:r>
                    <w:rPr>
                      <w:rFonts w:hint="eastAsia" w:ascii="Times New Roman" w:hAnsi="Times New Roman" w:cs="Times New Roman"/>
                      <w:b w:val="0"/>
                      <w:bCs w:val="0"/>
                      <w:color w:val="auto"/>
                      <w:sz w:val="21"/>
                      <w:szCs w:val="21"/>
                      <w:highlight w:val="none"/>
                      <w:vertAlign w:val="subscript"/>
                      <w:lang w:val="en-US" w:eastAsia="zh-CN"/>
                    </w:rPr>
                    <w:t>4</w:t>
                  </w:r>
                </w:p>
              </w:tc>
              <w:tc>
                <w:tcPr>
                  <w:tcW w:w="1266" w:type="dxa"/>
                  <w:tcBorders>
                    <w:tl2br w:val="nil"/>
                    <w:tr2bl w:val="nil"/>
                  </w:tcBorders>
                  <w:vAlign w:val="center"/>
                </w:tcPr>
                <w:p w14:paraId="3CA9678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color w:val="auto"/>
                      <w:szCs w:val="21"/>
                      <w:lang w:val="en-US" w:eastAsia="zh-CN"/>
                    </w:rPr>
                    <w:t>500mg</w:t>
                  </w:r>
                </w:p>
              </w:tc>
              <w:tc>
                <w:tcPr>
                  <w:tcW w:w="1325" w:type="dxa"/>
                  <w:tcBorders>
                    <w:tl2br w:val="nil"/>
                    <w:tr2bl w:val="nil"/>
                  </w:tcBorders>
                  <w:vAlign w:val="center"/>
                </w:tcPr>
                <w:p w14:paraId="6B166EB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2000mg</w:t>
                  </w:r>
                </w:p>
              </w:tc>
              <w:tc>
                <w:tcPr>
                  <w:tcW w:w="634" w:type="pct"/>
                  <w:tcBorders>
                    <w:tl2br w:val="nil"/>
                    <w:tr2bl w:val="nil"/>
                  </w:tcBorders>
                  <w:vAlign w:val="center"/>
                </w:tcPr>
                <w:p w14:paraId="1E46D2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136A25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6D2C3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0275D0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5B05600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石灰水</w:t>
                  </w:r>
                </w:p>
              </w:tc>
              <w:tc>
                <w:tcPr>
                  <w:tcW w:w="854" w:type="pct"/>
                  <w:tcBorders>
                    <w:tl2br w:val="nil"/>
                    <w:tr2bl w:val="nil"/>
                  </w:tcBorders>
                  <w:vAlign w:val="center"/>
                </w:tcPr>
                <w:p w14:paraId="3ADBF0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氢氧化钙溶液</w:t>
                  </w:r>
                </w:p>
              </w:tc>
              <w:tc>
                <w:tcPr>
                  <w:tcW w:w="1266" w:type="dxa"/>
                  <w:tcBorders>
                    <w:tl2br w:val="nil"/>
                    <w:tr2bl w:val="nil"/>
                  </w:tcBorders>
                  <w:vAlign w:val="center"/>
                </w:tcPr>
                <w:p w14:paraId="09E19A8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1000mL</w:t>
                  </w:r>
                </w:p>
              </w:tc>
              <w:tc>
                <w:tcPr>
                  <w:tcW w:w="1325" w:type="dxa"/>
                  <w:tcBorders>
                    <w:tl2br w:val="nil"/>
                    <w:tr2bl w:val="nil"/>
                  </w:tcBorders>
                  <w:vAlign w:val="center"/>
                </w:tcPr>
                <w:p w14:paraId="7A9C45B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2000mL</w:t>
                  </w:r>
                </w:p>
              </w:tc>
              <w:tc>
                <w:tcPr>
                  <w:tcW w:w="634" w:type="pct"/>
                  <w:tcBorders>
                    <w:tl2br w:val="nil"/>
                    <w:tr2bl w:val="nil"/>
                  </w:tcBorders>
                  <w:vAlign w:val="center"/>
                </w:tcPr>
                <w:p w14:paraId="71F8F3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585005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12B51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45ED55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4CB1BD1E">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大理石</w:t>
                  </w:r>
                </w:p>
              </w:tc>
              <w:tc>
                <w:tcPr>
                  <w:tcW w:w="854" w:type="pct"/>
                  <w:tcBorders>
                    <w:tl2br w:val="nil"/>
                    <w:tr2bl w:val="nil"/>
                  </w:tcBorders>
                  <w:vAlign w:val="center"/>
                </w:tcPr>
                <w:p w14:paraId="089105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CaCO</w:t>
                  </w:r>
                  <w:r>
                    <w:rPr>
                      <w:rFonts w:hint="eastAsia" w:ascii="Times New Roman" w:hAnsi="Times New Roman" w:cs="Times New Roman"/>
                      <w:b w:val="0"/>
                      <w:bCs w:val="0"/>
                      <w:color w:val="auto"/>
                      <w:sz w:val="21"/>
                      <w:szCs w:val="21"/>
                      <w:highlight w:val="none"/>
                      <w:vertAlign w:val="subscript"/>
                      <w:lang w:val="en-US" w:eastAsia="zh-CN"/>
                    </w:rPr>
                    <w:t>3</w:t>
                  </w:r>
                </w:p>
              </w:tc>
              <w:tc>
                <w:tcPr>
                  <w:tcW w:w="1266" w:type="dxa"/>
                  <w:tcBorders>
                    <w:tl2br w:val="nil"/>
                    <w:tr2bl w:val="nil"/>
                  </w:tcBorders>
                  <w:vAlign w:val="center"/>
                </w:tcPr>
                <w:p w14:paraId="3FD9EA8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200g</w:t>
                  </w:r>
                </w:p>
              </w:tc>
              <w:tc>
                <w:tcPr>
                  <w:tcW w:w="1325" w:type="dxa"/>
                  <w:tcBorders>
                    <w:tl2br w:val="nil"/>
                    <w:tr2bl w:val="nil"/>
                  </w:tcBorders>
                  <w:vAlign w:val="center"/>
                </w:tcPr>
                <w:p w14:paraId="118BC574">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5kg</w:t>
                  </w:r>
                </w:p>
              </w:tc>
              <w:tc>
                <w:tcPr>
                  <w:tcW w:w="634" w:type="pct"/>
                  <w:tcBorders>
                    <w:tl2br w:val="nil"/>
                    <w:tr2bl w:val="nil"/>
                  </w:tcBorders>
                  <w:vAlign w:val="center"/>
                </w:tcPr>
                <w:p w14:paraId="7D7FA1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2EE60C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6E411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5C185B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162BC54E">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3"/>
                      <w:sz w:val="21"/>
                      <w:szCs w:val="21"/>
                    </w:rPr>
                    <w:t>盐酸</w:t>
                  </w:r>
                </w:p>
              </w:tc>
              <w:tc>
                <w:tcPr>
                  <w:tcW w:w="854" w:type="pct"/>
                  <w:tcBorders>
                    <w:tl2br w:val="nil"/>
                    <w:tr2bl w:val="nil"/>
                  </w:tcBorders>
                  <w:vAlign w:val="center"/>
                </w:tcPr>
                <w:p w14:paraId="54926A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38%HCl</w:t>
                  </w:r>
                </w:p>
              </w:tc>
              <w:tc>
                <w:tcPr>
                  <w:tcW w:w="1266" w:type="dxa"/>
                  <w:tcBorders>
                    <w:tl2br w:val="nil"/>
                    <w:tr2bl w:val="nil"/>
                  </w:tcBorders>
                  <w:vAlign w:val="center"/>
                </w:tcPr>
                <w:p w14:paraId="17DCEBE0">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200mL</w:t>
                  </w:r>
                </w:p>
              </w:tc>
              <w:tc>
                <w:tcPr>
                  <w:tcW w:w="1325" w:type="dxa"/>
                  <w:tcBorders>
                    <w:tl2br w:val="nil"/>
                    <w:tr2bl w:val="nil"/>
                  </w:tcBorders>
                  <w:vAlign w:val="center"/>
                </w:tcPr>
                <w:p w14:paraId="57515444">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2000mL</w:t>
                  </w:r>
                </w:p>
              </w:tc>
              <w:tc>
                <w:tcPr>
                  <w:tcW w:w="634" w:type="pct"/>
                  <w:tcBorders>
                    <w:tl2br w:val="nil"/>
                    <w:tr2bl w:val="nil"/>
                  </w:tcBorders>
                  <w:vAlign w:val="center"/>
                </w:tcPr>
                <w:p w14:paraId="6BA65A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玻璃瓶装</w:t>
                  </w:r>
                </w:p>
              </w:tc>
              <w:tc>
                <w:tcPr>
                  <w:tcW w:w="703" w:type="pct"/>
                  <w:tcBorders>
                    <w:tl2br w:val="nil"/>
                    <w:tr2bl w:val="nil"/>
                  </w:tcBorders>
                  <w:vAlign w:val="center"/>
                </w:tcPr>
                <w:p w14:paraId="7CB37B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19407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30EAA3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793F7540">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4"/>
                      <w:sz w:val="21"/>
                      <w:szCs w:val="21"/>
                    </w:rPr>
                    <w:t>石蕊</w:t>
                  </w:r>
                </w:p>
              </w:tc>
              <w:tc>
                <w:tcPr>
                  <w:tcW w:w="854" w:type="pct"/>
                  <w:tcBorders>
                    <w:tl2br w:val="nil"/>
                    <w:tr2bl w:val="nil"/>
                  </w:tcBorders>
                  <w:vAlign w:val="center"/>
                </w:tcPr>
                <w:p w14:paraId="7C173D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C</w:t>
                  </w:r>
                  <w:r>
                    <w:rPr>
                      <w:rFonts w:hint="eastAsia" w:ascii="Times New Roman" w:hAnsi="Times New Roman" w:cs="Times New Roman"/>
                      <w:b w:val="0"/>
                      <w:bCs w:val="0"/>
                      <w:color w:val="auto"/>
                      <w:sz w:val="21"/>
                      <w:szCs w:val="21"/>
                      <w:highlight w:val="none"/>
                      <w:vertAlign w:val="subscript"/>
                      <w:lang w:val="en-US" w:eastAsia="zh-CN"/>
                    </w:rPr>
                    <w:t>7</w:t>
                  </w:r>
                  <w:r>
                    <w:rPr>
                      <w:rFonts w:hint="eastAsia" w:ascii="Times New Roman" w:hAnsi="Times New Roman" w:cs="Times New Roman"/>
                      <w:b w:val="0"/>
                      <w:bCs w:val="0"/>
                      <w:color w:val="auto"/>
                      <w:sz w:val="21"/>
                      <w:szCs w:val="21"/>
                      <w:highlight w:val="none"/>
                      <w:vertAlign w:val="baseline"/>
                      <w:lang w:val="en-US" w:eastAsia="zh-CN"/>
                    </w:rPr>
                    <w:t>H</w:t>
                  </w:r>
                  <w:r>
                    <w:rPr>
                      <w:rFonts w:hint="eastAsia" w:ascii="Times New Roman" w:hAnsi="Times New Roman" w:cs="Times New Roman"/>
                      <w:b w:val="0"/>
                      <w:bCs w:val="0"/>
                      <w:color w:val="auto"/>
                      <w:sz w:val="21"/>
                      <w:szCs w:val="21"/>
                      <w:highlight w:val="none"/>
                      <w:vertAlign w:val="subscript"/>
                      <w:lang w:val="en-US" w:eastAsia="zh-CN"/>
                    </w:rPr>
                    <w:t>7</w:t>
                  </w:r>
                  <w:r>
                    <w:rPr>
                      <w:rFonts w:hint="eastAsia" w:ascii="Times New Roman" w:hAnsi="Times New Roman" w:cs="Times New Roman"/>
                      <w:b w:val="0"/>
                      <w:bCs w:val="0"/>
                      <w:color w:val="auto"/>
                      <w:sz w:val="21"/>
                      <w:szCs w:val="21"/>
                      <w:highlight w:val="none"/>
                      <w:vertAlign w:val="baseline"/>
                      <w:lang w:val="en-US" w:eastAsia="zh-CN"/>
                    </w:rPr>
                    <w:t>O</w:t>
                  </w:r>
                  <w:r>
                    <w:rPr>
                      <w:rFonts w:hint="eastAsia" w:ascii="Times New Roman" w:hAnsi="Times New Roman" w:cs="Times New Roman"/>
                      <w:b w:val="0"/>
                      <w:bCs w:val="0"/>
                      <w:color w:val="auto"/>
                      <w:sz w:val="21"/>
                      <w:szCs w:val="21"/>
                      <w:highlight w:val="none"/>
                      <w:vertAlign w:val="subscript"/>
                      <w:lang w:val="en-US" w:eastAsia="zh-CN"/>
                    </w:rPr>
                    <w:t>4</w:t>
                  </w:r>
                  <w:r>
                    <w:rPr>
                      <w:rFonts w:hint="eastAsia" w:ascii="Times New Roman" w:hAnsi="Times New Roman" w:cs="Times New Roman"/>
                      <w:b w:val="0"/>
                      <w:bCs w:val="0"/>
                      <w:color w:val="auto"/>
                      <w:sz w:val="21"/>
                      <w:szCs w:val="21"/>
                      <w:highlight w:val="none"/>
                      <w:vertAlign w:val="baseline"/>
                      <w:lang w:val="en-US" w:eastAsia="zh-CN"/>
                    </w:rPr>
                    <w:t>N</w:t>
                  </w:r>
                </w:p>
              </w:tc>
              <w:tc>
                <w:tcPr>
                  <w:tcW w:w="1266" w:type="dxa"/>
                  <w:tcBorders>
                    <w:tl2br w:val="nil"/>
                    <w:tr2bl w:val="nil"/>
                  </w:tcBorders>
                  <w:vAlign w:val="center"/>
                </w:tcPr>
                <w:p w14:paraId="2F1B57B0">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20mg</w:t>
                  </w:r>
                </w:p>
              </w:tc>
              <w:tc>
                <w:tcPr>
                  <w:tcW w:w="1325" w:type="dxa"/>
                  <w:tcBorders>
                    <w:tl2br w:val="nil"/>
                    <w:tr2bl w:val="nil"/>
                  </w:tcBorders>
                  <w:vAlign w:val="center"/>
                </w:tcPr>
                <w:p w14:paraId="747EE3C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50mg</w:t>
                  </w:r>
                </w:p>
              </w:tc>
              <w:tc>
                <w:tcPr>
                  <w:tcW w:w="634" w:type="pct"/>
                  <w:tcBorders>
                    <w:tl2br w:val="nil"/>
                    <w:tr2bl w:val="nil"/>
                  </w:tcBorders>
                  <w:vAlign w:val="center"/>
                </w:tcPr>
                <w:p w14:paraId="5FBDE7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玻璃拼装</w:t>
                  </w:r>
                </w:p>
              </w:tc>
              <w:tc>
                <w:tcPr>
                  <w:tcW w:w="703" w:type="pct"/>
                  <w:tcBorders>
                    <w:tl2br w:val="nil"/>
                    <w:tr2bl w:val="nil"/>
                  </w:tcBorders>
                  <w:vAlign w:val="center"/>
                </w:tcPr>
                <w:p w14:paraId="0D6B4E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34631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7CDEEB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29163C6A">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2"/>
                      <w:sz w:val="21"/>
                      <w:szCs w:val="21"/>
                    </w:rPr>
                    <w:t>酒精</w:t>
                  </w:r>
                </w:p>
              </w:tc>
              <w:tc>
                <w:tcPr>
                  <w:tcW w:w="854" w:type="pct"/>
                  <w:tcBorders>
                    <w:tl2br w:val="nil"/>
                    <w:tr2bl w:val="nil"/>
                  </w:tcBorders>
                  <w:vAlign w:val="center"/>
                </w:tcPr>
                <w:p w14:paraId="1290C9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75%C</w:t>
                  </w:r>
                  <w:r>
                    <w:rPr>
                      <w:rFonts w:hint="eastAsia" w:ascii="Times New Roman" w:hAnsi="Times New Roman" w:cs="Times New Roman"/>
                      <w:b w:val="0"/>
                      <w:bCs w:val="0"/>
                      <w:color w:val="auto"/>
                      <w:sz w:val="21"/>
                      <w:szCs w:val="21"/>
                      <w:highlight w:val="none"/>
                      <w:vertAlign w:val="subscript"/>
                      <w:lang w:val="en-US" w:eastAsia="zh-CN"/>
                    </w:rPr>
                    <w:t>2</w:t>
                  </w:r>
                  <w:r>
                    <w:rPr>
                      <w:rFonts w:hint="eastAsia" w:ascii="Times New Roman" w:hAnsi="Times New Roman" w:cs="Times New Roman"/>
                      <w:b w:val="0"/>
                      <w:bCs w:val="0"/>
                      <w:color w:val="auto"/>
                      <w:sz w:val="21"/>
                      <w:szCs w:val="21"/>
                      <w:highlight w:val="none"/>
                      <w:vertAlign w:val="baseline"/>
                      <w:lang w:val="en-US" w:eastAsia="zh-CN"/>
                    </w:rPr>
                    <w:t>H</w:t>
                  </w:r>
                  <w:r>
                    <w:rPr>
                      <w:rFonts w:hint="eastAsia" w:ascii="Times New Roman" w:hAnsi="Times New Roman" w:cs="Times New Roman"/>
                      <w:b w:val="0"/>
                      <w:bCs w:val="0"/>
                      <w:color w:val="auto"/>
                      <w:sz w:val="21"/>
                      <w:szCs w:val="21"/>
                      <w:highlight w:val="none"/>
                      <w:vertAlign w:val="subscript"/>
                      <w:lang w:val="en-US" w:eastAsia="zh-CN"/>
                    </w:rPr>
                    <w:t>5</w:t>
                  </w:r>
                  <w:r>
                    <w:rPr>
                      <w:rFonts w:hint="eastAsia" w:ascii="Times New Roman" w:hAnsi="Times New Roman" w:cs="Times New Roman"/>
                      <w:b w:val="0"/>
                      <w:bCs w:val="0"/>
                      <w:color w:val="auto"/>
                      <w:sz w:val="21"/>
                      <w:szCs w:val="21"/>
                      <w:highlight w:val="none"/>
                      <w:vertAlign w:val="baseline"/>
                      <w:lang w:val="en-US" w:eastAsia="zh-CN"/>
                    </w:rPr>
                    <w:t>OH</w:t>
                  </w:r>
                </w:p>
              </w:tc>
              <w:tc>
                <w:tcPr>
                  <w:tcW w:w="1266" w:type="dxa"/>
                  <w:tcBorders>
                    <w:tl2br w:val="nil"/>
                    <w:tr2bl w:val="nil"/>
                  </w:tcBorders>
                  <w:vAlign w:val="center"/>
                </w:tcPr>
                <w:p w14:paraId="4EEB00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500mL</w:t>
                  </w:r>
                </w:p>
              </w:tc>
              <w:tc>
                <w:tcPr>
                  <w:tcW w:w="1325" w:type="dxa"/>
                  <w:tcBorders>
                    <w:tl2br w:val="nil"/>
                    <w:tr2bl w:val="nil"/>
                  </w:tcBorders>
                  <w:vAlign w:val="center"/>
                </w:tcPr>
                <w:p w14:paraId="455852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2500mL</w:t>
                  </w:r>
                </w:p>
              </w:tc>
              <w:tc>
                <w:tcPr>
                  <w:tcW w:w="634" w:type="pct"/>
                  <w:tcBorders>
                    <w:tl2br w:val="nil"/>
                    <w:tr2bl w:val="nil"/>
                  </w:tcBorders>
                  <w:vAlign w:val="center"/>
                </w:tcPr>
                <w:p w14:paraId="37D1F8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2E3B18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77788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4DE218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0961266A">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镁条</w:t>
                  </w:r>
                </w:p>
              </w:tc>
              <w:tc>
                <w:tcPr>
                  <w:tcW w:w="854" w:type="pct"/>
                  <w:tcBorders>
                    <w:tl2br w:val="nil"/>
                    <w:tr2bl w:val="nil"/>
                  </w:tcBorders>
                  <w:vAlign w:val="center"/>
                </w:tcPr>
                <w:p w14:paraId="235CB0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Mg</w:t>
                  </w:r>
                </w:p>
              </w:tc>
              <w:tc>
                <w:tcPr>
                  <w:tcW w:w="1266" w:type="dxa"/>
                  <w:tcBorders>
                    <w:tl2br w:val="nil"/>
                    <w:tr2bl w:val="nil"/>
                  </w:tcBorders>
                  <w:vAlign w:val="center"/>
                </w:tcPr>
                <w:p w14:paraId="50831B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20g</w:t>
                  </w:r>
                </w:p>
              </w:tc>
              <w:tc>
                <w:tcPr>
                  <w:tcW w:w="1325" w:type="dxa"/>
                  <w:tcBorders>
                    <w:tl2br w:val="nil"/>
                    <w:tr2bl w:val="nil"/>
                  </w:tcBorders>
                  <w:vAlign w:val="center"/>
                </w:tcPr>
                <w:p w14:paraId="3A74EE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100g</w:t>
                  </w:r>
                </w:p>
              </w:tc>
              <w:tc>
                <w:tcPr>
                  <w:tcW w:w="634" w:type="pct"/>
                  <w:tcBorders>
                    <w:tl2br w:val="nil"/>
                    <w:tr2bl w:val="nil"/>
                  </w:tcBorders>
                  <w:vAlign w:val="center"/>
                </w:tcPr>
                <w:p w14:paraId="434F3C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袋装</w:t>
                  </w:r>
                </w:p>
              </w:tc>
              <w:tc>
                <w:tcPr>
                  <w:tcW w:w="703" w:type="pct"/>
                  <w:tcBorders>
                    <w:tl2br w:val="nil"/>
                    <w:tr2bl w:val="nil"/>
                  </w:tcBorders>
                  <w:vAlign w:val="center"/>
                </w:tcPr>
                <w:p w14:paraId="23D416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716F3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136714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18BD2D4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锌片</w:t>
                  </w:r>
                </w:p>
              </w:tc>
              <w:tc>
                <w:tcPr>
                  <w:tcW w:w="854" w:type="pct"/>
                  <w:tcBorders>
                    <w:tl2br w:val="nil"/>
                    <w:tr2bl w:val="nil"/>
                  </w:tcBorders>
                  <w:vAlign w:val="center"/>
                </w:tcPr>
                <w:p w14:paraId="398EE3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Zn</w:t>
                  </w:r>
                </w:p>
              </w:tc>
              <w:tc>
                <w:tcPr>
                  <w:tcW w:w="1266" w:type="dxa"/>
                  <w:tcBorders>
                    <w:tl2br w:val="nil"/>
                    <w:tr2bl w:val="nil"/>
                  </w:tcBorders>
                  <w:vAlign w:val="center"/>
                </w:tcPr>
                <w:p w14:paraId="24BFB45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50g</w:t>
                  </w:r>
                </w:p>
              </w:tc>
              <w:tc>
                <w:tcPr>
                  <w:tcW w:w="1325" w:type="dxa"/>
                  <w:tcBorders>
                    <w:tl2br w:val="nil"/>
                    <w:tr2bl w:val="nil"/>
                  </w:tcBorders>
                  <w:vAlign w:val="center"/>
                </w:tcPr>
                <w:p w14:paraId="67FD095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500g</w:t>
                  </w:r>
                </w:p>
              </w:tc>
              <w:tc>
                <w:tcPr>
                  <w:tcW w:w="634" w:type="pct"/>
                  <w:tcBorders>
                    <w:tl2br w:val="nil"/>
                    <w:tr2bl w:val="nil"/>
                  </w:tcBorders>
                  <w:vAlign w:val="center"/>
                </w:tcPr>
                <w:p w14:paraId="3CA1E7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袋装</w:t>
                  </w:r>
                </w:p>
              </w:tc>
              <w:tc>
                <w:tcPr>
                  <w:tcW w:w="703" w:type="pct"/>
                  <w:tcBorders>
                    <w:tl2br w:val="nil"/>
                    <w:tr2bl w:val="nil"/>
                  </w:tcBorders>
                  <w:vAlign w:val="center"/>
                </w:tcPr>
                <w:p w14:paraId="7176AF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7999A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5BCF7E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031A3E4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4"/>
                      <w:sz w:val="21"/>
                      <w:szCs w:val="21"/>
                    </w:rPr>
                    <w:t>铜片</w:t>
                  </w:r>
                </w:p>
              </w:tc>
              <w:tc>
                <w:tcPr>
                  <w:tcW w:w="854" w:type="pct"/>
                  <w:tcBorders>
                    <w:tl2br w:val="nil"/>
                    <w:tr2bl w:val="nil"/>
                  </w:tcBorders>
                  <w:vAlign w:val="center"/>
                </w:tcPr>
                <w:p w14:paraId="590B10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Cu</w:t>
                  </w:r>
                </w:p>
              </w:tc>
              <w:tc>
                <w:tcPr>
                  <w:tcW w:w="1266" w:type="dxa"/>
                  <w:tcBorders>
                    <w:tl2br w:val="nil"/>
                    <w:tr2bl w:val="nil"/>
                  </w:tcBorders>
                  <w:vAlign w:val="center"/>
                </w:tcPr>
                <w:p w14:paraId="64A11CF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50g</w:t>
                  </w:r>
                </w:p>
              </w:tc>
              <w:tc>
                <w:tcPr>
                  <w:tcW w:w="1325" w:type="dxa"/>
                  <w:tcBorders>
                    <w:tl2br w:val="nil"/>
                    <w:tr2bl w:val="nil"/>
                  </w:tcBorders>
                  <w:vAlign w:val="center"/>
                </w:tcPr>
                <w:p w14:paraId="2553DCF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200g</w:t>
                  </w:r>
                </w:p>
              </w:tc>
              <w:tc>
                <w:tcPr>
                  <w:tcW w:w="634" w:type="pct"/>
                  <w:tcBorders>
                    <w:tl2br w:val="nil"/>
                    <w:tr2bl w:val="nil"/>
                  </w:tcBorders>
                  <w:vAlign w:val="center"/>
                </w:tcPr>
                <w:p w14:paraId="37BFC1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袋装</w:t>
                  </w:r>
                </w:p>
              </w:tc>
              <w:tc>
                <w:tcPr>
                  <w:tcW w:w="703" w:type="pct"/>
                  <w:tcBorders>
                    <w:tl2br w:val="nil"/>
                    <w:tr2bl w:val="nil"/>
                  </w:tcBorders>
                  <w:vAlign w:val="center"/>
                </w:tcPr>
                <w:p w14:paraId="39C3F7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168779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72B891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40F3036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8"/>
                      <w:sz w:val="21"/>
                      <w:szCs w:val="21"/>
                    </w:rPr>
                    <w:t>硫酸铜溶</w:t>
                  </w:r>
                  <w:r>
                    <w:rPr>
                      <w:rFonts w:hint="default" w:ascii="Times New Roman" w:hAnsi="Times New Roman" w:eastAsia="宋体" w:cs="Times New Roman"/>
                      <w:color w:val="auto"/>
                      <w:sz w:val="21"/>
                      <w:szCs w:val="21"/>
                    </w:rPr>
                    <w:t>液</w:t>
                  </w:r>
                </w:p>
              </w:tc>
              <w:tc>
                <w:tcPr>
                  <w:tcW w:w="854" w:type="pct"/>
                  <w:tcBorders>
                    <w:tl2br w:val="nil"/>
                    <w:tr2bl w:val="nil"/>
                  </w:tcBorders>
                  <w:vAlign w:val="center"/>
                </w:tcPr>
                <w:p w14:paraId="7DDDBF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CuSO</w:t>
                  </w:r>
                  <w:r>
                    <w:rPr>
                      <w:rFonts w:hint="eastAsia" w:ascii="Times New Roman" w:hAnsi="Times New Roman" w:cs="Times New Roman"/>
                      <w:b w:val="0"/>
                      <w:bCs w:val="0"/>
                      <w:color w:val="auto"/>
                      <w:sz w:val="21"/>
                      <w:szCs w:val="21"/>
                      <w:highlight w:val="none"/>
                      <w:vertAlign w:val="subscript"/>
                      <w:lang w:val="en-US" w:eastAsia="zh-CN"/>
                    </w:rPr>
                    <w:t>4</w:t>
                  </w:r>
                </w:p>
              </w:tc>
              <w:tc>
                <w:tcPr>
                  <w:tcW w:w="1266" w:type="dxa"/>
                  <w:tcBorders>
                    <w:tl2br w:val="nil"/>
                    <w:tr2bl w:val="nil"/>
                  </w:tcBorders>
                  <w:vAlign w:val="center"/>
                </w:tcPr>
                <w:p w14:paraId="33E6DA6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color w:val="auto"/>
                      <w:szCs w:val="21"/>
                      <w:lang w:val="en-US" w:eastAsia="zh-CN"/>
                    </w:rPr>
                    <w:t>100mL</w:t>
                  </w:r>
                </w:p>
              </w:tc>
              <w:tc>
                <w:tcPr>
                  <w:tcW w:w="1325" w:type="dxa"/>
                  <w:tcBorders>
                    <w:tl2br w:val="nil"/>
                    <w:tr2bl w:val="nil"/>
                  </w:tcBorders>
                  <w:vAlign w:val="center"/>
                </w:tcPr>
                <w:p w14:paraId="5FDD6EE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500mL</w:t>
                  </w:r>
                </w:p>
              </w:tc>
              <w:tc>
                <w:tcPr>
                  <w:tcW w:w="634" w:type="pct"/>
                  <w:tcBorders>
                    <w:tl2br w:val="nil"/>
                    <w:tr2bl w:val="nil"/>
                  </w:tcBorders>
                  <w:vAlign w:val="center"/>
                </w:tcPr>
                <w:p w14:paraId="3EDE14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玻璃瓶装</w:t>
                  </w:r>
                </w:p>
              </w:tc>
              <w:tc>
                <w:tcPr>
                  <w:tcW w:w="703" w:type="pct"/>
                  <w:tcBorders>
                    <w:tl2br w:val="nil"/>
                    <w:tr2bl w:val="nil"/>
                  </w:tcBorders>
                  <w:vAlign w:val="center"/>
                </w:tcPr>
                <w:p w14:paraId="6677C5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72525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19E6E2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387D4A0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氯化钠</w:t>
                  </w:r>
                </w:p>
              </w:tc>
              <w:tc>
                <w:tcPr>
                  <w:tcW w:w="854" w:type="pct"/>
                  <w:tcBorders>
                    <w:tl2br w:val="nil"/>
                    <w:tr2bl w:val="nil"/>
                  </w:tcBorders>
                  <w:vAlign w:val="center"/>
                </w:tcPr>
                <w:p w14:paraId="21382A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NaCl</w:t>
                  </w:r>
                </w:p>
              </w:tc>
              <w:tc>
                <w:tcPr>
                  <w:tcW w:w="1266" w:type="dxa"/>
                  <w:tcBorders>
                    <w:tl2br w:val="nil"/>
                    <w:tr2bl w:val="nil"/>
                  </w:tcBorders>
                  <w:vAlign w:val="center"/>
                </w:tcPr>
                <w:p w14:paraId="66D53F6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1000g</w:t>
                  </w:r>
                </w:p>
              </w:tc>
              <w:tc>
                <w:tcPr>
                  <w:tcW w:w="1325" w:type="dxa"/>
                  <w:tcBorders>
                    <w:tl2br w:val="nil"/>
                    <w:tr2bl w:val="nil"/>
                  </w:tcBorders>
                  <w:vAlign w:val="center"/>
                </w:tcPr>
                <w:p w14:paraId="6D9CE07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5000g</w:t>
                  </w:r>
                </w:p>
              </w:tc>
              <w:tc>
                <w:tcPr>
                  <w:tcW w:w="634" w:type="pct"/>
                  <w:tcBorders>
                    <w:tl2br w:val="nil"/>
                    <w:tr2bl w:val="nil"/>
                  </w:tcBorders>
                  <w:vAlign w:val="center"/>
                </w:tcPr>
                <w:p w14:paraId="10294A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shd w:val="clear" w:color="auto" w:fill="auto"/>
                  <w:vAlign w:val="center"/>
                </w:tcPr>
                <w:p w14:paraId="6C16E1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02E84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42B95C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61E24E3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7"/>
                      <w:sz w:val="21"/>
                      <w:szCs w:val="21"/>
                    </w:rPr>
                    <w:t>氢氧化钠</w:t>
                  </w:r>
                  <w:r>
                    <w:rPr>
                      <w:rFonts w:hint="default" w:ascii="Times New Roman" w:hAnsi="Times New Roman" w:eastAsia="宋体" w:cs="Times New Roman"/>
                      <w:color w:val="auto"/>
                      <w:spacing w:val="3"/>
                      <w:sz w:val="21"/>
                      <w:szCs w:val="21"/>
                    </w:rPr>
                    <w:t>溶液</w:t>
                  </w:r>
                </w:p>
              </w:tc>
              <w:tc>
                <w:tcPr>
                  <w:tcW w:w="854" w:type="pct"/>
                  <w:tcBorders>
                    <w:tl2br w:val="nil"/>
                    <w:tr2bl w:val="nil"/>
                  </w:tcBorders>
                  <w:vAlign w:val="center"/>
                </w:tcPr>
                <w:p w14:paraId="6F044F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NaOH</w:t>
                  </w:r>
                </w:p>
              </w:tc>
              <w:tc>
                <w:tcPr>
                  <w:tcW w:w="1266" w:type="dxa"/>
                  <w:tcBorders>
                    <w:tl2br w:val="nil"/>
                    <w:tr2bl w:val="nil"/>
                  </w:tcBorders>
                  <w:vAlign w:val="center"/>
                </w:tcPr>
                <w:p w14:paraId="192788A2">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200mL</w:t>
                  </w:r>
                </w:p>
              </w:tc>
              <w:tc>
                <w:tcPr>
                  <w:tcW w:w="1325" w:type="dxa"/>
                  <w:tcBorders>
                    <w:tl2br w:val="nil"/>
                    <w:tr2bl w:val="nil"/>
                  </w:tcBorders>
                  <w:vAlign w:val="center"/>
                </w:tcPr>
                <w:p w14:paraId="65F1C682">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500mL</w:t>
                  </w:r>
                </w:p>
              </w:tc>
              <w:tc>
                <w:tcPr>
                  <w:tcW w:w="634" w:type="pct"/>
                  <w:tcBorders>
                    <w:tl2br w:val="nil"/>
                    <w:tr2bl w:val="nil"/>
                  </w:tcBorders>
                  <w:vAlign w:val="center"/>
                </w:tcPr>
                <w:p w14:paraId="34189F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玻璃瓶装</w:t>
                  </w:r>
                </w:p>
              </w:tc>
              <w:tc>
                <w:tcPr>
                  <w:tcW w:w="703" w:type="pct"/>
                  <w:tcBorders>
                    <w:tl2br w:val="nil"/>
                    <w:tr2bl w:val="nil"/>
                  </w:tcBorders>
                  <w:vAlign w:val="center"/>
                </w:tcPr>
                <w:p w14:paraId="021516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2B245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3A8EAB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426ECCC5">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7"/>
                      <w:sz w:val="21"/>
                      <w:szCs w:val="21"/>
                    </w:rPr>
                    <w:t>氢氧化钙</w:t>
                  </w:r>
                  <w:r>
                    <w:rPr>
                      <w:rFonts w:hint="default" w:ascii="Times New Roman" w:hAnsi="Times New Roman" w:eastAsia="宋体" w:cs="Times New Roman"/>
                      <w:color w:val="auto"/>
                      <w:spacing w:val="5"/>
                      <w:sz w:val="21"/>
                      <w:szCs w:val="21"/>
                    </w:rPr>
                    <w:t>粉末</w:t>
                  </w:r>
                </w:p>
              </w:tc>
              <w:tc>
                <w:tcPr>
                  <w:tcW w:w="854" w:type="pct"/>
                  <w:tcBorders>
                    <w:tl2br w:val="nil"/>
                    <w:tr2bl w:val="nil"/>
                  </w:tcBorders>
                  <w:vAlign w:val="center"/>
                </w:tcPr>
                <w:p w14:paraId="4857E6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Ca（OH）</w:t>
                  </w:r>
                  <w:r>
                    <w:rPr>
                      <w:rFonts w:hint="eastAsia" w:ascii="Times New Roman" w:hAnsi="Times New Roman" w:cs="Times New Roman"/>
                      <w:b w:val="0"/>
                      <w:bCs w:val="0"/>
                      <w:color w:val="auto"/>
                      <w:sz w:val="21"/>
                      <w:szCs w:val="21"/>
                      <w:highlight w:val="none"/>
                      <w:vertAlign w:val="subscript"/>
                      <w:lang w:val="en-US" w:eastAsia="zh-CN"/>
                    </w:rPr>
                    <w:t>2</w:t>
                  </w:r>
                </w:p>
              </w:tc>
              <w:tc>
                <w:tcPr>
                  <w:tcW w:w="1266" w:type="dxa"/>
                  <w:tcBorders>
                    <w:tl2br w:val="nil"/>
                    <w:tr2bl w:val="nil"/>
                  </w:tcBorders>
                  <w:vAlign w:val="center"/>
                </w:tcPr>
                <w:p w14:paraId="6CF3481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200g</w:t>
                  </w:r>
                </w:p>
              </w:tc>
              <w:tc>
                <w:tcPr>
                  <w:tcW w:w="1325" w:type="dxa"/>
                  <w:tcBorders>
                    <w:tl2br w:val="nil"/>
                    <w:tr2bl w:val="nil"/>
                  </w:tcBorders>
                  <w:vAlign w:val="center"/>
                </w:tcPr>
                <w:p w14:paraId="0D9239B4">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1000g</w:t>
                  </w:r>
                </w:p>
              </w:tc>
              <w:tc>
                <w:tcPr>
                  <w:tcW w:w="634" w:type="pct"/>
                  <w:tcBorders>
                    <w:tl2br w:val="nil"/>
                    <w:tr2bl w:val="nil"/>
                  </w:tcBorders>
                  <w:vAlign w:val="center"/>
                </w:tcPr>
                <w:p w14:paraId="02B62E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shd w:val="clear" w:color="auto" w:fill="auto"/>
                  <w:vAlign w:val="center"/>
                </w:tcPr>
                <w:p w14:paraId="21CDC3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7DC2E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3D1716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7706D4C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4"/>
                      <w:sz w:val="21"/>
                      <w:szCs w:val="21"/>
                    </w:rPr>
                    <w:t>酚酞</w:t>
                  </w:r>
                </w:p>
              </w:tc>
              <w:tc>
                <w:tcPr>
                  <w:tcW w:w="854" w:type="pct"/>
                  <w:tcBorders>
                    <w:tl2br w:val="nil"/>
                    <w:tr2bl w:val="nil"/>
                  </w:tcBorders>
                  <w:vAlign w:val="center"/>
                </w:tcPr>
                <w:p w14:paraId="70B5C8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C</w:t>
                  </w:r>
                  <w:r>
                    <w:rPr>
                      <w:rFonts w:hint="eastAsia" w:ascii="Times New Roman" w:hAnsi="Times New Roman" w:cs="Times New Roman"/>
                      <w:b w:val="0"/>
                      <w:bCs w:val="0"/>
                      <w:color w:val="auto"/>
                      <w:sz w:val="21"/>
                      <w:szCs w:val="21"/>
                      <w:highlight w:val="none"/>
                      <w:vertAlign w:val="subscript"/>
                      <w:lang w:val="en-US" w:eastAsia="zh-CN"/>
                    </w:rPr>
                    <w:t>20</w:t>
                  </w:r>
                  <w:r>
                    <w:rPr>
                      <w:rFonts w:hint="eastAsia" w:ascii="Times New Roman" w:hAnsi="Times New Roman" w:cs="Times New Roman"/>
                      <w:b w:val="0"/>
                      <w:bCs w:val="0"/>
                      <w:color w:val="auto"/>
                      <w:sz w:val="21"/>
                      <w:szCs w:val="21"/>
                      <w:highlight w:val="none"/>
                      <w:vertAlign w:val="baseline"/>
                      <w:lang w:val="en-US" w:eastAsia="zh-CN"/>
                    </w:rPr>
                    <w:t>H</w:t>
                  </w:r>
                  <w:r>
                    <w:rPr>
                      <w:rFonts w:hint="eastAsia" w:ascii="Times New Roman" w:hAnsi="Times New Roman" w:cs="Times New Roman"/>
                      <w:b w:val="0"/>
                      <w:bCs w:val="0"/>
                      <w:color w:val="auto"/>
                      <w:sz w:val="21"/>
                      <w:szCs w:val="21"/>
                      <w:highlight w:val="none"/>
                      <w:vertAlign w:val="subscript"/>
                      <w:lang w:val="en-US" w:eastAsia="zh-CN"/>
                    </w:rPr>
                    <w:t>14</w:t>
                  </w:r>
                  <w:r>
                    <w:rPr>
                      <w:rFonts w:hint="eastAsia" w:ascii="Times New Roman" w:hAnsi="Times New Roman" w:cs="Times New Roman"/>
                      <w:b w:val="0"/>
                      <w:bCs w:val="0"/>
                      <w:color w:val="auto"/>
                      <w:sz w:val="21"/>
                      <w:szCs w:val="21"/>
                      <w:highlight w:val="none"/>
                      <w:vertAlign w:val="baseline"/>
                      <w:lang w:val="en-US" w:eastAsia="zh-CN"/>
                    </w:rPr>
                    <w:t>O</w:t>
                  </w:r>
                  <w:r>
                    <w:rPr>
                      <w:rFonts w:hint="eastAsia" w:ascii="Times New Roman" w:hAnsi="Times New Roman" w:cs="Times New Roman"/>
                      <w:b w:val="0"/>
                      <w:bCs w:val="0"/>
                      <w:color w:val="auto"/>
                      <w:sz w:val="21"/>
                      <w:szCs w:val="21"/>
                      <w:highlight w:val="none"/>
                      <w:vertAlign w:val="subscript"/>
                      <w:lang w:val="en-US" w:eastAsia="zh-CN"/>
                    </w:rPr>
                    <w:t>4</w:t>
                  </w:r>
                </w:p>
              </w:tc>
              <w:tc>
                <w:tcPr>
                  <w:tcW w:w="1266" w:type="dxa"/>
                  <w:tcBorders>
                    <w:tl2br w:val="nil"/>
                    <w:tr2bl w:val="nil"/>
                  </w:tcBorders>
                  <w:vAlign w:val="center"/>
                </w:tcPr>
                <w:p w14:paraId="3BD4EB1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20g</w:t>
                  </w:r>
                </w:p>
              </w:tc>
              <w:tc>
                <w:tcPr>
                  <w:tcW w:w="1325" w:type="dxa"/>
                  <w:tcBorders>
                    <w:tl2br w:val="nil"/>
                    <w:tr2bl w:val="nil"/>
                  </w:tcBorders>
                  <w:vAlign w:val="center"/>
                </w:tcPr>
                <w:p w14:paraId="325AB2B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50g</w:t>
                  </w:r>
                </w:p>
              </w:tc>
              <w:tc>
                <w:tcPr>
                  <w:tcW w:w="634" w:type="pct"/>
                  <w:tcBorders>
                    <w:tl2br w:val="nil"/>
                    <w:tr2bl w:val="nil"/>
                  </w:tcBorders>
                  <w:vAlign w:val="center"/>
                </w:tcPr>
                <w:p w14:paraId="633DF4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7C3FEB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4573B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314197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47B9C92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氯化铁</w:t>
                  </w:r>
                </w:p>
              </w:tc>
              <w:tc>
                <w:tcPr>
                  <w:tcW w:w="854" w:type="pct"/>
                  <w:tcBorders>
                    <w:tl2br w:val="nil"/>
                    <w:tr2bl w:val="nil"/>
                  </w:tcBorders>
                  <w:vAlign w:val="center"/>
                </w:tcPr>
                <w:p w14:paraId="5B7D7C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FeCl</w:t>
                  </w:r>
                  <w:r>
                    <w:rPr>
                      <w:rFonts w:hint="eastAsia" w:ascii="Times New Roman" w:hAnsi="Times New Roman" w:cs="Times New Roman"/>
                      <w:b w:val="0"/>
                      <w:bCs w:val="0"/>
                      <w:color w:val="auto"/>
                      <w:sz w:val="21"/>
                      <w:szCs w:val="21"/>
                      <w:highlight w:val="none"/>
                      <w:vertAlign w:val="subscript"/>
                      <w:lang w:val="en-US" w:eastAsia="zh-CN"/>
                    </w:rPr>
                    <w:t>3</w:t>
                  </w:r>
                </w:p>
              </w:tc>
              <w:tc>
                <w:tcPr>
                  <w:tcW w:w="1266" w:type="dxa"/>
                  <w:tcBorders>
                    <w:tl2br w:val="nil"/>
                    <w:tr2bl w:val="nil"/>
                  </w:tcBorders>
                  <w:vAlign w:val="center"/>
                </w:tcPr>
                <w:p w14:paraId="67E0440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50mL</w:t>
                  </w:r>
                </w:p>
              </w:tc>
              <w:tc>
                <w:tcPr>
                  <w:tcW w:w="1325" w:type="dxa"/>
                  <w:tcBorders>
                    <w:tl2br w:val="nil"/>
                    <w:tr2bl w:val="nil"/>
                  </w:tcBorders>
                  <w:vAlign w:val="center"/>
                </w:tcPr>
                <w:p w14:paraId="19519EC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100mL</w:t>
                  </w:r>
                </w:p>
              </w:tc>
              <w:tc>
                <w:tcPr>
                  <w:tcW w:w="634" w:type="pct"/>
                  <w:tcBorders>
                    <w:tl2br w:val="nil"/>
                    <w:tr2bl w:val="nil"/>
                  </w:tcBorders>
                  <w:vAlign w:val="center"/>
                </w:tcPr>
                <w:p w14:paraId="58DE18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740890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007C4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0F379D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77B38C1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4"/>
                      <w:sz w:val="21"/>
                      <w:szCs w:val="21"/>
                    </w:rPr>
                    <w:t>粗盐</w:t>
                  </w:r>
                </w:p>
              </w:tc>
              <w:tc>
                <w:tcPr>
                  <w:tcW w:w="854" w:type="pct"/>
                  <w:tcBorders>
                    <w:tl2br w:val="nil"/>
                    <w:tr2bl w:val="nil"/>
                  </w:tcBorders>
                  <w:vAlign w:val="center"/>
                </w:tcPr>
                <w:p w14:paraId="3EBC48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1266" w:type="dxa"/>
                  <w:tcBorders>
                    <w:tl2br w:val="nil"/>
                    <w:tr2bl w:val="nil"/>
                  </w:tcBorders>
                  <w:vAlign w:val="center"/>
                </w:tcPr>
                <w:p w14:paraId="7999F8C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500g</w:t>
                  </w:r>
                </w:p>
              </w:tc>
              <w:tc>
                <w:tcPr>
                  <w:tcW w:w="1325" w:type="dxa"/>
                  <w:tcBorders>
                    <w:tl2br w:val="nil"/>
                    <w:tr2bl w:val="nil"/>
                  </w:tcBorders>
                  <w:vAlign w:val="center"/>
                </w:tcPr>
                <w:p w14:paraId="756A58B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1000g</w:t>
                  </w:r>
                </w:p>
              </w:tc>
              <w:tc>
                <w:tcPr>
                  <w:tcW w:w="634" w:type="pct"/>
                  <w:tcBorders>
                    <w:tl2br w:val="nil"/>
                    <w:tr2bl w:val="nil"/>
                  </w:tcBorders>
                  <w:vAlign w:val="center"/>
                </w:tcPr>
                <w:p w14:paraId="1AA32C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32BE95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335D9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1D53EC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37B0210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4"/>
                      <w:sz w:val="21"/>
                      <w:szCs w:val="21"/>
                    </w:rPr>
                    <w:t>氨水</w:t>
                  </w:r>
                </w:p>
              </w:tc>
              <w:tc>
                <w:tcPr>
                  <w:tcW w:w="854" w:type="pct"/>
                  <w:tcBorders>
                    <w:tl2br w:val="nil"/>
                    <w:tr2bl w:val="nil"/>
                  </w:tcBorders>
                  <w:vAlign w:val="center"/>
                </w:tcPr>
                <w:p w14:paraId="225588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NH</w:t>
                  </w:r>
                  <w:r>
                    <w:rPr>
                      <w:rFonts w:hint="eastAsia" w:ascii="Times New Roman" w:hAnsi="Times New Roman" w:cs="Times New Roman"/>
                      <w:b w:val="0"/>
                      <w:bCs w:val="0"/>
                      <w:color w:val="auto"/>
                      <w:sz w:val="21"/>
                      <w:szCs w:val="21"/>
                      <w:highlight w:val="none"/>
                      <w:vertAlign w:val="subscript"/>
                      <w:lang w:val="en-US" w:eastAsia="zh-CN"/>
                    </w:rPr>
                    <w:t>3</w:t>
                  </w:r>
                  <w:r>
                    <w:rPr>
                      <w:rFonts w:hint="default" w:ascii="Times New Roman" w:hAnsi="Times New Roman" w:cs="Times New Roman"/>
                      <w:b w:val="0"/>
                      <w:bCs w:val="0"/>
                      <w:color w:val="auto"/>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baseline"/>
                      <w:lang w:val="en-US" w:eastAsia="zh-CN"/>
                    </w:rPr>
                    <w:t>H</w:t>
                  </w:r>
                  <w:r>
                    <w:rPr>
                      <w:rFonts w:hint="eastAsia" w:ascii="Times New Roman" w:hAnsi="Times New Roman" w:cs="Times New Roman"/>
                      <w:b w:val="0"/>
                      <w:bCs w:val="0"/>
                      <w:color w:val="auto"/>
                      <w:sz w:val="21"/>
                      <w:szCs w:val="21"/>
                      <w:highlight w:val="none"/>
                      <w:vertAlign w:val="subscript"/>
                      <w:lang w:val="en-US" w:eastAsia="zh-CN"/>
                    </w:rPr>
                    <w:t>2</w:t>
                  </w:r>
                  <w:r>
                    <w:rPr>
                      <w:rFonts w:hint="eastAsia" w:ascii="Times New Roman" w:hAnsi="Times New Roman" w:cs="Times New Roman"/>
                      <w:b w:val="0"/>
                      <w:bCs w:val="0"/>
                      <w:color w:val="auto"/>
                      <w:sz w:val="21"/>
                      <w:szCs w:val="21"/>
                      <w:highlight w:val="none"/>
                      <w:vertAlign w:val="baseline"/>
                      <w:lang w:val="en-US" w:eastAsia="zh-CN"/>
                    </w:rPr>
                    <w:t>O</w:t>
                  </w:r>
                </w:p>
              </w:tc>
              <w:tc>
                <w:tcPr>
                  <w:tcW w:w="1266" w:type="dxa"/>
                  <w:tcBorders>
                    <w:tl2br w:val="nil"/>
                    <w:tr2bl w:val="nil"/>
                  </w:tcBorders>
                  <w:vAlign w:val="center"/>
                </w:tcPr>
                <w:p w14:paraId="3F5A916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300mL</w:t>
                  </w:r>
                </w:p>
              </w:tc>
              <w:tc>
                <w:tcPr>
                  <w:tcW w:w="1325" w:type="dxa"/>
                  <w:tcBorders>
                    <w:tl2br w:val="nil"/>
                    <w:tr2bl w:val="nil"/>
                  </w:tcBorders>
                  <w:vAlign w:val="center"/>
                </w:tcPr>
                <w:p w14:paraId="0A448E0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1000mL</w:t>
                  </w:r>
                </w:p>
              </w:tc>
              <w:tc>
                <w:tcPr>
                  <w:tcW w:w="634" w:type="pct"/>
                  <w:tcBorders>
                    <w:tl2br w:val="nil"/>
                    <w:tr2bl w:val="nil"/>
                  </w:tcBorders>
                  <w:vAlign w:val="center"/>
                </w:tcPr>
                <w:p w14:paraId="490B8D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玻璃拼装</w:t>
                  </w:r>
                </w:p>
              </w:tc>
              <w:tc>
                <w:tcPr>
                  <w:tcW w:w="703" w:type="pct"/>
                  <w:tcBorders>
                    <w:tl2br w:val="nil"/>
                    <w:tr2bl w:val="nil"/>
                  </w:tcBorders>
                  <w:vAlign w:val="center"/>
                </w:tcPr>
                <w:p w14:paraId="488705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2C498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2173A0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1668DA0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7"/>
                      <w:sz w:val="21"/>
                      <w:szCs w:val="21"/>
                    </w:rPr>
                    <w:t>过氧化氢</w:t>
                  </w:r>
                </w:p>
              </w:tc>
              <w:tc>
                <w:tcPr>
                  <w:tcW w:w="854" w:type="pct"/>
                  <w:tcBorders>
                    <w:tl2br w:val="nil"/>
                    <w:tr2bl w:val="nil"/>
                  </w:tcBorders>
                  <w:vAlign w:val="center"/>
                </w:tcPr>
                <w:p w14:paraId="284698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H</w:t>
                  </w:r>
                  <w:r>
                    <w:rPr>
                      <w:rFonts w:hint="eastAsia" w:ascii="Times New Roman" w:hAnsi="Times New Roman" w:cs="Times New Roman"/>
                      <w:b w:val="0"/>
                      <w:bCs w:val="0"/>
                      <w:color w:val="auto"/>
                      <w:sz w:val="21"/>
                      <w:szCs w:val="21"/>
                      <w:highlight w:val="none"/>
                      <w:vertAlign w:val="subscript"/>
                      <w:lang w:val="en-US" w:eastAsia="zh-CN"/>
                    </w:rPr>
                    <w:t>2</w:t>
                  </w:r>
                  <w:r>
                    <w:rPr>
                      <w:rFonts w:hint="eastAsia" w:ascii="Times New Roman" w:hAnsi="Times New Roman" w:cs="Times New Roman"/>
                      <w:b w:val="0"/>
                      <w:bCs w:val="0"/>
                      <w:color w:val="auto"/>
                      <w:sz w:val="21"/>
                      <w:szCs w:val="21"/>
                      <w:highlight w:val="none"/>
                      <w:vertAlign w:val="baseline"/>
                      <w:lang w:val="en-US" w:eastAsia="zh-CN"/>
                    </w:rPr>
                    <w:t>O</w:t>
                  </w:r>
                  <w:r>
                    <w:rPr>
                      <w:rFonts w:hint="eastAsia" w:ascii="Times New Roman" w:hAnsi="Times New Roman" w:cs="Times New Roman"/>
                      <w:b w:val="0"/>
                      <w:bCs w:val="0"/>
                      <w:color w:val="auto"/>
                      <w:sz w:val="21"/>
                      <w:szCs w:val="21"/>
                      <w:highlight w:val="none"/>
                      <w:vertAlign w:val="subscript"/>
                      <w:lang w:val="en-US" w:eastAsia="zh-CN"/>
                    </w:rPr>
                    <w:t>2</w:t>
                  </w:r>
                </w:p>
              </w:tc>
              <w:tc>
                <w:tcPr>
                  <w:tcW w:w="1266" w:type="dxa"/>
                  <w:tcBorders>
                    <w:tl2br w:val="nil"/>
                    <w:tr2bl w:val="nil"/>
                  </w:tcBorders>
                  <w:vAlign w:val="center"/>
                </w:tcPr>
                <w:p w14:paraId="340B6DFE">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200mL</w:t>
                  </w:r>
                </w:p>
              </w:tc>
              <w:tc>
                <w:tcPr>
                  <w:tcW w:w="1325" w:type="dxa"/>
                  <w:tcBorders>
                    <w:tl2br w:val="nil"/>
                    <w:tr2bl w:val="nil"/>
                  </w:tcBorders>
                  <w:vAlign w:val="center"/>
                </w:tcPr>
                <w:p w14:paraId="5067754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1500mL</w:t>
                  </w:r>
                </w:p>
              </w:tc>
              <w:tc>
                <w:tcPr>
                  <w:tcW w:w="634" w:type="pct"/>
                  <w:tcBorders>
                    <w:tl2br w:val="nil"/>
                    <w:tr2bl w:val="nil"/>
                  </w:tcBorders>
                  <w:vAlign w:val="center"/>
                </w:tcPr>
                <w:p w14:paraId="5FECAA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5D6CA3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43F67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078E5C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1AFB74D4">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二氧化锰</w:t>
                  </w:r>
                </w:p>
              </w:tc>
              <w:tc>
                <w:tcPr>
                  <w:tcW w:w="854" w:type="pct"/>
                  <w:tcBorders>
                    <w:tl2br w:val="nil"/>
                    <w:tr2bl w:val="nil"/>
                  </w:tcBorders>
                  <w:vAlign w:val="center"/>
                </w:tcPr>
                <w:p w14:paraId="0D4397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MnO</w:t>
                  </w:r>
                  <w:r>
                    <w:rPr>
                      <w:rFonts w:hint="eastAsia" w:ascii="Times New Roman" w:hAnsi="Times New Roman" w:cs="Times New Roman"/>
                      <w:b w:val="0"/>
                      <w:bCs w:val="0"/>
                      <w:color w:val="auto"/>
                      <w:sz w:val="21"/>
                      <w:szCs w:val="21"/>
                      <w:highlight w:val="none"/>
                      <w:vertAlign w:val="subscript"/>
                      <w:lang w:val="en-US" w:eastAsia="zh-CN"/>
                    </w:rPr>
                    <w:t>2</w:t>
                  </w:r>
                </w:p>
              </w:tc>
              <w:tc>
                <w:tcPr>
                  <w:tcW w:w="1266" w:type="dxa"/>
                  <w:tcBorders>
                    <w:tl2br w:val="nil"/>
                    <w:tr2bl w:val="nil"/>
                  </w:tcBorders>
                  <w:vAlign w:val="center"/>
                </w:tcPr>
                <w:p w14:paraId="50D483A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50g</w:t>
                  </w:r>
                </w:p>
              </w:tc>
              <w:tc>
                <w:tcPr>
                  <w:tcW w:w="1325" w:type="dxa"/>
                  <w:tcBorders>
                    <w:tl2br w:val="nil"/>
                    <w:tr2bl w:val="nil"/>
                  </w:tcBorders>
                  <w:vAlign w:val="center"/>
                </w:tcPr>
                <w:p w14:paraId="73CAAD7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100g</w:t>
                  </w:r>
                </w:p>
              </w:tc>
              <w:tc>
                <w:tcPr>
                  <w:tcW w:w="634" w:type="pct"/>
                  <w:tcBorders>
                    <w:tl2br w:val="nil"/>
                    <w:tr2bl w:val="nil"/>
                  </w:tcBorders>
                  <w:vAlign w:val="center"/>
                </w:tcPr>
                <w:p w14:paraId="63B9EE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3F8EF7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0E166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598657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078CC15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4"/>
                      <w:sz w:val="21"/>
                      <w:szCs w:val="21"/>
                    </w:rPr>
                    <w:t>铝片</w:t>
                  </w:r>
                </w:p>
              </w:tc>
              <w:tc>
                <w:tcPr>
                  <w:tcW w:w="854" w:type="pct"/>
                  <w:tcBorders>
                    <w:tl2br w:val="nil"/>
                    <w:tr2bl w:val="nil"/>
                  </w:tcBorders>
                  <w:vAlign w:val="center"/>
                </w:tcPr>
                <w:p w14:paraId="39D616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Al</w:t>
                  </w:r>
                </w:p>
              </w:tc>
              <w:tc>
                <w:tcPr>
                  <w:tcW w:w="1266" w:type="dxa"/>
                  <w:tcBorders>
                    <w:tl2br w:val="nil"/>
                    <w:tr2bl w:val="nil"/>
                  </w:tcBorders>
                  <w:vAlign w:val="center"/>
                </w:tcPr>
                <w:p w14:paraId="6E4761B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50g</w:t>
                  </w:r>
                </w:p>
              </w:tc>
              <w:tc>
                <w:tcPr>
                  <w:tcW w:w="1325" w:type="dxa"/>
                  <w:tcBorders>
                    <w:tl2br w:val="nil"/>
                    <w:tr2bl w:val="nil"/>
                  </w:tcBorders>
                  <w:vAlign w:val="center"/>
                </w:tcPr>
                <w:p w14:paraId="073D67E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200g</w:t>
                  </w:r>
                </w:p>
              </w:tc>
              <w:tc>
                <w:tcPr>
                  <w:tcW w:w="634" w:type="pct"/>
                  <w:tcBorders>
                    <w:tl2br w:val="nil"/>
                    <w:tr2bl w:val="nil"/>
                  </w:tcBorders>
                  <w:vAlign w:val="center"/>
                </w:tcPr>
                <w:p w14:paraId="4BCC2B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袋装</w:t>
                  </w:r>
                </w:p>
              </w:tc>
              <w:tc>
                <w:tcPr>
                  <w:tcW w:w="703" w:type="pct"/>
                  <w:tcBorders>
                    <w:tl2br w:val="nil"/>
                    <w:tr2bl w:val="nil"/>
                  </w:tcBorders>
                  <w:vAlign w:val="center"/>
                </w:tcPr>
                <w:p w14:paraId="371902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02A88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11E466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09D395D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铁片</w:t>
                  </w:r>
                </w:p>
              </w:tc>
              <w:tc>
                <w:tcPr>
                  <w:tcW w:w="854" w:type="pct"/>
                  <w:tcBorders>
                    <w:tl2br w:val="nil"/>
                    <w:tr2bl w:val="nil"/>
                  </w:tcBorders>
                  <w:vAlign w:val="center"/>
                </w:tcPr>
                <w:p w14:paraId="04D391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Fe</w:t>
                  </w:r>
                </w:p>
              </w:tc>
              <w:tc>
                <w:tcPr>
                  <w:tcW w:w="1266" w:type="dxa"/>
                  <w:tcBorders>
                    <w:tl2br w:val="nil"/>
                    <w:tr2bl w:val="nil"/>
                  </w:tcBorders>
                  <w:vAlign w:val="center"/>
                </w:tcPr>
                <w:p w14:paraId="77C0E31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50g</w:t>
                  </w:r>
                </w:p>
              </w:tc>
              <w:tc>
                <w:tcPr>
                  <w:tcW w:w="1325" w:type="dxa"/>
                  <w:tcBorders>
                    <w:tl2br w:val="nil"/>
                    <w:tr2bl w:val="nil"/>
                  </w:tcBorders>
                  <w:vAlign w:val="center"/>
                </w:tcPr>
                <w:p w14:paraId="0EF0181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500g</w:t>
                  </w:r>
                </w:p>
              </w:tc>
              <w:tc>
                <w:tcPr>
                  <w:tcW w:w="634" w:type="pct"/>
                  <w:tcBorders>
                    <w:tl2br w:val="nil"/>
                    <w:tr2bl w:val="nil"/>
                  </w:tcBorders>
                  <w:vAlign w:val="center"/>
                </w:tcPr>
                <w:p w14:paraId="550963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袋装</w:t>
                  </w:r>
                </w:p>
              </w:tc>
              <w:tc>
                <w:tcPr>
                  <w:tcW w:w="703" w:type="pct"/>
                  <w:tcBorders>
                    <w:tl2br w:val="nil"/>
                    <w:tr2bl w:val="nil"/>
                  </w:tcBorders>
                  <w:vAlign w:val="center"/>
                </w:tcPr>
                <w:p w14:paraId="4791DE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2A29A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720608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502A435C">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硫酸</w:t>
                  </w:r>
                </w:p>
              </w:tc>
              <w:tc>
                <w:tcPr>
                  <w:tcW w:w="854" w:type="pct"/>
                  <w:tcBorders>
                    <w:tl2br w:val="nil"/>
                    <w:tr2bl w:val="nil"/>
                  </w:tcBorders>
                  <w:vAlign w:val="center"/>
                </w:tcPr>
                <w:p w14:paraId="721638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98%H</w:t>
                  </w:r>
                  <w:r>
                    <w:rPr>
                      <w:rFonts w:hint="eastAsia" w:ascii="Times New Roman" w:hAnsi="Times New Roman" w:cs="Times New Roman"/>
                      <w:b w:val="0"/>
                      <w:bCs w:val="0"/>
                      <w:color w:val="auto"/>
                      <w:sz w:val="21"/>
                      <w:szCs w:val="21"/>
                      <w:highlight w:val="none"/>
                      <w:vertAlign w:val="subscript"/>
                      <w:lang w:val="en-US" w:eastAsia="zh-CN"/>
                    </w:rPr>
                    <w:t>2</w:t>
                  </w:r>
                  <w:r>
                    <w:rPr>
                      <w:rFonts w:hint="eastAsia" w:ascii="Times New Roman" w:hAnsi="Times New Roman" w:cs="Times New Roman"/>
                      <w:b w:val="0"/>
                      <w:bCs w:val="0"/>
                      <w:color w:val="auto"/>
                      <w:sz w:val="21"/>
                      <w:szCs w:val="21"/>
                      <w:highlight w:val="none"/>
                      <w:vertAlign w:val="baseline"/>
                      <w:lang w:val="en-US" w:eastAsia="zh-CN"/>
                    </w:rPr>
                    <w:t>SO</w:t>
                  </w:r>
                  <w:r>
                    <w:rPr>
                      <w:rFonts w:hint="eastAsia" w:ascii="Times New Roman" w:hAnsi="Times New Roman" w:cs="Times New Roman"/>
                      <w:b w:val="0"/>
                      <w:bCs w:val="0"/>
                      <w:color w:val="auto"/>
                      <w:sz w:val="21"/>
                      <w:szCs w:val="21"/>
                      <w:highlight w:val="none"/>
                      <w:vertAlign w:val="subscript"/>
                      <w:lang w:val="en-US" w:eastAsia="zh-CN"/>
                    </w:rPr>
                    <w:t>4</w:t>
                  </w:r>
                </w:p>
              </w:tc>
              <w:tc>
                <w:tcPr>
                  <w:tcW w:w="1266" w:type="dxa"/>
                  <w:tcBorders>
                    <w:tl2br w:val="nil"/>
                    <w:tr2bl w:val="nil"/>
                  </w:tcBorders>
                  <w:vAlign w:val="center"/>
                </w:tcPr>
                <w:p w14:paraId="46F3E93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100mL</w:t>
                  </w:r>
                </w:p>
              </w:tc>
              <w:tc>
                <w:tcPr>
                  <w:tcW w:w="1325" w:type="dxa"/>
                  <w:tcBorders>
                    <w:tl2br w:val="nil"/>
                    <w:tr2bl w:val="nil"/>
                  </w:tcBorders>
                  <w:vAlign w:val="center"/>
                </w:tcPr>
                <w:p w14:paraId="15ECFFD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zCs w:val="21"/>
                      <w:lang w:val="en-US" w:eastAsia="zh-CN"/>
                    </w:rPr>
                    <w:t>2000mL</w:t>
                  </w:r>
                </w:p>
              </w:tc>
              <w:tc>
                <w:tcPr>
                  <w:tcW w:w="634" w:type="pct"/>
                  <w:tcBorders>
                    <w:tl2br w:val="nil"/>
                    <w:tr2bl w:val="nil"/>
                  </w:tcBorders>
                  <w:vAlign w:val="center"/>
                </w:tcPr>
                <w:p w14:paraId="0FF0C6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玻璃瓶装</w:t>
                  </w:r>
                </w:p>
              </w:tc>
              <w:tc>
                <w:tcPr>
                  <w:tcW w:w="703" w:type="pct"/>
                  <w:tcBorders>
                    <w:tl2br w:val="nil"/>
                    <w:tr2bl w:val="nil"/>
                  </w:tcBorders>
                  <w:vAlign w:val="center"/>
                </w:tcPr>
                <w:p w14:paraId="00DBA8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521A8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59BFD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06BD4FEE">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2"/>
                      <w:sz w:val="21"/>
                      <w:szCs w:val="21"/>
                    </w:rPr>
                    <w:t>红磷</w:t>
                  </w:r>
                </w:p>
              </w:tc>
              <w:tc>
                <w:tcPr>
                  <w:tcW w:w="854" w:type="pct"/>
                  <w:tcBorders>
                    <w:tl2br w:val="nil"/>
                    <w:tr2bl w:val="nil"/>
                  </w:tcBorders>
                  <w:vAlign w:val="center"/>
                </w:tcPr>
                <w:p w14:paraId="5E12D5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P</w:t>
                  </w:r>
                </w:p>
              </w:tc>
              <w:tc>
                <w:tcPr>
                  <w:tcW w:w="1266" w:type="dxa"/>
                  <w:tcBorders>
                    <w:tl2br w:val="nil"/>
                    <w:tr2bl w:val="nil"/>
                  </w:tcBorders>
                  <w:vAlign w:val="center"/>
                </w:tcPr>
                <w:p w14:paraId="36BD2AA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20g</w:t>
                  </w:r>
                </w:p>
              </w:tc>
              <w:tc>
                <w:tcPr>
                  <w:tcW w:w="1325" w:type="dxa"/>
                  <w:tcBorders>
                    <w:tl2br w:val="nil"/>
                    <w:tr2bl w:val="nil"/>
                  </w:tcBorders>
                  <w:vAlign w:val="center"/>
                </w:tcPr>
                <w:p w14:paraId="60E2D6B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50g</w:t>
                  </w:r>
                </w:p>
              </w:tc>
              <w:tc>
                <w:tcPr>
                  <w:tcW w:w="634" w:type="pct"/>
                  <w:tcBorders>
                    <w:tl2br w:val="nil"/>
                    <w:tr2bl w:val="nil"/>
                  </w:tcBorders>
                  <w:vAlign w:val="center"/>
                </w:tcPr>
                <w:p w14:paraId="1FA219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玻璃瓶装</w:t>
                  </w:r>
                </w:p>
              </w:tc>
              <w:tc>
                <w:tcPr>
                  <w:tcW w:w="703" w:type="pct"/>
                  <w:tcBorders>
                    <w:tl2br w:val="nil"/>
                    <w:tr2bl w:val="nil"/>
                  </w:tcBorders>
                  <w:vAlign w:val="center"/>
                </w:tcPr>
                <w:p w14:paraId="6AC39D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7A9BA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6CBF85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0CAEE9D2">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明矾</w:t>
                  </w:r>
                </w:p>
              </w:tc>
              <w:tc>
                <w:tcPr>
                  <w:tcW w:w="854" w:type="pct"/>
                  <w:tcBorders>
                    <w:tl2br w:val="nil"/>
                    <w:tr2bl w:val="nil"/>
                  </w:tcBorders>
                  <w:vAlign w:val="center"/>
                </w:tcPr>
                <w:p w14:paraId="4BC276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KAl（SO</w:t>
                  </w:r>
                  <w:r>
                    <w:rPr>
                      <w:rFonts w:hint="eastAsia" w:ascii="Times New Roman" w:hAnsi="Times New Roman" w:cs="Times New Roman"/>
                      <w:b w:val="0"/>
                      <w:bCs w:val="0"/>
                      <w:color w:val="auto"/>
                      <w:sz w:val="21"/>
                      <w:szCs w:val="21"/>
                      <w:highlight w:val="none"/>
                      <w:vertAlign w:val="subscript"/>
                      <w:lang w:val="en-US" w:eastAsia="zh-CN"/>
                    </w:rPr>
                    <w:t>4</w:t>
                  </w:r>
                  <w:r>
                    <w:rPr>
                      <w:rFonts w:hint="eastAsia" w:ascii="Times New Roman" w:hAnsi="Times New Roman" w:cs="Times New Roman"/>
                      <w:b w:val="0"/>
                      <w:bCs w:val="0"/>
                      <w:color w:val="auto"/>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subscript"/>
                      <w:lang w:val="en-US" w:eastAsia="zh-CN"/>
                    </w:rPr>
                    <w:t>2</w:t>
                  </w:r>
                </w:p>
              </w:tc>
              <w:tc>
                <w:tcPr>
                  <w:tcW w:w="1266" w:type="dxa"/>
                  <w:tcBorders>
                    <w:tl2br w:val="nil"/>
                    <w:tr2bl w:val="nil"/>
                  </w:tcBorders>
                  <w:vAlign w:val="center"/>
                </w:tcPr>
                <w:p w14:paraId="25A7015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50g</w:t>
                  </w:r>
                </w:p>
              </w:tc>
              <w:tc>
                <w:tcPr>
                  <w:tcW w:w="1325" w:type="dxa"/>
                  <w:tcBorders>
                    <w:tl2br w:val="nil"/>
                    <w:tr2bl w:val="nil"/>
                  </w:tcBorders>
                  <w:vAlign w:val="center"/>
                </w:tcPr>
                <w:p w14:paraId="1C1D319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200g</w:t>
                  </w:r>
                </w:p>
              </w:tc>
              <w:tc>
                <w:tcPr>
                  <w:tcW w:w="634" w:type="pct"/>
                  <w:tcBorders>
                    <w:tl2br w:val="nil"/>
                    <w:tr2bl w:val="nil"/>
                  </w:tcBorders>
                  <w:vAlign w:val="center"/>
                </w:tcPr>
                <w:p w14:paraId="56AF82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69891E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12CF2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6130BA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7A98FC5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4"/>
                      <w:sz w:val="21"/>
                      <w:szCs w:val="21"/>
                    </w:rPr>
                    <w:t>蔗糖</w:t>
                  </w:r>
                </w:p>
              </w:tc>
              <w:tc>
                <w:tcPr>
                  <w:tcW w:w="854" w:type="pct"/>
                  <w:tcBorders>
                    <w:tl2br w:val="nil"/>
                    <w:tr2bl w:val="nil"/>
                  </w:tcBorders>
                  <w:vAlign w:val="center"/>
                </w:tcPr>
                <w:p w14:paraId="621F27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C</w:t>
                  </w:r>
                  <w:r>
                    <w:rPr>
                      <w:rFonts w:hint="eastAsia" w:ascii="Times New Roman" w:hAnsi="Times New Roman" w:cs="Times New Roman"/>
                      <w:b w:val="0"/>
                      <w:bCs w:val="0"/>
                      <w:color w:val="auto"/>
                      <w:sz w:val="21"/>
                      <w:szCs w:val="21"/>
                      <w:highlight w:val="none"/>
                      <w:vertAlign w:val="subscript"/>
                      <w:lang w:val="en-US" w:eastAsia="zh-CN"/>
                    </w:rPr>
                    <w:t>12</w:t>
                  </w:r>
                  <w:r>
                    <w:rPr>
                      <w:rFonts w:hint="eastAsia" w:ascii="Times New Roman" w:hAnsi="Times New Roman" w:cs="Times New Roman"/>
                      <w:b w:val="0"/>
                      <w:bCs w:val="0"/>
                      <w:color w:val="auto"/>
                      <w:sz w:val="21"/>
                      <w:szCs w:val="21"/>
                      <w:highlight w:val="none"/>
                      <w:vertAlign w:val="baseline"/>
                      <w:lang w:val="en-US" w:eastAsia="zh-CN"/>
                    </w:rPr>
                    <w:t>H</w:t>
                  </w:r>
                  <w:r>
                    <w:rPr>
                      <w:rFonts w:hint="eastAsia" w:ascii="Times New Roman" w:hAnsi="Times New Roman" w:cs="Times New Roman"/>
                      <w:b w:val="0"/>
                      <w:bCs w:val="0"/>
                      <w:color w:val="auto"/>
                      <w:sz w:val="21"/>
                      <w:szCs w:val="21"/>
                      <w:highlight w:val="none"/>
                      <w:vertAlign w:val="subscript"/>
                      <w:lang w:val="en-US" w:eastAsia="zh-CN"/>
                    </w:rPr>
                    <w:t>22</w:t>
                  </w:r>
                  <w:r>
                    <w:rPr>
                      <w:rFonts w:hint="eastAsia" w:ascii="Times New Roman" w:hAnsi="Times New Roman" w:cs="Times New Roman"/>
                      <w:b w:val="0"/>
                      <w:bCs w:val="0"/>
                      <w:color w:val="auto"/>
                      <w:sz w:val="21"/>
                      <w:szCs w:val="21"/>
                      <w:highlight w:val="none"/>
                      <w:vertAlign w:val="baseline"/>
                      <w:lang w:val="en-US" w:eastAsia="zh-CN"/>
                    </w:rPr>
                    <w:t>O</w:t>
                  </w:r>
                  <w:r>
                    <w:rPr>
                      <w:rFonts w:hint="eastAsia" w:ascii="Times New Roman" w:hAnsi="Times New Roman" w:cs="Times New Roman"/>
                      <w:b w:val="0"/>
                      <w:bCs w:val="0"/>
                      <w:color w:val="auto"/>
                      <w:sz w:val="21"/>
                      <w:szCs w:val="21"/>
                      <w:highlight w:val="none"/>
                      <w:vertAlign w:val="subscript"/>
                      <w:lang w:val="en-US" w:eastAsia="zh-CN"/>
                    </w:rPr>
                    <w:t>11</w:t>
                  </w:r>
                </w:p>
              </w:tc>
              <w:tc>
                <w:tcPr>
                  <w:tcW w:w="1266" w:type="dxa"/>
                  <w:tcBorders>
                    <w:tl2br w:val="nil"/>
                    <w:tr2bl w:val="nil"/>
                  </w:tcBorders>
                  <w:vAlign w:val="center"/>
                </w:tcPr>
                <w:p w14:paraId="59856205">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1000g</w:t>
                  </w:r>
                </w:p>
              </w:tc>
              <w:tc>
                <w:tcPr>
                  <w:tcW w:w="1325" w:type="dxa"/>
                  <w:tcBorders>
                    <w:tl2br w:val="nil"/>
                    <w:tr2bl w:val="nil"/>
                  </w:tcBorders>
                  <w:vAlign w:val="center"/>
                </w:tcPr>
                <w:p w14:paraId="7B85AE55">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500g</w:t>
                  </w:r>
                </w:p>
              </w:tc>
              <w:tc>
                <w:tcPr>
                  <w:tcW w:w="634" w:type="pct"/>
                  <w:tcBorders>
                    <w:tl2br w:val="nil"/>
                    <w:tr2bl w:val="nil"/>
                  </w:tcBorders>
                  <w:vAlign w:val="center"/>
                </w:tcPr>
                <w:p w14:paraId="434EF4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4F690F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5DD5F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62DC16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3140C8B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硝酸铵</w:t>
                  </w:r>
                </w:p>
              </w:tc>
              <w:tc>
                <w:tcPr>
                  <w:tcW w:w="854" w:type="pct"/>
                  <w:tcBorders>
                    <w:tl2br w:val="nil"/>
                    <w:tr2bl w:val="nil"/>
                  </w:tcBorders>
                  <w:vAlign w:val="center"/>
                </w:tcPr>
                <w:p w14:paraId="6C17C9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NH</w:t>
                  </w:r>
                  <w:r>
                    <w:rPr>
                      <w:rFonts w:hint="eastAsia" w:ascii="Times New Roman" w:hAnsi="Times New Roman" w:cs="Times New Roman"/>
                      <w:b w:val="0"/>
                      <w:bCs w:val="0"/>
                      <w:color w:val="auto"/>
                      <w:sz w:val="21"/>
                      <w:szCs w:val="21"/>
                      <w:highlight w:val="none"/>
                      <w:vertAlign w:val="subscript"/>
                      <w:lang w:val="en-US" w:eastAsia="zh-CN"/>
                    </w:rPr>
                    <w:t>4</w:t>
                  </w:r>
                  <w:r>
                    <w:rPr>
                      <w:rFonts w:hint="eastAsia" w:ascii="Times New Roman" w:hAnsi="Times New Roman" w:cs="Times New Roman"/>
                      <w:b w:val="0"/>
                      <w:bCs w:val="0"/>
                      <w:color w:val="auto"/>
                      <w:sz w:val="21"/>
                      <w:szCs w:val="21"/>
                      <w:highlight w:val="none"/>
                      <w:vertAlign w:val="baseline"/>
                      <w:lang w:val="en-US" w:eastAsia="zh-CN"/>
                    </w:rPr>
                    <w:t>NO</w:t>
                  </w:r>
                  <w:r>
                    <w:rPr>
                      <w:rFonts w:hint="eastAsia" w:ascii="Times New Roman" w:hAnsi="Times New Roman" w:cs="Times New Roman"/>
                      <w:b w:val="0"/>
                      <w:bCs w:val="0"/>
                      <w:color w:val="auto"/>
                      <w:sz w:val="21"/>
                      <w:szCs w:val="21"/>
                      <w:highlight w:val="none"/>
                      <w:vertAlign w:val="subscript"/>
                      <w:lang w:val="en-US" w:eastAsia="zh-CN"/>
                    </w:rPr>
                    <w:t>3</w:t>
                  </w:r>
                </w:p>
              </w:tc>
              <w:tc>
                <w:tcPr>
                  <w:tcW w:w="1266" w:type="dxa"/>
                  <w:tcBorders>
                    <w:tl2br w:val="nil"/>
                    <w:tr2bl w:val="nil"/>
                  </w:tcBorders>
                  <w:vAlign w:val="center"/>
                </w:tcPr>
                <w:p w14:paraId="08CD05DA">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100mL</w:t>
                  </w:r>
                </w:p>
              </w:tc>
              <w:tc>
                <w:tcPr>
                  <w:tcW w:w="1325" w:type="dxa"/>
                  <w:tcBorders>
                    <w:tl2br w:val="nil"/>
                    <w:tr2bl w:val="nil"/>
                  </w:tcBorders>
                  <w:vAlign w:val="center"/>
                </w:tcPr>
                <w:p w14:paraId="6A4B51B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500mL</w:t>
                  </w:r>
                </w:p>
              </w:tc>
              <w:tc>
                <w:tcPr>
                  <w:tcW w:w="634" w:type="pct"/>
                  <w:tcBorders>
                    <w:tl2br w:val="nil"/>
                    <w:tr2bl w:val="nil"/>
                  </w:tcBorders>
                  <w:vAlign w:val="center"/>
                </w:tcPr>
                <w:p w14:paraId="2849C3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63E78D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00BB3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79CDEF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5F75DC65">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硝酸钾</w:t>
                  </w:r>
                </w:p>
              </w:tc>
              <w:tc>
                <w:tcPr>
                  <w:tcW w:w="854" w:type="pct"/>
                  <w:tcBorders>
                    <w:tl2br w:val="nil"/>
                    <w:tr2bl w:val="nil"/>
                  </w:tcBorders>
                  <w:vAlign w:val="center"/>
                </w:tcPr>
                <w:p w14:paraId="7032D0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KNO</w:t>
                  </w:r>
                  <w:r>
                    <w:rPr>
                      <w:rFonts w:hint="eastAsia" w:ascii="Times New Roman" w:hAnsi="Times New Roman" w:cs="Times New Roman"/>
                      <w:b w:val="0"/>
                      <w:bCs w:val="0"/>
                      <w:color w:val="auto"/>
                      <w:sz w:val="21"/>
                      <w:szCs w:val="21"/>
                      <w:highlight w:val="none"/>
                      <w:vertAlign w:val="subscript"/>
                      <w:lang w:val="en-US" w:eastAsia="zh-CN"/>
                    </w:rPr>
                    <w:t>3</w:t>
                  </w:r>
                </w:p>
              </w:tc>
              <w:tc>
                <w:tcPr>
                  <w:tcW w:w="1266" w:type="dxa"/>
                  <w:tcBorders>
                    <w:tl2br w:val="nil"/>
                    <w:tr2bl w:val="nil"/>
                  </w:tcBorders>
                  <w:vAlign w:val="center"/>
                </w:tcPr>
                <w:p w14:paraId="6DA8443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50g</w:t>
                  </w:r>
                </w:p>
              </w:tc>
              <w:tc>
                <w:tcPr>
                  <w:tcW w:w="1325" w:type="dxa"/>
                  <w:tcBorders>
                    <w:tl2br w:val="nil"/>
                    <w:tr2bl w:val="nil"/>
                  </w:tcBorders>
                  <w:vAlign w:val="center"/>
                </w:tcPr>
                <w:p w14:paraId="4F39161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500g</w:t>
                  </w:r>
                </w:p>
              </w:tc>
              <w:tc>
                <w:tcPr>
                  <w:tcW w:w="634" w:type="pct"/>
                  <w:tcBorders>
                    <w:tl2br w:val="nil"/>
                    <w:tr2bl w:val="nil"/>
                  </w:tcBorders>
                  <w:vAlign w:val="center"/>
                </w:tcPr>
                <w:p w14:paraId="28A41B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640E0B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57353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56C917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50F12BC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硝酸银</w:t>
                  </w:r>
                </w:p>
              </w:tc>
              <w:tc>
                <w:tcPr>
                  <w:tcW w:w="854" w:type="pct"/>
                  <w:tcBorders>
                    <w:tl2br w:val="nil"/>
                    <w:tr2bl w:val="nil"/>
                  </w:tcBorders>
                  <w:vAlign w:val="center"/>
                </w:tcPr>
                <w:p w14:paraId="4BEBEC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AgNO</w:t>
                  </w:r>
                  <w:r>
                    <w:rPr>
                      <w:rFonts w:hint="eastAsia" w:ascii="Times New Roman" w:hAnsi="Times New Roman" w:cs="Times New Roman"/>
                      <w:b w:val="0"/>
                      <w:bCs w:val="0"/>
                      <w:color w:val="auto"/>
                      <w:sz w:val="21"/>
                      <w:szCs w:val="21"/>
                      <w:highlight w:val="none"/>
                      <w:vertAlign w:val="subscript"/>
                      <w:lang w:val="en-US" w:eastAsia="zh-CN"/>
                    </w:rPr>
                    <w:t>3</w:t>
                  </w:r>
                </w:p>
              </w:tc>
              <w:tc>
                <w:tcPr>
                  <w:tcW w:w="1266" w:type="dxa"/>
                  <w:tcBorders>
                    <w:tl2br w:val="nil"/>
                    <w:tr2bl w:val="nil"/>
                  </w:tcBorders>
                  <w:vAlign w:val="center"/>
                </w:tcPr>
                <w:p w14:paraId="5B35069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100mL</w:t>
                  </w:r>
                </w:p>
              </w:tc>
              <w:tc>
                <w:tcPr>
                  <w:tcW w:w="1325" w:type="dxa"/>
                  <w:tcBorders>
                    <w:tl2br w:val="nil"/>
                    <w:tr2bl w:val="nil"/>
                  </w:tcBorders>
                  <w:vAlign w:val="center"/>
                </w:tcPr>
                <w:p w14:paraId="60527C9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500mL</w:t>
                  </w:r>
                </w:p>
              </w:tc>
              <w:tc>
                <w:tcPr>
                  <w:tcW w:w="634" w:type="pct"/>
                  <w:tcBorders>
                    <w:tl2br w:val="nil"/>
                    <w:tr2bl w:val="nil"/>
                  </w:tcBorders>
                  <w:vAlign w:val="center"/>
                </w:tcPr>
                <w:p w14:paraId="743505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4FC6E0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28059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41C758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075B8A6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7"/>
                      <w:sz w:val="21"/>
                      <w:szCs w:val="21"/>
                    </w:rPr>
                    <w:t>氢氧化钡</w:t>
                  </w:r>
                </w:p>
              </w:tc>
              <w:tc>
                <w:tcPr>
                  <w:tcW w:w="854" w:type="pct"/>
                  <w:tcBorders>
                    <w:tl2br w:val="nil"/>
                    <w:tr2bl w:val="nil"/>
                  </w:tcBorders>
                  <w:vAlign w:val="center"/>
                </w:tcPr>
                <w:p w14:paraId="0A3973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Ba（OH）</w:t>
                  </w:r>
                  <w:r>
                    <w:rPr>
                      <w:rFonts w:hint="eastAsia" w:ascii="Times New Roman" w:hAnsi="Times New Roman" w:cs="Times New Roman"/>
                      <w:b w:val="0"/>
                      <w:bCs w:val="0"/>
                      <w:color w:val="auto"/>
                      <w:sz w:val="21"/>
                      <w:szCs w:val="21"/>
                      <w:highlight w:val="none"/>
                      <w:vertAlign w:val="subscript"/>
                      <w:lang w:val="en-US" w:eastAsia="zh-CN"/>
                    </w:rPr>
                    <w:t>2</w:t>
                  </w:r>
                </w:p>
              </w:tc>
              <w:tc>
                <w:tcPr>
                  <w:tcW w:w="1266" w:type="dxa"/>
                  <w:tcBorders>
                    <w:tl2br w:val="nil"/>
                    <w:tr2bl w:val="nil"/>
                  </w:tcBorders>
                  <w:vAlign w:val="center"/>
                </w:tcPr>
                <w:p w14:paraId="3A34808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 xml:space="preserve">100mL </w:t>
                  </w:r>
                </w:p>
              </w:tc>
              <w:tc>
                <w:tcPr>
                  <w:tcW w:w="1325" w:type="dxa"/>
                  <w:tcBorders>
                    <w:tl2br w:val="nil"/>
                    <w:tr2bl w:val="nil"/>
                  </w:tcBorders>
                  <w:vAlign w:val="center"/>
                </w:tcPr>
                <w:p w14:paraId="65B4850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500mL</w:t>
                  </w:r>
                </w:p>
              </w:tc>
              <w:tc>
                <w:tcPr>
                  <w:tcW w:w="634" w:type="pct"/>
                  <w:tcBorders>
                    <w:tl2br w:val="nil"/>
                    <w:tr2bl w:val="nil"/>
                  </w:tcBorders>
                  <w:vAlign w:val="center"/>
                </w:tcPr>
                <w:p w14:paraId="411198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2FB657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3362D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030AB5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45A38D7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碳酸钠</w:t>
                  </w:r>
                </w:p>
              </w:tc>
              <w:tc>
                <w:tcPr>
                  <w:tcW w:w="854" w:type="pct"/>
                  <w:tcBorders>
                    <w:tl2br w:val="nil"/>
                    <w:tr2bl w:val="nil"/>
                  </w:tcBorders>
                  <w:vAlign w:val="center"/>
                </w:tcPr>
                <w:p w14:paraId="6FE93F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Na</w:t>
                  </w:r>
                  <w:r>
                    <w:rPr>
                      <w:rFonts w:hint="eastAsia" w:ascii="Times New Roman" w:hAnsi="Times New Roman" w:cs="Times New Roman"/>
                      <w:b w:val="0"/>
                      <w:bCs w:val="0"/>
                      <w:color w:val="auto"/>
                      <w:sz w:val="21"/>
                      <w:szCs w:val="21"/>
                      <w:highlight w:val="none"/>
                      <w:vertAlign w:val="subscript"/>
                      <w:lang w:val="en-US" w:eastAsia="zh-CN"/>
                    </w:rPr>
                    <w:t>2</w:t>
                  </w:r>
                  <w:r>
                    <w:rPr>
                      <w:rFonts w:hint="eastAsia" w:ascii="Times New Roman" w:hAnsi="Times New Roman" w:cs="Times New Roman"/>
                      <w:b w:val="0"/>
                      <w:bCs w:val="0"/>
                      <w:color w:val="auto"/>
                      <w:sz w:val="21"/>
                      <w:szCs w:val="21"/>
                      <w:highlight w:val="none"/>
                      <w:vertAlign w:val="baseline"/>
                      <w:lang w:val="en-US" w:eastAsia="zh-CN"/>
                    </w:rPr>
                    <w:t>CO</w:t>
                  </w:r>
                  <w:r>
                    <w:rPr>
                      <w:rFonts w:hint="eastAsia" w:ascii="Times New Roman" w:hAnsi="Times New Roman" w:cs="Times New Roman"/>
                      <w:b w:val="0"/>
                      <w:bCs w:val="0"/>
                      <w:color w:val="auto"/>
                      <w:sz w:val="21"/>
                      <w:szCs w:val="21"/>
                      <w:highlight w:val="none"/>
                      <w:vertAlign w:val="subscript"/>
                      <w:lang w:val="en-US" w:eastAsia="zh-CN"/>
                    </w:rPr>
                    <w:t>3</w:t>
                  </w:r>
                </w:p>
              </w:tc>
              <w:tc>
                <w:tcPr>
                  <w:tcW w:w="1266" w:type="dxa"/>
                  <w:tcBorders>
                    <w:tl2br w:val="nil"/>
                    <w:tr2bl w:val="nil"/>
                  </w:tcBorders>
                  <w:vAlign w:val="center"/>
                </w:tcPr>
                <w:p w14:paraId="514982A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50g</w:t>
                  </w:r>
                </w:p>
              </w:tc>
              <w:tc>
                <w:tcPr>
                  <w:tcW w:w="1325" w:type="dxa"/>
                  <w:tcBorders>
                    <w:tl2br w:val="nil"/>
                    <w:tr2bl w:val="nil"/>
                  </w:tcBorders>
                  <w:vAlign w:val="center"/>
                </w:tcPr>
                <w:p w14:paraId="323C56D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1000g</w:t>
                  </w:r>
                </w:p>
              </w:tc>
              <w:tc>
                <w:tcPr>
                  <w:tcW w:w="634" w:type="pct"/>
                  <w:tcBorders>
                    <w:tl2br w:val="nil"/>
                    <w:tr2bl w:val="nil"/>
                  </w:tcBorders>
                  <w:vAlign w:val="center"/>
                </w:tcPr>
                <w:p w14:paraId="1CE4F4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28F83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5E5BF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68CA7D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464EA0B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7"/>
                      <w:sz w:val="21"/>
                      <w:szCs w:val="21"/>
                    </w:rPr>
                    <w:t>碳酸氢钠</w:t>
                  </w:r>
                </w:p>
              </w:tc>
              <w:tc>
                <w:tcPr>
                  <w:tcW w:w="854" w:type="pct"/>
                  <w:tcBorders>
                    <w:tl2br w:val="nil"/>
                    <w:tr2bl w:val="nil"/>
                  </w:tcBorders>
                  <w:vAlign w:val="center"/>
                </w:tcPr>
                <w:p w14:paraId="102D7F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NaHCO</w:t>
                  </w:r>
                  <w:r>
                    <w:rPr>
                      <w:rFonts w:hint="eastAsia" w:ascii="Times New Roman" w:hAnsi="Times New Roman" w:cs="Times New Roman"/>
                      <w:b w:val="0"/>
                      <w:bCs w:val="0"/>
                      <w:color w:val="auto"/>
                      <w:sz w:val="21"/>
                      <w:szCs w:val="21"/>
                      <w:highlight w:val="none"/>
                      <w:vertAlign w:val="subscript"/>
                      <w:lang w:val="en-US" w:eastAsia="zh-CN"/>
                    </w:rPr>
                    <w:t>3</w:t>
                  </w:r>
                </w:p>
              </w:tc>
              <w:tc>
                <w:tcPr>
                  <w:tcW w:w="1266" w:type="dxa"/>
                  <w:tcBorders>
                    <w:tl2br w:val="nil"/>
                    <w:tr2bl w:val="nil"/>
                  </w:tcBorders>
                  <w:vAlign w:val="center"/>
                </w:tcPr>
                <w:p w14:paraId="06A96B1E">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100g</w:t>
                  </w:r>
                </w:p>
              </w:tc>
              <w:tc>
                <w:tcPr>
                  <w:tcW w:w="1325" w:type="dxa"/>
                  <w:tcBorders>
                    <w:tl2br w:val="nil"/>
                    <w:tr2bl w:val="nil"/>
                  </w:tcBorders>
                  <w:vAlign w:val="center"/>
                </w:tcPr>
                <w:p w14:paraId="6F2E0C2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500g</w:t>
                  </w:r>
                </w:p>
              </w:tc>
              <w:tc>
                <w:tcPr>
                  <w:tcW w:w="634" w:type="pct"/>
                  <w:tcBorders>
                    <w:tl2br w:val="nil"/>
                    <w:tr2bl w:val="nil"/>
                  </w:tcBorders>
                  <w:vAlign w:val="center"/>
                </w:tcPr>
                <w:p w14:paraId="7A3925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1826F4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4D45A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1F553C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1AC29AE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氯化钡</w:t>
                  </w:r>
                </w:p>
              </w:tc>
              <w:tc>
                <w:tcPr>
                  <w:tcW w:w="854" w:type="pct"/>
                  <w:tcBorders>
                    <w:tl2br w:val="nil"/>
                    <w:tr2bl w:val="nil"/>
                  </w:tcBorders>
                  <w:vAlign w:val="center"/>
                </w:tcPr>
                <w:p w14:paraId="1258A5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BaCl</w:t>
                  </w:r>
                  <w:r>
                    <w:rPr>
                      <w:rFonts w:hint="eastAsia" w:ascii="Times New Roman" w:hAnsi="Times New Roman" w:cs="Times New Roman"/>
                      <w:b w:val="0"/>
                      <w:bCs w:val="0"/>
                      <w:color w:val="auto"/>
                      <w:sz w:val="21"/>
                      <w:szCs w:val="21"/>
                      <w:highlight w:val="none"/>
                      <w:vertAlign w:val="subscript"/>
                      <w:lang w:val="en-US" w:eastAsia="zh-CN"/>
                    </w:rPr>
                    <w:t>2</w:t>
                  </w:r>
                </w:p>
              </w:tc>
              <w:tc>
                <w:tcPr>
                  <w:tcW w:w="1266" w:type="dxa"/>
                  <w:tcBorders>
                    <w:tl2br w:val="nil"/>
                    <w:tr2bl w:val="nil"/>
                  </w:tcBorders>
                  <w:vAlign w:val="center"/>
                </w:tcPr>
                <w:p w14:paraId="6864770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50mL</w:t>
                  </w:r>
                </w:p>
              </w:tc>
              <w:tc>
                <w:tcPr>
                  <w:tcW w:w="1325" w:type="dxa"/>
                  <w:tcBorders>
                    <w:tl2br w:val="nil"/>
                    <w:tr2bl w:val="nil"/>
                  </w:tcBorders>
                  <w:vAlign w:val="center"/>
                </w:tcPr>
                <w:p w14:paraId="7062906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100mL</w:t>
                  </w:r>
                </w:p>
              </w:tc>
              <w:tc>
                <w:tcPr>
                  <w:tcW w:w="634" w:type="pct"/>
                  <w:tcBorders>
                    <w:tl2br w:val="nil"/>
                    <w:tr2bl w:val="nil"/>
                  </w:tcBorders>
                  <w:vAlign w:val="center"/>
                </w:tcPr>
                <w:p w14:paraId="798121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33B3C0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4E6B4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restart"/>
                  <w:tcBorders>
                    <w:tl2br w:val="nil"/>
                    <w:tr2bl w:val="nil"/>
                  </w:tcBorders>
                  <w:vAlign w:val="center"/>
                </w:tcPr>
                <w:p w14:paraId="764789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生物实验</w:t>
                  </w:r>
                </w:p>
              </w:tc>
              <w:tc>
                <w:tcPr>
                  <w:tcW w:w="828" w:type="pct"/>
                  <w:tcBorders>
                    <w:tl2br w:val="nil"/>
                    <w:tr2bl w:val="nil"/>
                  </w:tcBorders>
                  <w:vAlign w:val="center"/>
                </w:tcPr>
                <w:p w14:paraId="5DBC85AA">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5"/>
                      <w:sz w:val="21"/>
                      <w:szCs w:val="21"/>
                    </w:rPr>
                    <w:t>碘液</w:t>
                  </w:r>
                </w:p>
              </w:tc>
              <w:tc>
                <w:tcPr>
                  <w:tcW w:w="854" w:type="pct"/>
                  <w:tcBorders>
                    <w:tl2br w:val="nil"/>
                    <w:tr2bl w:val="nil"/>
                  </w:tcBorders>
                  <w:vAlign w:val="center"/>
                </w:tcPr>
                <w:p w14:paraId="395574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1266" w:type="dxa"/>
                  <w:tcBorders>
                    <w:tl2br w:val="nil"/>
                    <w:tr2bl w:val="nil"/>
                  </w:tcBorders>
                  <w:vAlign w:val="center"/>
                </w:tcPr>
                <w:p w14:paraId="25D7763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50mL</w:t>
                  </w:r>
                </w:p>
              </w:tc>
              <w:tc>
                <w:tcPr>
                  <w:tcW w:w="1325" w:type="dxa"/>
                  <w:tcBorders>
                    <w:tl2br w:val="nil"/>
                    <w:tr2bl w:val="nil"/>
                  </w:tcBorders>
                  <w:vAlign w:val="center"/>
                </w:tcPr>
                <w:p w14:paraId="2F49A18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100mL</w:t>
                  </w:r>
                </w:p>
              </w:tc>
              <w:tc>
                <w:tcPr>
                  <w:tcW w:w="634" w:type="pct"/>
                  <w:tcBorders>
                    <w:tl2br w:val="nil"/>
                    <w:tr2bl w:val="nil"/>
                  </w:tcBorders>
                  <w:vAlign w:val="center"/>
                </w:tcPr>
                <w:p w14:paraId="14534A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0B7722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549FC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2F4229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30AB798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2"/>
                      <w:sz w:val="21"/>
                      <w:szCs w:val="21"/>
                    </w:rPr>
                    <w:t>酒精</w:t>
                  </w:r>
                </w:p>
              </w:tc>
              <w:tc>
                <w:tcPr>
                  <w:tcW w:w="854" w:type="pct"/>
                  <w:tcBorders>
                    <w:tl2br w:val="nil"/>
                    <w:tr2bl w:val="nil"/>
                  </w:tcBorders>
                  <w:vAlign w:val="center"/>
                </w:tcPr>
                <w:p w14:paraId="37C40C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75%C</w:t>
                  </w:r>
                  <w:r>
                    <w:rPr>
                      <w:rFonts w:hint="eastAsia" w:ascii="Times New Roman" w:hAnsi="Times New Roman" w:cs="Times New Roman"/>
                      <w:b w:val="0"/>
                      <w:bCs w:val="0"/>
                      <w:color w:val="auto"/>
                      <w:sz w:val="21"/>
                      <w:szCs w:val="21"/>
                      <w:highlight w:val="none"/>
                      <w:vertAlign w:val="subscript"/>
                      <w:lang w:val="en-US" w:eastAsia="zh-CN"/>
                    </w:rPr>
                    <w:t>2</w:t>
                  </w:r>
                  <w:r>
                    <w:rPr>
                      <w:rFonts w:hint="eastAsia" w:ascii="Times New Roman" w:hAnsi="Times New Roman" w:cs="Times New Roman"/>
                      <w:b w:val="0"/>
                      <w:bCs w:val="0"/>
                      <w:color w:val="auto"/>
                      <w:sz w:val="21"/>
                      <w:szCs w:val="21"/>
                      <w:highlight w:val="none"/>
                      <w:vertAlign w:val="baseline"/>
                      <w:lang w:val="en-US" w:eastAsia="zh-CN"/>
                    </w:rPr>
                    <w:t>H</w:t>
                  </w:r>
                  <w:r>
                    <w:rPr>
                      <w:rFonts w:hint="eastAsia" w:ascii="Times New Roman" w:hAnsi="Times New Roman" w:cs="Times New Roman"/>
                      <w:b w:val="0"/>
                      <w:bCs w:val="0"/>
                      <w:color w:val="auto"/>
                      <w:sz w:val="21"/>
                      <w:szCs w:val="21"/>
                      <w:highlight w:val="none"/>
                      <w:vertAlign w:val="subscript"/>
                      <w:lang w:val="en-US" w:eastAsia="zh-CN"/>
                    </w:rPr>
                    <w:t>5</w:t>
                  </w:r>
                  <w:r>
                    <w:rPr>
                      <w:rFonts w:hint="eastAsia" w:ascii="Times New Roman" w:hAnsi="Times New Roman" w:cs="Times New Roman"/>
                      <w:b w:val="0"/>
                      <w:bCs w:val="0"/>
                      <w:color w:val="auto"/>
                      <w:sz w:val="21"/>
                      <w:szCs w:val="21"/>
                      <w:highlight w:val="none"/>
                      <w:vertAlign w:val="baseline"/>
                      <w:lang w:val="en-US" w:eastAsia="zh-CN"/>
                    </w:rPr>
                    <w:t>OH</w:t>
                  </w:r>
                </w:p>
              </w:tc>
              <w:tc>
                <w:tcPr>
                  <w:tcW w:w="1266" w:type="dxa"/>
                  <w:tcBorders>
                    <w:tl2br w:val="nil"/>
                    <w:tr2bl w:val="nil"/>
                  </w:tcBorders>
                  <w:vAlign w:val="center"/>
                </w:tcPr>
                <w:p w14:paraId="43829EFC">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500mL</w:t>
                  </w:r>
                </w:p>
              </w:tc>
              <w:tc>
                <w:tcPr>
                  <w:tcW w:w="1325" w:type="dxa"/>
                  <w:tcBorders>
                    <w:tl2br w:val="nil"/>
                    <w:tr2bl w:val="nil"/>
                  </w:tcBorders>
                  <w:vAlign w:val="center"/>
                </w:tcPr>
                <w:p w14:paraId="54FE6CE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2500mL</w:t>
                  </w:r>
                </w:p>
              </w:tc>
              <w:tc>
                <w:tcPr>
                  <w:tcW w:w="634" w:type="pct"/>
                  <w:tcBorders>
                    <w:tl2br w:val="nil"/>
                    <w:tr2bl w:val="nil"/>
                  </w:tcBorders>
                  <w:vAlign w:val="center"/>
                </w:tcPr>
                <w:p w14:paraId="4F3CE6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45DBE0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11749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35409A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828" w:type="pct"/>
                  <w:tcBorders>
                    <w:tl2br w:val="nil"/>
                    <w:tr2bl w:val="nil"/>
                  </w:tcBorders>
                  <w:vAlign w:val="center"/>
                </w:tcPr>
                <w:p w14:paraId="2F9BD65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生理盐水</w:t>
                  </w:r>
                </w:p>
              </w:tc>
              <w:tc>
                <w:tcPr>
                  <w:tcW w:w="854" w:type="pct"/>
                  <w:tcBorders>
                    <w:tl2br w:val="nil"/>
                    <w:tr2bl w:val="nil"/>
                  </w:tcBorders>
                  <w:vAlign w:val="center"/>
                </w:tcPr>
                <w:p w14:paraId="2AD4A7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氯化钠溶液</w:t>
                  </w:r>
                </w:p>
              </w:tc>
              <w:tc>
                <w:tcPr>
                  <w:tcW w:w="1266" w:type="dxa"/>
                  <w:tcBorders>
                    <w:tl2br w:val="nil"/>
                    <w:tr2bl w:val="nil"/>
                  </w:tcBorders>
                  <w:vAlign w:val="center"/>
                </w:tcPr>
                <w:p w14:paraId="1186C515">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2000mL</w:t>
                  </w:r>
                </w:p>
              </w:tc>
              <w:tc>
                <w:tcPr>
                  <w:tcW w:w="1325" w:type="dxa"/>
                  <w:tcBorders>
                    <w:tl2br w:val="nil"/>
                    <w:tr2bl w:val="nil"/>
                  </w:tcBorders>
                  <w:vAlign w:val="center"/>
                </w:tcPr>
                <w:p w14:paraId="3823774C">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4000mL</w:t>
                  </w:r>
                </w:p>
              </w:tc>
              <w:tc>
                <w:tcPr>
                  <w:tcW w:w="634" w:type="pct"/>
                  <w:tcBorders>
                    <w:tl2br w:val="nil"/>
                    <w:tr2bl w:val="nil"/>
                  </w:tcBorders>
                  <w:vAlign w:val="center"/>
                </w:tcPr>
                <w:p w14:paraId="123BF9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408B75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08B69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71D84F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451FF4BC">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7"/>
                      <w:sz w:val="21"/>
                      <w:szCs w:val="21"/>
                    </w:rPr>
                    <w:t>蔗糖溶液</w:t>
                  </w:r>
                </w:p>
              </w:tc>
              <w:tc>
                <w:tcPr>
                  <w:tcW w:w="854" w:type="pct"/>
                  <w:tcBorders>
                    <w:tl2br w:val="nil"/>
                    <w:tr2bl w:val="nil"/>
                  </w:tcBorders>
                  <w:vAlign w:val="center"/>
                </w:tcPr>
                <w:p w14:paraId="33187D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0.3g/ml</w:t>
                  </w:r>
                </w:p>
              </w:tc>
              <w:tc>
                <w:tcPr>
                  <w:tcW w:w="1266" w:type="dxa"/>
                  <w:tcBorders>
                    <w:tl2br w:val="nil"/>
                    <w:tr2bl w:val="nil"/>
                  </w:tcBorders>
                  <w:vAlign w:val="center"/>
                </w:tcPr>
                <w:p w14:paraId="2F4F9ED2">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1000mL</w:t>
                  </w:r>
                </w:p>
              </w:tc>
              <w:tc>
                <w:tcPr>
                  <w:tcW w:w="1325" w:type="dxa"/>
                  <w:tcBorders>
                    <w:tl2br w:val="nil"/>
                    <w:tr2bl w:val="nil"/>
                  </w:tcBorders>
                  <w:vAlign w:val="center"/>
                </w:tcPr>
                <w:p w14:paraId="25FC4B34">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2000mL</w:t>
                  </w:r>
                </w:p>
              </w:tc>
              <w:tc>
                <w:tcPr>
                  <w:tcW w:w="634" w:type="pct"/>
                  <w:tcBorders>
                    <w:tl2br w:val="nil"/>
                    <w:tr2bl w:val="nil"/>
                  </w:tcBorders>
                  <w:vAlign w:val="center"/>
                </w:tcPr>
                <w:p w14:paraId="108954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35EF80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0DBDE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583" w:type="pct"/>
                  <w:vMerge w:val="continue"/>
                  <w:tcBorders>
                    <w:tl2br w:val="nil"/>
                    <w:tr2bl w:val="nil"/>
                  </w:tcBorders>
                  <w:vAlign w:val="center"/>
                </w:tcPr>
                <w:p w14:paraId="5029F3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2C60066C">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7"/>
                      <w:sz w:val="21"/>
                      <w:szCs w:val="21"/>
                    </w:rPr>
                    <w:t>碳酸氢钠</w:t>
                  </w:r>
                </w:p>
              </w:tc>
              <w:tc>
                <w:tcPr>
                  <w:tcW w:w="854" w:type="pct"/>
                  <w:tcBorders>
                    <w:tl2br w:val="nil"/>
                    <w:tr2bl w:val="nil"/>
                  </w:tcBorders>
                  <w:vAlign w:val="center"/>
                </w:tcPr>
                <w:p w14:paraId="3042CF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NaHCO</w:t>
                  </w:r>
                  <w:r>
                    <w:rPr>
                      <w:rFonts w:hint="eastAsia" w:ascii="Times New Roman" w:hAnsi="Times New Roman" w:cs="Times New Roman"/>
                      <w:b w:val="0"/>
                      <w:bCs w:val="0"/>
                      <w:color w:val="auto"/>
                      <w:sz w:val="21"/>
                      <w:szCs w:val="21"/>
                      <w:highlight w:val="none"/>
                      <w:vertAlign w:val="subscript"/>
                      <w:lang w:val="en-US" w:eastAsia="zh-CN"/>
                    </w:rPr>
                    <w:t>3</w:t>
                  </w:r>
                </w:p>
              </w:tc>
              <w:tc>
                <w:tcPr>
                  <w:tcW w:w="1266" w:type="dxa"/>
                  <w:tcBorders>
                    <w:tl2br w:val="nil"/>
                    <w:tr2bl w:val="nil"/>
                  </w:tcBorders>
                  <w:vAlign w:val="center"/>
                </w:tcPr>
                <w:p w14:paraId="0D2AEA5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500mL</w:t>
                  </w:r>
                </w:p>
              </w:tc>
              <w:tc>
                <w:tcPr>
                  <w:tcW w:w="1325" w:type="dxa"/>
                  <w:tcBorders>
                    <w:tl2br w:val="nil"/>
                    <w:tr2bl w:val="nil"/>
                  </w:tcBorders>
                  <w:vAlign w:val="center"/>
                </w:tcPr>
                <w:p w14:paraId="77BE1774">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1000mL</w:t>
                  </w:r>
                </w:p>
              </w:tc>
              <w:tc>
                <w:tcPr>
                  <w:tcW w:w="634" w:type="pct"/>
                  <w:tcBorders>
                    <w:tl2br w:val="nil"/>
                    <w:tr2bl w:val="nil"/>
                  </w:tcBorders>
                  <w:vAlign w:val="center"/>
                </w:tcPr>
                <w:p w14:paraId="517F4C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shd w:val="clear" w:color="auto" w:fill="auto"/>
                  <w:vAlign w:val="center"/>
                </w:tcPr>
                <w:p w14:paraId="565951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固体，外购</w:t>
                  </w:r>
                </w:p>
              </w:tc>
            </w:tr>
            <w:tr w14:paraId="54508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continue"/>
                  <w:tcBorders>
                    <w:tl2br w:val="nil"/>
                    <w:tr2bl w:val="nil"/>
                  </w:tcBorders>
                  <w:vAlign w:val="center"/>
                </w:tcPr>
                <w:p w14:paraId="2A6AD2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0780B5C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color w:val="auto"/>
                      <w:spacing w:val="6"/>
                      <w:sz w:val="21"/>
                      <w:szCs w:val="21"/>
                    </w:rPr>
                    <w:t>石灰水</w:t>
                  </w:r>
                </w:p>
              </w:tc>
              <w:tc>
                <w:tcPr>
                  <w:tcW w:w="854" w:type="pct"/>
                  <w:tcBorders>
                    <w:tl2br w:val="nil"/>
                    <w:tr2bl w:val="nil"/>
                  </w:tcBorders>
                  <w:vAlign w:val="center"/>
                </w:tcPr>
                <w:p w14:paraId="7B88F9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氢氧化钙溶液</w:t>
                  </w:r>
                </w:p>
              </w:tc>
              <w:tc>
                <w:tcPr>
                  <w:tcW w:w="1266" w:type="dxa"/>
                  <w:tcBorders>
                    <w:tl2br w:val="nil"/>
                    <w:tr2bl w:val="nil"/>
                  </w:tcBorders>
                  <w:vAlign w:val="center"/>
                </w:tcPr>
                <w:p w14:paraId="216C5B5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500mL</w:t>
                  </w:r>
                </w:p>
              </w:tc>
              <w:tc>
                <w:tcPr>
                  <w:tcW w:w="1325" w:type="dxa"/>
                  <w:tcBorders>
                    <w:tl2br w:val="nil"/>
                    <w:tr2bl w:val="nil"/>
                  </w:tcBorders>
                  <w:vAlign w:val="center"/>
                </w:tcPr>
                <w:p w14:paraId="74BA293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1000mL</w:t>
                  </w:r>
                </w:p>
              </w:tc>
              <w:tc>
                <w:tcPr>
                  <w:tcW w:w="634" w:type="pct"/>
                  <w:tcBorders>
                    <w:tl2br w:val="nil"/>
                    <w:tr2bl w:val="nil"/>
                  </w:tcBorders>
                  <w:vAlign w:val="center"/>
                </w:tcPr>
                <w:p w14:paraId="3E9C0C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vAlign w:val="center"/>
                </w:tcPr>
                <w:p w14:paraId="78A614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液体，外购</w:t>
                  </w:r>
                </w:p>
              </w:tc>
            </w:tr>
            <w:tr w14:paraId="42CA1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14:paraId="0434B0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p>
              </w:tc>
              <w:tc>
                <w:tcPr>
                  <w:tcW w:w="828" w:type="pct"/>
                  <w:tcBorders>
                    <w:tl2br w:val="nil"/>
                    <w:tr2bl w:val="nil"/>
                  </w:tcBorders>
                  <w:vAlign w:val="center"/>
                </w:tcPr>
                <w:p w14:paraId="6CB79F7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高锰酸钾</w:t>
                  </w:r>
                </w:p>
              </w:tc>
              <w:tc>
                <w:tcPr>
                  <w:tcW w:w="854" w:type="pct"/>
                  <w:tcBorders>
                    <w:tl2br w:val="nil"/>
                    <w:tr2bl w:val="nil"/>
                  </w:tcBorders>
                  <w:vAlign w:val="center"/>
                </w:tcPr>
                <w:p w14:paraId="1CEDB5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KMnO</w:t>
                  </w:r>
                  <w:r>
                    <w:rPr>
                      <w:rFonts w:hint="eastAsia" w:ascii="Times New Roman" w:hAnsi="Times New Roman" w:cs="Times New Roman"/>
                      <w:b w:val="0"/>
                      <w:bCs w:val="0"/>
                      <w:color w:val="auto"/>
                      <w:sz w:val="21"/>
                      <w:szCs w:val="21"/>
                      <w:highlight w:val="none"/>
                      <w:vertAlign w:val="subscript"/>
                      <w:lang w:val="en-US" w:eastAsia="zh-CN"/>
                    </w:rPr>
                    <w:t>4</w:t>
                  </w:r>
                </w:p>
              </w:tc>
              <w:tc>
                <w:tcPr>
                  <w:tcW w:w="1266" w:type="dxa"/>
                  <w:tcBorders>
                    <w:tl2br w:val="nil"/>
                    <w:tr2bl w:val="nil"/>
                  </w:tcBorders>
                  <w:vAlign w:val="center"/>
                </w:tcPr>
                <w:p w14:paraId="173F684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200g</w:t>
                  </w:r>
                </w:p>
              </w:tc>
              <w:tc>
                <w:tcPr>
                  <w:tcW w:w="1325" w:type="dxa"/>
                  <w:tcBorders>
                    <w:tl2br w:val="nil"/>
                    <w:tr2bl w:val="nil"/>
                  </w:tcBorders>
                  <w:vAlign w:val="center"/>
                </w:tcPr>
                <w:p w14:paraId="7075093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color w:val="auto"/>
                      <w:spacing w:val="-4"/>
                      <w:szCs w:val="21"/>
                      <w:lang w:val="en-US" w:eastAsia="zh-CN"/>
                    </w:rPr>
                    <w:t>1000g</w:t>
                  </w:r>
                </w:p>
              </w:tc>
              <w:tc>
                <w:tcPr>
                  <w:tcW w:w="634" w:type="pct"/>
                  <w:tcBorders>
                    <w:tl2br w:val="nil"/>
                    <w:tr2bl w:val="nil"/>
                  </w:tcBorders>
                  <w:vAlign w:val="center"/>
                </w:tcPr>
                <w:p w14:paraId="5226EB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塑料瓶装</w:t>
                  </w:r>
                </w:p>
              </w:tc>
              <w:tc>
                <w:tcPr>
                  <w:tcW w:w="703" w:type="pct"/>
                  <w:tcBorders>
                    <w:tl2br w:val="nil"/>
                    <w:tr2bl w:val="nil"/>
                  </w:tcBorders>
                  <w:shd w:val="clear" w:color="auto" w:fill="auto"/>
                  <w:vAlign w:val="center"/>
                </w:tcPr>
                <w:p w14:paraId="127FF8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固体，外购</w:t>
                  </w:r>
                </w:p>
              </w:tc>
            </w:tr>
          </w:tbl>
          <w:p w14:paraId="12596D3D">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（2）项目能耗</w:t>
            </w:r>
          </w:p>
          <w:p w14:paraId="3C7E78F9">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项目能耗主要为自来水、电能，</w:t>
            </w:r>
            <w:r>
              <w:rPr>
                <w:rFonts w:hint="eastAsia" w:ascii="Times New Roman" w:hAnsi="Times New Roman" w:cs="Times New Roman"/>
                <w:color w:val="auto"/>
                <w:sz w:val="24"/>
                <w:szCs w:val="24"/>
                <w:highlight w:val="none"/>
                <w:lang w:val="en-US" w:eastAsia="zh-CN"/>
              </w:rPr>
              <w:t>原有项目</w:t>
            </w:r>
            <w:r>
              <w:rPr>
                <w:rFonts w:hint="eastAsia" w:ascii="Times New Roman" w:hAnsi="Times New Roman" w:cs="Times New Roman"/>
                <w:color w:val="auto"/>
                <w:sz w:val="24"/>
                <w:szCs w:val="24"/>
                <w:highlight w:val="none"/>
              </w:rPr>
              <w:t>能耗情况如下表所示。</w:t>
            </w:r>
          </w:p>
          <w:p w14:paraId="02EC4D30">
            <w:pPr>
              <w:pStyle w:val="114"/>
              <w:bidi w:val="0"/>
              <w:rPr>
                <w:color w:val="auto"/>
              </w:rPr>
            </w:pPr>
            <w:r>
              <w:rPr>
                <w:rFonts w:hint="eastAsia"/>
                <w:color w:val="auto"/>
                <w:lang w:val="en-US" w:eastAsia="zh-CN"/>
              </w:rPr>
              <w:t>原有项目</w:t>
            </w:r>
            <w:r>
              <w:rPr>
                <w:color w:val="auto"/>
              </w:rPr>
              <w:t>能耗情况一览表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9"/>
              <w:gridCol w:w="1807"/>
              <w:gridCol w:w="2762"/>
              <w:gridCol w:w="2133"/>
            </w:tblGrid>
            <w:tr w14:paraId="113F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5" w:type="pct"/>
                  <w:tcBorders>
                    <w:top w:val="single" w:color="auto" w:sz="12" w:space="0"/>
                  </w:tcBorders>
                  <w:vAlign w:val="center"/>
                </w:tcPr>
                <w:p w14:paraId="57DDAA3D">
                  <w:pPr>
                    <w:widowControl/>
                    <w:snapToGrid w:val="0"/>
                    <w:jc w:val="center"/>
                    <w:rPr>
                      <w:rFonts w:ascii="Times New Roman" w:hAnsi="Times New Roman" w:cs="Times New Roman"/>
                      <w:b/>
                      <w:bCs/>
                      <w:color w:val="auto"/>
                      <w:kern w:val="0"/>
                      <w:szCs w:val="21"/>
                      <w:highlight w:val="none"/>
                    </w:rPr>
                  </w:pPr>
                  <w:r>
                    <w:rPr>
                      <w:rFonts w:ascii="Times New Roman" w:hAnsi="Times New Roman" w:cs="Times New Roman"/>
                      <w:b/>
                      <w:bCs/>
                      <w:color w:val="auto"/>
                      <w:kern w:val="0"/>
                      <w:szCs w:val="21"/>
                      <w:highlight w:val="none"/>
                    </w:rPr>
                    <w:t>名称</w:t>
                  </w:r>
                </w:p>
              </w:tc>
              <w:tc>
                <w:tcPr>
                  <w:tcW w:w="974" w:type="pct"/>
                  <w:tcBorders>
                    <w:top w:val="single" w:color="auto" w:sz="12" w:space="0"/>
                  </w:tcBorders>
                  <w:vAlign w:val="center"/>
                </w:tcPr>
                <w:p w14:paraId="7FDF83B9">
                  <w:pPr>
                    <w:widowControl/>
                    <w:snapToGrid w:val="0"/>
                    <w:jc w:val="center"/>
                    <w:rPr>
                      <w:rFonts w:ascii="Times New Roman" w:hAnsi="Times New Roman" w:cs="Times New Roman"/>
                      <w:b/>
                      <w:bCs/>
                      <w:color w:val="auto"/>
                      <w:kern w:val="0"/>
                      <w:szCs w:val="21"/>
                      <w:highlight w:val="none"/>
                    </w:rPr>
                  </w:pPr>
                  <w:r>
                    <w:rPr>
                      <w:rFonts w:ascii="Times New Roman" w:hAnsi="Times New Roman" w:cs="Times New Roman"/>
                      <w:b/>
                      <w:bCs/>
                      <w:color w:val="auto"/>
                      <w:kern w:val="0"/>
                      <w:szCs w:val="21"/>
                      <w:highlight w:val="none"/>
                    </w:rPr>
                    <w:t>单位</w:t>
                  </w:r>
                </w:p>
              </w:tc>
              <w:tc>
                <w:tcPr>
                  <w:tcW w:w="1489" w:type="pct"/>
                  <w:tcBorders>
                    <w:top w:val="single" w:color="auto" w:sz="12" w:space="0"/>
                  </w:tcBorders>
                  <w:vAlign w:val="center"/>
                </w:tcPr>
                <w:p w14:paraId="5AB59805">
                  <w:pPr>
                    <w:widowControl/>
                    <w:snapToGrid w:val="0"/>
                    <w:jc w:val="center"/>
                    <w:rPr>
                      <w:rFonts w:ascii="Times New Roman" w:hAnsi="Times New Roman" w:cs="Times New Roman"/>
                      <w:b/>
                      <w:bCs/>
                      <w:color w:val="auto"/>
                      <w:kern w:val="0"/>
                      <w:szCs w:val="21"/>
                      <w:highlight w:val="none"/>
                    </w:rPr>
                  </w:pPr>
                  <w:r>
                    <w:rPr>
                      <w:rFonts w:hint="eastAsia" w:ascii="Times New Roman" w:hAnsi="Times New Roman" w:cs="Times New Roman"/>
                      <w:b/>
                      <w:bCs/>
                      <w:color w:val="auto"/>
                      <w:kern w:val="0"/>
                      <w:szCs w:val="21"/>
                      <w:highlight w:val="none"/>
                      <w:lang w:val="en-US" w:eastAsia="zh-CN"/>
                    </w:rPr>
                    <w:t>原有项目</w:t>
                  </w:r>
                  <w:r>
                    <w:rPr>
                      <w:rFonts w:ascii="Times New Roman" w:hAnsi="Times New Roman" w:cs="Times New Roman"/>
                      <w:b/>
                      <w:bCs/>
                      <w:color w:val="auto"/>
                      <w:kern w:val="0"/>
                      <w:szCs w:val="21"/>
                      <w:highlight w:val="none"/>
                    </w:rPr>
                    <w:t>用量</w:t>
                  </w:r>
                </w:p>
              </w:tc>
              <w:tc>
                <w:tcPr>
                  <w:tcW w:w="1150" w:type="pct"/>
                  <w:tcBorders>
                    <w:top w:val="single" w:color="auto" w:sz="12" w:space="0"/>
                    <w:right w:val="nil"/>
                  </w:tcBorders>
                  <w:vAlign w:val="center"/>
                </w:tcPr>
                <w:p w14:paraId="74E39337">
                  <w:pPr>
                    <w:widowControl/>
                    <w:snapToGrid w:val="0"/>
                    <w:jc w:val="center"/>
                    <w:rPr>
                      <w:rFonts w:ascii="Times New Roman" w:hAnsi="Times New Roman" w:cs="Times New Roman"/>
                      <w:b/>
                      <w:bCs/>
                      <w:color w:val="auto"/>
                      <w:kern w:val="0"/>
                      <w:szCs w:val="21"/>
                      <w:highlight w:val="none"/>
                    </w:rPr>
                  </w:pPr>
                  <w:r>
                    <w:rPr>
                      <w:rFonts w:ascii="Times New Roman" w:hAnsi="Times New Roman" w:cs="Times New Roman"/>
                      <w:b/>
                      <w:bCs/>
                      <w:color w:val="auto"/>
                      <w:kern w:val="0"/>
                      <w:szCs w:val="21"/>
                      <w:highlight w:val="none"/>
                    </w:rPr>
                    <w:t>来源</w:t>
                  </w:r>
                </w:p>
              </w:tc>
            </w:tr>
            <w:tr w14:paraId="355B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5" w:type="pct"/>
                  <w:tcBorders>
                    <w:left w:val="nil"/>
                  </w:tcBorders>
                  <w:shd w:val="clear" w:color="auto" w:fill="auto"/>
                  <w:vAlign w:val="center"/>
                </w:tcPr>
                <w:p w14:paraId="3133FA41">
                  <w:pPr>
                    <w:widowControl/>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自来水</w:t>
                  </w:r>
                </w:p>
              </w:tc>
              <w:tc>
                <w:tcPr>
                  <w:tcW w:w="974" w:type="pct"/>
                  <w:shd w:val="clear" w:color="auto" w:fill="auto"/>
                  <w:vAlign w:val="center"/>
                </w:tcPr>
                <w:p w14:paraId="2F06084B">
                  <w:pPr>
                    <w:widowControl/>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万m</w:t>
                  </w:r>
                  <w:r>
                    <w:rPr>
                      <w:rFonts w:ascii="Times New Roman" w:hAnsi="Times New Roman" w:cs="Times New Roman"/>
                      <w:color w:val="auto"/>
                      <w:kern w:val="0"/>
                      <w:szCs w:val="21"/>
                      <w:highlight w:val="none"/>
                      <w:vertAlign w:val="superscript"/>
                    </w:rPr>
                    <w:t>3</w:t>
                  </w:r>
                  <w:r>
                    <w:rPr>
                      <w:rFonts w:ascii="Times New Roman" w:hAnsi="Times New Roman" w:cs="Times New Roman"/>
                      <w:color w:val="auto"/>
                      <w:kern w:val="0"/>
                      <w:szCs w:val="21"/>
                      <w:highlight w:val="none"/>
                    </w:rPr>
                    <w:t>/a</w:t>
                  </w:r>
                </w:p>
              </w:tc>
              <w:tc>
                <w:tcPr>
                  <w:tcW w:w="2656" w:type="dxa"/>
                  <w:shd w:val="clear" w:color="auto" w:fill="auto"/>
                  <w:vAlign w:val="center"/>
                </w:tcPr>
                <w:p w14:paraId="7F8469F8">
                  <w:pPr>
                    <w:widowControl/>
                    <w:tabs>
                      <w:tab w:val="left" w:pos="1152"/>
                      <w:tab w:val="left" w:pos="1692"/>
                    </w:tabs>
                    <w:snapToGrid w:val="0"/>
                    <w:ind w:hanging="1" w:firstLineChars="0"/>
                    <w:jc w:val="center"/>
                    <w:rPr>
                      <w:rFonts w:hint="default" w:ascii="Times New Roman" w:hAnsi="Times New Roman" w:cs="Times New Roman" w:eastAsiaTheme="minorEastAsia"/>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2.1944</w:t>
                  </w:r>
                </w:p>
              </w:tc>
              <w:tc>
                <w:tcPr>
                  <w:tcW w:w="1150" w:type="pct"/>
                  <w:tcBorders>
                    <w:right w:val="nil"/>
                  </w:tcBorders>
                  <w:shd w:val="clear" w:color="auto" w:fill="auto"/>
                  <w:vAlign w:val="center"/>
                </w:tcPr>
                <w:p w14:paraId="44211F32">
                  <w:pPr>
                    <w:widowControl/>
                    <w:tabs>
                      <w:tab w:val="left" w:pos="1152"/>
                      <w:tab w:val="left" w:pos="1692"/>
                    </w:tabs>
                    <w:snapToGrid w:val="0"/>
                    <w:ind w:hanging="1"/>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rPr>
                    <w:t>市政供水</w:t>
                  </w:r>
                </w:p>
              </w:tc>
            </w:tr>
            <w:tr w14:paraId="2B4E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5" w:type="pct"/>
                  <w:tcBorders>
                    <w:left w:val="nil"/>
                    <w:bottom w:val="single" w:color="auto" w:sz="12" w:space="0"/>
                  </w:tcBorders>
                  <w:vAlign w:val="center"/>
                </w:tcPr>
                <w:p w14:paraId="4EF4AC6C">
                  <w:pPr>
                    <w:widowControl/>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电</w:t>
                  </w:r>
                </w:p>
              </w:tc>
              <w:tc>
                <w:tcPr>
                  <w:tcW w:w="974" w:type="pct"/>
                  <w:tcBorders>
                    <w:bottom w:val="single" w:color="auto" w:sz="12" w:space="0"/>
                  </w:tcBorders>
                  <w:vAlign w:val="center"/>
                </w:tcPr>
                <w:p w14:paraId="76F89B04">
                  <w:pPr>
                    <w:widowControl/>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万kwh/a</w:t>
                  </w:r>
                </w:p>
              </w:tc>
              <w:tc>
                <w:tcPr>
                  <w:tcW w:w="2656" w:type="dxa"/>
                  <w:tcBorders>
                    <w:bottom w:val="single" w:color="auto" w:sz="12" w:space="0"/>
                  </w:tcBorders>
                  <w:vAlign w:val="center"/>
                </w:tcPr>
                <w:p w14:paraId="4FE2D886">
                  <w:pPr>
                    <w:widowControl/>
                    <w:tabs>
                      <w:tab w:val="left" w:pos="1152"/>
                      <w:tab w:val="left" w:pos="1692"/>
                    </w:tabs>
                    <w:snapToGrid w:val="0"/>
                    <w:ind w:hanging="1" w:firstLineChars="0"/>
                    <w:jc w:val="center"/>
                    <w:rPr>
                      <w:rFonts w:hint="default" w:ascii="Times New Roman" w:hAnsi="Times New Roman" w:cs="Times New Roman" w:eastAsiaTheme="minorEastAsia"/>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10</w:t>
                  </w:r>
                </w:p>
              </w:tc>
              <w:tc>
                <w:tcPr>
                  <w:tcW w:w="1150" w:type="pct"/>
                  <w:tcBorders>
                    <w:bottom w:val="single" w:color="auto" w:sz="12" w:space="0"/>
                    <w:right w:val="nil"/>
                  </w:tcBorders>
                  <w:vAlign w:val="center"/>
                </w:tcPr>
                <w:p w14:paraId="3D6EA835">
                  <w:pPr>
                    <w:widowControl/>
                    <w:tabs>
                      <w:tab w:val="left" w:pos="1152"/>
                      <w:tab w:val="left" w:pos="1692"/>
                    </w:tabs>
                    <w:snapToGrid w:val="0"/>
                    <w:ind w:hanging="1"/>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市政电网</w:t>
                  </w:r>
                </w:p>
              </w:tc>
            </w:tr>
          </w:tbl>
          <w:p w14:paraId="64AD8859">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4、</w:t>
            </w:r>
            <w:r>
              <w:rPr>
                <w:rFonts w:hint="eastAsia" w:ascii="Times New Roman" w:hAnsi="Times New Roman" w:cs="Times New Roman"/>
                <w:b/>
                <w:color w:val="auto"/>
                <w:sz w:val="24"/>
                <w:szCs w:val="24"/>
                <w:highlight w:val="none"/>
                <w:lang w:val="en-US" w:eastAsia="zh-CN"/>
              </w:rPr>
              <w:t>原有项目</w:t>
            </w:r>
            <w:r>
              <w:rPr>
                <w:rFonts w:hint="eastAsia" w:ascii="Times New Roman" w:hAnsi="Times New Roman" w:cs="Times New Roman"/>
                <w:b/>
                <w:color w:val="auto"/>
                <w:sz w:val="24"/>
                <w:szCs w:val="24"/>
                <w:highlight w:val="none"/>
              </w:rPr>
              <w:t>给排水情况</w:t>
            </w:r>
          </w:p>
          <w:p w14:paraId="41913A9B">
            <w:pPr>
              <w:spacing w:line="360" w:lineRule="auto"/>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原有项目</w:t>
            </w:r>
            <w:r>
              <w:rPr>
                <w:rFonts w:hint="eastAsia" w:ascii="Times New Roman" w:hAnsi="Times New Roman" w:cs="Times New Roman"/>
                <w:color w:val="auto"/>
                <w:sz w:val="24"/>
                <w:szCs w:val="24"/>
                <w:highlight w:val="none"/>
              </w:rPr>
              <w:t>用水为</w:t>
            </w:r>
            <w:r>
              <w:rPr>
                <w:rFonts w:hint="eastAsia" w:ascii="Times New Roman" w:hAnsi="Times New Roman" w:cs="Times New Roman"/>
                <w:color w:val="auto"/>
                <w:sz w:val="24"/>
                <w:szCs w:val="24"/>
                <w:highlight w:val="none"/>
                <w:lang w:val="en-US" w:eastAsia="zh-CN"/>
              </w:rPr>
              <w:t>办公生活用水（含食堂和宿舍用水）、实验用水</w:t>
            </w:r>
            <w:r>
              <w:rPr>
                <w:rFonts w:hint="eastAsia" w:ascii="Times New Roman" w:hAnsi="Times New Roman" w:cs="Times New Roman"/>
                <w:color w:val="auto"/>
                <w:sz w:val="24"/>
                <w:szCs w:val="24"/>
                <w:highlight w:val="none"/>
              </w:rPr>
              <w:t>等。</w:t>
            </w:r>
            <w:r>
              <w:rPr>
                <w:rFonts w:hint="eastAsia" w:ascii="Times New Roman" w:hAnsi="Times New Roman" w:cs="Times New Roman"/>
                <w:color w:val="auto"/>
                <w:sz w:val="24"/>
                <w:szCs w:val="24"/>
                <w:highlight w:val="none"/>
                <w:lang w:val="en-US" w:eastAsia="zh-CN"/>
              </w:rPr>
              <w:t>原有项目学生752人，教职工92人，全校师生共计844人</w:t>
            </w:r>
            <w:r>
              <w:rPr>
                <w:rFonts w:hint="eastAsia" w:ascii="Times New Roman" w:hAnsi="Times New Roman" w:cs="Times New Roman"/>
                <w:color w:val="auto"/>
                <w:sz w:val="24"/>
                <w:szCs w:val="24"/>
                <w:highlight w:val="none"/>
              </w:rPr>
              <w:t>。现状最大</w:t>
            </w:r>
            <w:r>
              <w:rPr>
                <w:rFonts w:hint="eastAsia" w:ascii="Times New Roman" w:hAnsi="Times New Roman" w:cs="Times New Roman"/>
                <w:color w:val="auto"/>
                <w:sz w:val="24"/>
                <w:szCs w:val="24"/>
                <w:highlight w:val="none"/>
                <w:lang w:val="en-US" w:eastAsia="zh-CN"/>
              </w:rPr>
              <w:t>办公生活</w:t>
            </w:r>
            <w:r>
              <w:rPr>
                <w:rFonts w:hint="eastAsia" w:ascii="Times New Roman" w:hAnsi="Times New Roman" w:cs="Times New Roman"/>
                <w:color w:val="auto"/>
                <w:sz w:val="24"/>
                <w:szCs w:val="24"/>
                <w:highlight w:val="none"/>
              </w:rPr>
              <w:t>用水量约</w:t>
            </w:r>
            <w:r>
              <w:rPr>
                <w:rFonts w:hint="eastAsia" w:ascii="Times New Roman" w:hAnsi="Times New Roman" w:cs="Times New Roman"/>
                <w:color w:val="auto"/>
                <w:sz w:val="24"/>
                <w:szCs w:val="24"/>
                <w:highlight w:val="none"/>
                <w:lang w:val="en-US" w:eastAsia="zh-CN"/>
              </w:rPr>
              <w:t>21944</w:t>
            </w:r>
            <w:r>
              <w:rPr>
                <w:rFonts w:hint="eastAsia" w:ascii="Times New Roman" w:hAnsi="Times New Roman" w:cs="Times New Roman"/>
                <w:color w:val="auto"/>
                <w:sz w:val="24"/>
                <w:szCs w:val="24"/>
                <w:highlight w:val="none"/>
              </w:rPr>
              <w:t>m</w:t>
            </w:r>
            <w:r>
              <w:rPr>
                <w:rFonts w:hint="eastAsia"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实验用水量为10.5804</w:t>
            </w:r>
            <w:r>
              <w:rPr>
                <w:rFonts w:hint="eastAsia" w:ascii="Times New Roman" w:hAnsi="Times New Roman" w:cs="Times New Roman"/>
                <w:color w:val="auto"/>
                <w:sz w:val="24"/>
                <w:szCs w:val="24"/>
                <w:highlight w:val="none"/>
              </w:rPr>
              <w:t>m</w:t>
            </w:r>
            <w:r>
              <w:rPr>
                <w:rFonts w:hint="eastAsia"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rPr>
              <w:t>废水产生量约</w:t>
            </w:r>
            <w:r>
              <w:rPr>
                <w:rFonts w:hint="eastAsia" w:ascii="Times New Roman" w:hAnsi="Times New Roman" w:cs="Times New Roman"/>
                <w:color w:val="auto"/>
                <w:sz w:val="24"/>
                <w:szCs w:val="24"/>
                <w:highlight w:val="none"/>
                <w:lang w:val="en-US" w:eastAsia="zh-CN"/>
              </w:rPr>
              <w:t>19759.4234</w:t>
            </w:r>
            <w:r>
              <w:rPr>
                <w:rFonts w:hint="eastAsia" w:ascii="Times New Roman" w:hAnsi="Times New Roman" w:cs="Times New Roman"/>
                <w:color w:val="auto"/>
                <w:sz w:val="24"/>
                <w:szCs w:val="24"/>
                <w:highlight w:val="none"/>
              </w:rPr>
              <w:t>m</w:t>
            </w:r>
            <w:r>
              <w:rPr>
                <w:rFonts w:hint="eastAsia"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rPr>
              <w:t>。</w:t>
            </w:r>
          </w:p>
          <w:p w14:paraId="7580E21E">
            <w:pPr>
              <w:pStyle w:val="114"/>
              <w:bidi w:val="0"/>
              <w:rPr>
                <w:color w:val="auto"/>
              </w:rPr>
            </w:pPr>
            <w:r>
              <w:rPr>
                <w:rFonts w:hint="eastAsia"/>
                <w:color w:val="auto"/>
                <w:lang w:val="en-US" w:eastAsia="zh-CN"/>
              </w:rPr>
              <w:t>原有项目</w:t>
            </w:r>
            <w:r>
              <w:rPr>
                <w:color w:val="auto"/>
              </w:rPr>
              <w:t>用水情况</w:t>
            </w:r>
            <w:r>
              <w:rPr>
                <w:rFonts w:hint="eastAsia"/>
                <w:color w:val="auto"/>
              </w:rPr>
              <w:t>一览表    单位：m</w:t>
            </w:r>
            <w:r>
              <w:rPr>
                <w:rFonts w:hint="eastAsia"/>
                <w:color w:val="auto"/>
                <w:vertAlign w:val="superscript"/>
              </w:rPr>
              <w:t>3</w:t>
            </w:r>
            <w:r>
              <w:rPr>
                <w:rFonts w:hint="eastAsia"/>
                <w:color w:val="auto"/>
              </w:rPr>
              <w:t>/</w:t>
            </w:r>
            <w:r>
              <w:rPr>
                <w:rFonts w:hint="eastAsia"/>
                <w:color w:val="auto"/>
                <w:lang w:val="en-US" w:eastAsia="zh-CN"/>
              </w:rPr>
              <w:t>a</w:t>
            </w:r>
          </w:p>
          <w:tbl>
            <w:tblPr>
              <w:tblStyle w:val="40"/>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1951"/>
              <w:gridCol w:w="1798"/>
              <w:gridCol w:w="1930"/>
              <w:gridCol w:w="1589"/>
            </w:tblGrid>
            <w:tr w14:paraId="27FAEB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3" w:type="pct"/>
                  <w:tcBorders>
                    <w:tl2br w:val="nil"/>
                    <w:tr2bl w:val="nil"/>
                  </w:tcBorders>
                  <w:vAlign w:val="center"/>
                </w:tcPr>
                <w:p w14:paraId="280527A0">
                  <w:pPr>
                    <w:jc w:val="center"/>
                    <w:rPr>
                      <w:rFonts w:ascii="Times New Roman" w:hAnsi="Times New Roman" w:cs="Times New Roman"/>
                      <w:b/>
                      <w:bCs w:val="0"/>
                      <w:color w:val="auto"/>
                      <w:szCs w:val="21"/>
                      <w:highlight w:val="none"/>
                    </w:rPr>
                  </w:pPr>
                  <w:r>
                    <w:rPr>
                      <w:rFonts w:ascii="Times New Roman" w:hAnsi="Times New Roman" w:cs="Times New Roman"/>
                      <w:b/>
                      <w:bCs w:val="0"/>
                      <w:color w:val="auto"/>
                      <w:szCs w:val="21"/>
                      <w:highlight w:val="none"/>
                    </w:rPr>
                    <w:t>类型</w:t>
                  </w:r>
                </w:p>
              </w:tc>
              <w:tc>
                <w:tcPr>
                  <w:tcW w:w="1051" w:type="pct"/>
                  <w:tcBorders>
                    <w:tl2br w:val="nil"/>
                    <w:tr2bl w:val="nil"/>
                  </w:tcBorders>
                  <w:vAlign w:val="center"/>
                </w:tcPr>
                <w:p w14:paraId="535D111C">
                  <w:pPr>
                    <w:jc w:val="center"/>
                    <w:rPr>
                      <w:rFonts w:hint="default" w:ascii="Times New Roman" w:hAnsi="Times New Roman" w:cs="Times New Roman" w:eastAsiaTheme="minorEastAsia"/>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用水标准</w:t>
                  </w:r>
                </w:p>
              </w:tc>
              <w:tc>
                <w:tcPr>
                  <w:tcW w:w="968" w:type="pct"/>
                  <w:tcBorders>
                    <w:tl2br w:val="nil"/>
                    <w:tr2bl w:val="nil"/>
                  </w:tcBorders>
                  <w:vAlign w:val="center"/>
                </w:tcPr>
                <w:p w14:paraId="33FA1E41">
                  <w:pPr>
                    <w:jc w:val="center"/>
                    <w:rPr>
                      <w:rFonts w:hint="default" w:ascii="Times New Roman" w:hAnsi="Times New Roman" w:cs="Times New Roman" w:eastAsiaTheme="minorEastAsia"/>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用水容量</w:t>
                  </w:r>
                </w:p>
              </w:tc>
              <w:tc>
                <w:tcPr>
                  <w:tcW w:w="1040" w:type="pct"/>
                  <w:tcBorders>
                    <w:tl2br w:val="nil"/>
                    <w:tr2bl w:val="nil"/>
                  </w:tcBorders>
                  <w:vAlign w:val="center"/>
                </w:tcPr>
                <w:p w14:paraId="59C7FFBE">
                  <w:pPr>
                    <w:jc w:val="center"/>
                    <w:rPr>
                      <w:rFonts w:ascii="Times New Roman" w:hAnsi="Times New Roman" w:eastAsia="宋体" w:cs="Times New Roman"/>
                      <w:b/>
                      <w:bCs w:val="0"/>
                      <w:color w:val="auto"/>
                      <w:szCs w:val="21"/>
                      <w:highlight w:val="none"/>
                    </w:rPr>
                  </w:pPr>
                  <w:r>
                    <w:rPr>
                      <w:rFonts w:ascii="Times New Roman" w:hAnsi="Times New Roman" w:cs="Times New Roman"/>
                      <w:b/>
                      <w:bCs w:val="0"/>
                      <w:color w:val="auto"/>
                      <w:szCs w:val="21"/>
                      <w:highlight w:val="none"/>
                    </w:rPr>
                    <w:t>最大用水量</w:t>
                  </w:r>
                </w:p>
              </w:tc>
              <w:tc>
                <w:tcPr>
                  <w:tcW w:w="856" w:type="pct"/>
                  <w:tcBorders>
                    <w:tl2br w:val="nil"/>
                    <w:tr2bl w:val="nil"/>
                  </w:tcBorders>
                  <w:vAlign w:val="center"/>
                </w:tcPr>
                <w:p w14:paraId="6B78F394">
                  <w:pPr>
                    <w:jc w:val="center"/>
                    <w:rPr>
                      <w:rFonts w:ascii="Times New Roman" w:hAnsi="Times New Roman" w:eastAsia="宋体" w:cs="Times New Roman"/>
                      <w:b/>
                      <w:bCs w:val="0"/>
                      <w:color w:val="auto"/>
                      <w:szCs w:val="21"/>
                      <w:highlight w:val="none"/>
                    </w:rPr>
                  </w:pPr>
                  <w:r>
                    <w:rPr>
                      <w:rFonts w:hint="eastAsia" w:ascii="Times New Roman" w:hAnsi="Times New Roman" w:cs="Times New Roman"/>
                      <w:b/>
                      <w:bCs w:val="0"/>
                      <w:color w:val="auto"/>
                      <w:szCs w:val="21"/>
                      <w:highlight w:val="none"/>
                    </w:rPr>
                    <w:t>废水产量</w:t>
                  </w:r>
                </w:p>
              </w:tc>
            </w:tr>
            <w:tr w14:paraId="67319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83" w:type="pct"/>
                  <w:tcBorders>
                    <w:tl2br w:val="nil"/>
                    <w:tr2bl w:val="nil"/>
                  </w:tcBorders>
                  <w:vAlign w:val="center"/>
                </w:tcPr>
                <w:p w14:paraId="1C1FD4DE">
                  <w:pPr>
                    <w:jc w:val="center"/>
                    <w:rPr>
                      <w:rFonts w:hint="default"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办公生活用水（含食堂、宿舍用水）</w:t>
                  </w:r>
                </w:p>
              </w:tc>
              <w:tc>
                <w:tcPr>
                  <w:tcW w:w="1051" w:type="pct"/>
                  <w:tcBorders>
                    <w:tl2br w:val="nil"/>
                    <w:tr2bl w:val="nil"/>
                  </w:tcBorders>
                  <w:vAlign w:val="center"/>
                </w:tcPr>
                <w:p w14:paraId="36BD345C">
                  <w:pPr>
                    <w:widowControl/>
                    <w:jc w:val="center"/>
                    <w:textAlignment w:val="center"/>
                    <w:rPr>
                      <w:rFonts w:ascii="Times New Roman" w:hAnsi="Times New Roman" w:cs="Times New Roman"/>
                      <w:bCs/>
                      <w:color w:val="auto"/>
                      <w:szCs w:val="21"/>
                      <w:highlight w:val="none"/>
                    </w:rPr>
                  </w:pPr>
                  <w:r>
                    <w:rPr>
                      <w:rFonts w:hint="eastAsia" w:ascii="Times New Roman" w:hAnsi="Times New Roman" w:cs="Times New Roman"/>
                      <w:bCs/>
                      <w:color w:val="auto"/>
                      <w:szCs w:val="21"/>
                      <w:highlight w:val="none"/>
                    </w:rPr>
                    <w:t>26m</w:t>
                  </w:r>
                  <w:r>
                    <w:rPr>
                      <w:rFonts w:hint="eastAsia" w:ascii="Times New Roman" w:hAnsi="Times New Roman" w:cs="Times New Roman"/>
                      <w:bCs/>
                      <w:color w:val="auto"/>
                      <w:szCs w:val="21"/>
                      <w:highlight w:val="none"/>
                      <w:vertAlign w:val="superscript"/>
                    </w:rPr>
                    <w:t>3</w:t>
                  </w:r>
                  <w:r>
                    <w:rPr>
                      <w:rFonts w:hint="eastAsia" w:ascii="Times New Roman" w:hAnsi="Times New Roman" w:cs="Times New Roman"/>
                      <w:bCs/>
                      <w:color w:val="auto"/>
                      <w:szCs w:val="21"/>
                      <w:highlight w:val="none"/>
                    </w:rPr>
                    <w:t>/（人</w:t>
                  </w:r>
                  <w:r>
                    <w:rPr>
                      <w:rFonts w:hint="default" w:ascii="Times New Roman" w:hAnsi="Times New Roman" w:cs="Times New Roman"/>
                      <w:bCs/>
                      <w:color w:val="auto"/>
                      <w:szCs w:val="21"/>
                      <w:highlight w:val="none"/>
                    </w:rPr>
                    <w:t>·</w:t>
                  </w:r>
                  <w:r>
                    <w:rPr>
                      <w:rFonts w:hint="eastAsia" w:ascii="Times New Roman" w:hAnsi="Times New Roman" w:cs="Times New Roman"/>
                      <w:bCs/>
                      <w:color w:val="auto"/>
                      <w:szCs w:val="21"/>
                      <w:highlight w:val="none"/>
                    </w:rPr>
                    <w:t>年）</w:t>
                  </w:r>
                </w:p>
              </w:tc>
              <w:tc>
                <w:tcPr>
                  <w:tcW w:w="968" w:type="pct"/>
                  <w:tcBorders>
                    <w:tl2br w:val="nil"/>
                    <w:tr2bl w:val="nil"/>
                  </w:tcBorders>
                  <w:vAlign w:val="center"/>
                </w:tcPr>
                <w:p w14:paraId="0E50E31C">
                  <w:pPr>
                    <w:keepNext w:val="0"/>
                    <w:keepLines w:val="0"/>
                    <w:widowControl/>
                    <w:suppressLineNumbers w:val="0"/>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844人</w:t>
                  </w:r>
                </w:p>
              </w:tc>
              <w:tc>
                <w:tcPr>
                  <w:tcW w:w="1040" w:type="pct"/>
                  <w:tcBorders>
                    <w:tl2br w:val="nil"/>
                    <w:tr2bl w:val="nil"/>
                  </w:tcBorders>
                  <w:vAlign w:val="center"/>
                </w:tcPr>
                <w:p w14:paraId="1C01E82A">
                  <w:pPr>
                    <w:keepNext w:val="0"/>
                    <w:keepLines w:val="0"/>
                    <w:widowControl/>
                    <w:suppressLineNumbers w:val="0"/>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21944</w:t>
                  </w:r>
                </w:p>
              </w:tc>
              <w:tc>
                <w:tcPr>
                  <w:tcW w:w="856" w:type="pct"/>
                  <w:tcBorders>
                    <w:tl2br w:val="nil"/>
                    <w:tr2bl w:val="nil"/>
                  </w:tcBorders>
                  <w:vAlign w:val="center"/>
                </w:tcPr>
                <w:p w14:paraId="079187E6">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19749.6</w:t>
                  </w:r>
                </w:p>
              </w:tc>
            </w:tr>
            <w:tr w14:paraId="794C9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3" w:type="pct"/>
                  <w:tcBorders>
                    <w:tl2br w:val="nil"/>
                    <w:tr2bl w:val="nil"/>
                  </w:tcBorders>
                  <w:vAlign w:val="center"/>
                </w:tcPr>
                <w:p w14:paraId="652C2F7C">
                  <w:pPr>
                    <w:jc w:val="center"/>
                    <w:rPr>
                      <w:rFonts w:hint="default"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实验用水</w:t>
                  </w:r>
                </w:p>
              </w:tc>
              <w:tc>
                <w:tcPr>
                  <w:tcW w:w="1051" w:type="pct"/>
                  <w:tcBorders>
                    <w:tl2br w:val="nil"/>
                    <w:tr2bl w:val="nil"/>
                  </w:tcBorders>
                  <w:vAlign w:val="center"/>
                </w:tcPr>
                <w:p w14:paraId="37481975">
                  <w:pPr>
                    <w:widowControl/>
                    <w:jc w:val="center"/>
                    <w:textAlignment w:val="center"/>
                    <w:rPr>
                      <w:rFonts w:ascii="Times New Roman" w:hAnsi="Times New Roman" w:cs="Times New Roman"/>
                      <w:bCs/>
                      <w:color w:val="auto"/>
                      <w:szCs w:val="21"/>
                      <w:highlight w:val="none"/>
                    </w:rPr>
                  </w:pPr>
                  <w:r>
                    <w:rPr>
                      <w:rFonts w:hint="eastAsia" w:ascii="Times New Roman" w:hAnsi="Times New Roman" w:eastAsia="宋体" w:cs="Times New Roman"/>
                      <w:color w:val="auto"/>
                      <w:kern w:val="0"/>
                      <w:szCs w:val="21"/>
                      <w:highlight w:val="none"/>
                      <w:lang w:val="en-US" w:eastAsia="zh-CN" w:bidi="ar"/>
                    </w:rPr>
                    <w:t>/</w:t>
                  </w:r>
                </w:p>
              </w:tc>
              <w:tc>
                <w:tcPr>
                  <w:tcW w:w="968" w:type="pct"/>
                  <w:tcBorders>
                    <w:tl2br w:val="nil"/>
                    <w:tr2bl w:val="nil"/>
                  </w:tcBorders>
                  <w:vAlign w:val="center"/>
                </w:tcPr>
                <w:p w14:paraId="042240D4">
                  <w:pPr>
                    <w:keepNext w:val="0"/>
                    <w:keepLines w:val="0"/>
                    <w:widowControl/>
                    <w:suppressLineNumbers w:val="0"/>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1040" w:type="pct"/>
                  <w:tcBorders>
                    <w:tl2br w:val="nil"/>
                    <w:tr2bl w:val="nil"/>
                  </w:tcBorders>
                  <w:vAlign w:val="center"/>
                </w:tcPr>
                <w:p w14:paraId="7D5435E3">
                  <w:pPr>
                    <w:keepNext w:val="0"/>
                    <w:keepLines w:val="0"/>
                    <w:widowControl/>
                    <w:suppressLineNumbers w:val="0"/>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10.5804</w:t>
                  </w:r>
                </w:p>
              </w:tc>
              <w:tc>
                <w:tcPr>
                  <w:tcW w:w="856" w:type="pct"/>
                  <w:tcBorders>
                    <w:tl2br w:val="nil"/>
                    <w:tr2bl w:val="nil"/>
                  </w:tcBorders>
                  <w:vAlign w:val="center"/>
                </w:tcPr>
                <w:p w14:paraId="44ACAC74">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9.8234</w:t>
                  </w:r>
                </w:p>
              </w:tc>
            </w:tr>
            <w:tr w14:paraId="687BF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3" w:type="pct"/>
                  <w:gridSpan w:val="3"/>
                  <w:tcBorders>
                    <w:tl2br w:val="nil"/>
                    <w:tr2bl w:val="nil"/>
                  </w:tcBorders>
                  <w:vAlign w:val="center"/>
                </w:tcPr>
                <w:p w14:paraId="6D6266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Cs/>
                      <w:color w:val="auto"/>
                      <w:szCs w:val="21"/>
                      <w:highlight w:val="none"/>
                    </w:rPr>
                    <w:t>合计</w:t>
                  </w:r>
                </w:p>
              </w:tc>
              <w:tc>
                <w:tcPr>
                  <w:tcW w:w="1040" w:type="pct"/>
                  <w:tcBorders>
                    <w:tl2br w:val="nil"/>
                    <w:tr2bl w:val="nil"/>
                  </w:tcBorders>
                  <w:vAlign w:val="center"/>
                </w:tcPr>
                <w:p w14:paraId="38257BBE">
                  <w:pPr>
                    <w:keepNext w:val="0"/>
                    <w:keepLines w:val="0"/>
                    <w:widowControl/>
                    <w:suppressLineNumbers w:val="0"/>
                    <w:jc w:val="center"/>
                    <w:textAlignment w:val="center"/>
                    <w:rPr>
                      <w:rFonts w:hint="default" w:ascii="Times New Roman" w:hAnsi="Times New Roman" w:cs="Times New Roman"/>
                      <w:bCs/>
                      <w:color w:val="auto"/>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21954.5804</w:t>
                  </w:r>
                </w:p>
              </w:tc>
              <w:tc>
                <w:tcPr>
                  <w:tcW w:w="856" w:type="pct"/>
                  <w:tcBorders>
                    <w:tl2br w:val="nil"/>
                    <w:tr2bl w:val="nil"/>
                  </w:tcBorders>
                  <w:vAlign w:val="center"/>
                </w:tcPr>
                <w:p w14:paraId="264EF90C">
                  <w:pPr>
                    <w:keepNext w:val="0"/>
                    <w:keepLines w:val="0"/>
                    <w:widowControl/>
                    <w:suppressLineNumbers w:val="0"/>
                    <w:jc w:val="center"/>
                    <w:textAlignment w:val="center"/>
                    <w:rPr>
                      <w:rFonts w:hint="default" w:ascii="Times New Roman" w:hAnsi="Times New Roman" w:eastAsia="宋体" w:cs="Times New Roman"/>
                      <w:bCs/>
                      <w:color w:val="auto"/>
                      <w:szCs w:val="21"/>
                      <w:highlight w:val="none"/>
                      <w:lang w:val="en-US"/>
                    </w:rPr>
                  </w:pPr>
                  <w:r>
                    <w:rPr>
                      <w:rFonts w:hint="eastAsia" w:ascii="Times New Roman" w:hAnsi="Times New Roman" w:eastAsia="宋体" w:cs="Times New Roman"/>
                      <w:i w:val="0"/>
                      <w:iCs w:val="0"/>
                      <w:color w:val="auto"/>
                      <w:kern w:val="0"/>
                      <w:sz w:val="21"/>
                      <w:szCs w:val="21"/>
                      <w:u w:val="none"/>
                      <w:lang w:val="en-US" w:eastAsia="zh-CN" w:bidi="ar"/>
                    </w:rPr>
                    <w:t>19759.4234</w:t>
                  </w:r>
                </w:p>
              </w:tc>
            </w:tr>
          </w:tbl>
          <w:p w14:paraId="3B4CA0FF">
            <w:pPr>
              <w:spacing w:line="360" w:lineRule="auto"/>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二、</w:t>
            </w:r>
            <w:r>
              <w:rPr>
                <w:rFonts w:hint="eastAsia" w:ascii="Times New Roman" w:hAnsi="Times New Roman" w:cs="Times New Roman"/>
                <w:b/>
                <w:bCs/>
                <w:color w:val="auto"/>
                <w:sz w:val="24"/>
                <w:szCs w:val="24"/>
                <w:highlight w:val="none"/>
                <w:lang w:val="en-US" w:eastAsia="zh-CN"/>
              </w:rPr>
              <w:t>原有项目</w:t>
            </w:r>
            <w:r>
              <w:rPr>
                <w:rFonts w:hint="eastAsia" w:ascii="Times New Roman" w:hAnsi="Times New Roman" w:cs="Times New Roman"/>
                <w:b/>
                <w:bCs/>
                <w:color w:val="auto"/>
                <w:sz w:val="24"/>
                <w:szCs w:val="24"/>
                <w:highlight w:val="none"/>
              </w:rPr>
              <w:t>污染物产生、治理及排放情况</w:t>
            </w:r>
          </w:p>
          <w:p w14:paraId="0AAFA73D">
            <w:pPr>
              <w:spacing w:line="360" w:lineRule="auto"/>
              <w:ind w:firstLine="48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lang w:val="en-US" w:eastAsia="zh-CN"/>
              </w:rPr>
              <w:t>1</w:t>
            </w: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rPr>
              <w:t>废气</w:t>
            </w:r>
          </w:p>
          <w:p w14:paraId="41642F16">
            <w:pPr>
              <w:spacing w:line="360" w:lineRule="auto"/>
              <w:ind w:firstLine="48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原有项目</w:t>
            </w:r>
            <w:r>
              <w:rPr>
                <w:rFonts w:hint="eastAsia" w:ascii="Times New Roman" w:hAnsi="Times New Roman" w:cs="Times New Roman"/>
                <w:color w:val="auto"/>
                <w:sz w:val="24"/>
                <w:szCs w:val="24"/>
                <w:highlight w:val="none"/>
              </w:rPr>
              <w:t>废气主要包括：</w:t>
            </w:r>
            <w:r>
              <w:rPr>
                <w:rFonts w:hint="eastAsia" w:ascii="宋体" w:hAnsi="宋体" w:eastAsia="宋体" w:cs="宋体"/>
                <w:color w:val="auto"/>
                <w:sz w:val="24"/>
                <w:szCs w:val="24"/>
                <w:highlight w:val="none"/>
                <w:lang w:val="en-US" w:eastAsia="zh-CN"/>
              </w:rPr>
              <w:t>实验室废气、食堂油烟、柴油发电机废气</w:t>
            </w:r>
            <w:r>
              <w:rPr>
                <w:rFonts w:hint="eastAsia" w:ascii="宋体" w:hAnsi="宋体" w:eastAsia="宋体" w:cs="宋体"/>
                <w:color w:val="auto"/>
                <w:sz w:val="24"/>
                <w:szCs w:val="24"/>
                <w:highlight w:val="none"/>
                <w:lang w:eastAsia="zh-CN"/>
              </w:rPr>
              <w:t>。</w:t>
            </w:r>
          </w:p>
          <w:p w14:paraId="250B7C91">
            <w:pPr>
              <w:spacing w:line="360" w:lineRule="auto"/>
              <w:ind w:firstLine="480"/>
              <w:rPr>
                <w:rFonts w:hint="default" w:ascii="Times New Roman" w:hAnsi="Times New Roman" w:eastAsia="宋体" w:cs="Times New Roman"/>
                <w:b/>
                <w:bCs/>
                <w:color w:val="auto"/>
                <w:sz w:val="24"/>
                <w:szCs w:val="24"/>
                <w:highlight w:val="none"/>
                <w:lang w:val="en-US" w:eastAsia="zh-CN"/>
              </w:rPr>
            </w:pPr>
            <w:r>
              <w:rPr>
                <w:rFonts w:hint="eastAsia" w:ascii="宋体" w:hAnsi="宋体" w:eastAsia="宋体" w:cs="宋体"/>
                <w:b/>
                <w:bCs/>
                <w:color w:val="auto"/>
                <w:sz w:val="24"/>
                <w:szCs w:val="24"/>
                <w:highlight w:val="none"/>
              </w:rPr>
              <w:t>①</w:t>
            </w:r>
            <w:r>
              <w:rPr>
                <w:rFonts w:hint="eastAsia" w:ascii="Times New Roman" w:hAnsi="Times New Roman" w:eastAsia="宋体" w:cs="Times New Roman"/>
                <w:b/>
                <w:bCs/>
                <w:color w:val="auto"/>
                <w:sz w:val="24"/>
                <w:szCs w:val="24"/>
                <w:highlight w:val="none"/>
                <w:lang w:val="en-US" w:eastAsia="zh-CN"/>
              </w:rPr>
              <w:t>实验室废气</w:t>
            </w:r>
          </w:p>
          <w:p w14:paraId="2E30DE72">
            <w:pPr>
              <w:spacing w:line="360" w:lineRule="auto"/>
              <w:ind w:firstLine="480"/>
              <w:rPr>
                <w:rFonts w:ascii="Times New Roman" w:hAnsi="Times New Roman" w:cs="Times New Roman"/>
                <w:color w:val="auto"/>
                <w:sz w:val="24"/>
                <w:szCs w:val="24"/>
                <w:highlight w:val="none"/>
              </w:rPr>
            </w:pPr>
            <w:r>
              <w:rPr>
                <w:rFonts w:hint="eastAsia" w:ascii="Times New Roman" w:hAnsi="Times New Roman" w:cs="Times New Roman"/>
                <w:b/>
                <w:bCs/>
                <w:color w:val="auto"/>
                <w:sz w:val="24"/>
                <w:szCs w:val="24"/>
                <w:highlight w:val="none"/>
              </w:rPr>
              <w:t>产生情况</w:t>
            </w: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color w:val="auto"/>
                <w:sz w:val="24"/>
                <w:szCs w:val="24"/>
                <w:highlight w:val="none"/>
                <w:lang w:eastAsia="zh-CN"/>
              </w:rPr>
              <w:t>原有项目</w:t>
            </w:r>
            <w:r>
              <w:rPr>
                <w:rFonts w:hint="eastAsia" w:ascii="Times New Roman" w:hAnsi="Times New Roman" w:cs="Times New Roman"/>
                <w:color w:val="auto"/>
                <w:sz w:val="24"/>
                <w:szCs w:val="24"/>
                <w:highlight w:val="none"/>
                <w:lang w:val="en-US" w:eastAsia="zh-CN"/>
              </w:rPr>
              <w:t>化学实验中将用到盐酸、氨水、硫酸、酒精。根据建设单位提供的主要化学试剂资料，实验室内用到的挥发性无机酸主要为盐酸、硫酸，通常情况保存在密闭容器中，仅在稀释及使用过程会挥发出氯化氢气体、硫酸雾。盐酸、硫酸主要是在老师演示实验中使用，年使用量小，且使用前要先进行稀释，稀释后不易挥发，使用时大部分反应成易溶于水的盐，挥发量极少。</w:t>
            </w:r>
          </w:p>
          <w:p w14:paraId="710B725E">
            <w:pPr>
              <w:spacing w:line="360" w:lineRule="auto"/>
              <w:ind w:firstLine="48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rPr>
              <w:t>治理措施</w:t>
            </w: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原有项目实验室废气无组织排放。</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7"/>
              <w:gridCol w:w="4638"/>
            </w:tblGrid>
            <w:tr w14:paraId="1900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2" w:type="dxa"/>
                </w:tcPr>
                <w:p w14:paraId="2F441EA6">
                  <w:pPr>
                    <w:spacing w:line="360" w:lineRule="auto"/>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drawing>
                      <wp:inline distT="0" distB="0" distL="114300" distR="114300">
                        <wp:extent cx="2769870" cy="3290570"/>
                        <wp:effectExtent l="0" t="0" r="0" b="0"/>
                        <wp:docPr id="15" name="图片 15" descr="IMG_20250827_15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0827_153148"/>
                                <pic:cNvPicPr>
                                  <a:picLocks noChangeAspect="1"/>
                                </pic:cNvPicPr>
                              </pic:nvPicPr>
                              <pic:blipFill>
                                <a:blip r:embed="rId21"/>
                                <a:srcRect b="10901"/>
                                <a:stretch>
                                  <a:fillRect/>
                                </a:stretch>
                              </pic:blipFill>
                              <pic:spPr>
                                <a:xfrm>
                                  <a:off x="0" y="0"/>
                                  <a:ext cx="2769870" cy="3290570"/>
                                </a:xfrm>
                                <a:prstGeom prst="rect">
                                  <a:avLst/>
                                </a:prstGeom>
                              </pic:spPr>
                            </pic:pic>
                          </a:graphicData>
                        </a:graphic>
                      </wp:inline>
                    </w:drawing>
                  </w:r>
                </w:p>
              </w:tc>
              <w:tc>
                <w:tcPr>
                  <w:tcW w:w="4643" w:type="dxa"/>
                </w:tcPr>
                <w:p w14:paraId="3DC24B49">
                  <w:pPr>
                    <w:spacing w:line="360" w:lineRule="auto"/>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drawing>
                      <wp:inline distT="0" distB="0" distL="114300" distR="114300">
                        <wp:extent cx="2769870" cy="3279140"/>
                        <wp:effectExtent l="0" t="0" r="0" b="0"/>
                        <wp:docPr id="19" name="图片 19" descr="IMG_20250827_15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827_153428"/>
                                <pic:cNvPicPr>
                                  <a:picLocks noChangeAspect="1"/>
                                </pic:cNvPicPr>
                              </pic:nvPicPr>
                              <pic:blipFill>
                                <a:blip r:embed="rId22"/>
                                <a:srcRect b="11210"/>
                                <a:stretch>
                                  <a:fillRect/>
                                </a:stretch>
                              </pic:blipFill>
                              <pic:spPr>
                                <a:xfrm>
                                  <a:off x="0" y="0"/>
                                  <a:ext cx="2769870" cy="3279140"/>
                                </a:xfrm>
                                <a:prstGeom prst="rect">
                                  <a:avLst/>
                                </a:prstGeom>
                              </pic:spPr>
                            </pic:pic>
                          </a:graphicData>
                        </a:graphic>
                      </wp:inline>
                    </w:drawing>
                  </w:r>
                </w:p>
              </w:tc>
            </w:tr>
            <w:tr w14:paraId="194F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2" w:type="dxa"/>
                </w:tcPr>
                <w:p w14:paraId="205B8B82">
                  <w:pPr>
                    <w:spacing w:line="36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化学实验室</w:t>
                  </w:r>
                </w:p>
              </w:tc>
              <w:tc>
                <w:tcPr>
                  <w:tcW w:w="4643" w:type="dxa"/>
                </w:tcPr>
                <w:p w14:paraId="0FCA1CDA">
                  <w:pPr>
                    <w:spacing w:line="36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药品柜</w:t>
                  </w:r>
                </w:p>
              </w:tc>
            </w:tr>
            <w:tr w14:paraId="16E9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2" w:type="dxa"/>
                </w:tcPr>
                <w:p w14:paraId="348E294B">
                  <w:pPr>
                    <w:spacing w:line="360" w:lineRule="auto"/>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drawing>
                      <wp:inline distT="0" distB="0" distL="114300" distR="114300">
                        <wp:extent cx="2769870" cy="2948940"/>
                        <wp:effectExtent l="0" t="0" r="0" b="0"/>
                        <wp:docPr id="27" name="图片 27" descr="IMG_20250827_15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50827_153555"/>
                                <pic:cNvPicPr>
                                  <a:picLocks noChangeAspect="1"/>
                                </pic:cNvPicPr>
                              </pic:nvPicPr>
                              <pic:blipFill>
                                <a:blip r:embed="rId23"/>
                                <a:srcRect b="20151"/>
                                <a:stretch>
                                  <a:fillRect/>
                                </a:stretch>
                              </pic:blipFill>
                              <pic:spPr>
                                <a:xfrm>
                                  <a:off x="0" y="0"/>
                                  <a:ext cx="2769870" cy="2948940"/>
                                </a:xfrm>
                                <a:prstGeom prst="rect">
                                  <a:avLst/>
                                </a:prstGeom>
                              </pic:spPr>
                            </pic:pic>
                          </a:graphicData>
                        </a:graphic>
                      </wp:inline>
                    </w:drawing>
                  </w:r>
                </w:p>
              </w:tc>
              <w:tc>
                <w:tcPr>
                  <w:tcW w:w="4643" w:type="dxa"/>
                </w:tcPr>
                <w:p w14:paraId="6CABB164">
                  <w:pPr>
                    <w:spacing w:line="360" w:lineRule="auto"/>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drawing>
                      <wp:inline distT="0" distB="0" distL="114300" distR="114300">
                        <wp:extent cx="2769870" cy="2943225"/>
                        <wp:effectExtent l="0" t="0" r="0" b="0"/>
                        <wp:docPr id="32" name="图片 32" descr="IMG_20250827_15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50827_153426"/>
                                <pic:cNvPicPr>
                                  <a:picLocks noChangeAspect="1"/>
                                </pic:cNvPicPr>
                              </pic:nvPicPr>
                              <pic:blipFill>
                                <a:blip r:embed="rId24"/>
                                <a:srcRect b="20306"/>
                                <a:stretch>
                                  <a:fillRect/>
                                </a:stretch>
                              </pic:blipFill>
                              <pic:spPr>
                                <a:xfrm>
                                  <a:off x="0" y="0"/>
                                  <a:ext cx="2769870" cy="2943225"/>
                                </a:xfrm>
                                <a:prstGeom prst="rect">
                                  <a:avLst/>
                                </a:prstGeom>
                              </pic:spPr>
                            </pic:pic>
                          </a:graphicData>
                        </a:graphic>
                      </wp:inline>
                    </w:drawing>
                  </w:r>
                </w:p>
              </w:tc>
            </w:tr>
            <w:tr w14:paraId="37DF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2" w:type="dxa"/>
                </w:tcPr>
                <w:p w14:paraId="231D1AC4">
                  <w:pPr>
                    <w:spacing w:line="36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生物实验室</w:t>
                  </w:r>
                </w:p>
              </w:tc>
              <w:tc>
                <w:tcPr>
                  <w:tcW w:w="4643" w:type="dxa"/>
                </w:tcPr>
                <w:p w14:paraId="0EE50BED">
                  <w:pPr>
                    <w:spacing w:line="36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仪器柜</w:t>
                  </w:r>
                </w:p>
              </w:tc>
            </w:tr>
          </w:tbl>
          <w:p w14:paraId="4199AE53">
            <w:pPr>
              <w:pStyle w:val="119"/>
              <w:bidi w:val="0"/>
              <w:rPr>
                <w:rFonts w:hint="default"/>
                <w:color w:val="auto"/>
                <w:lang w:val="en-US" w:eastAsia="zh-CN"/>
              </w:rPr>
            </w:pPr>
            <w:r>
              <w:rPr>
                <w:rFonts w:hint="eastAsia"/>
                <w:color w:val="auto"/>
                <w:lang w:val="en-US" w:eastAsia="zh-CN"/>
              </w:rPr>
              <w:t>实验室现状照片</w:t>
            </w:r>
          </w:p>
          <w:p w14:paraId="7E09D0F4">
            <w:pPr>
              <w:spacing w:line="360" w:lineRule="auto"/>
              <w:ind w:firstLine="480"/>
              <w:rPr>
                <w:rFonts w:hint="default" w:ascii="Times New Roman" w:hAnsi="Times New Roman" w:cs="Times New Roman"/>
                <w:b/>
                <w:bCs/>
                <w:color w:val="auto"/>
                <w:sz w:val="24"/>
                <w:szCs w:val="24"/>
                <w:highlight w:val="none"/>
                <w:lang w:val="en-US"/>
              </w:rPr>
            </w:pPr>
            <w:r>
              <w:rPr>
                <w:rFonts w:hint="eastAsia" w:ascii="宋体" w:hAnsi="宋体" w:eastAsia="宋体" w:cs="宋体"/>
                <w:b/>
                <w:bCs/>
                <w:color w:val="auto"/>
                <w:sz w:val="24"/>
                <w:szCs w:val="24"/>
                <w:highlight w:val="none"/>
              </w:rPr>
              <w:t>②</w:t>
            </w:r>
            <w:r>
              <w:rPr>
                <w:rFonts w:hint="eastAsia" w:ascii="宋体" w:hAnsi="宋体" w:eastAsia="宋体" w:cs="宋体"/>
                <w:b/>
                <w:bCs/>
                <w:color w:val="auto"/>
                <w:sz w:val="24"/>
                <w:szCs w:val="24"/>
                <w:highlight w:val="none"/>
                <w:lang w:val="en-US" w:eastAsia="zh-CN"/>
              </w:rPr>
              <w:t>食堂油烟</w:t>
            </w:r>
          </w:p>
          <w:p w14:paraId="7DEF4C1C">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rPr>
            </w:pPr>
            <w:r>
              <w:rPr>
                <w:rFonts w:hint="eastAsia" w:ascii="Times New Roman" w:hAnsi="Times New Roman" w:cs="Times New Roman"/>
                <w:b/>
                <w:bCs/>
                <w:color w:val="auto"/>
                <w:sz w:val="24"/>
                <w:szCs w:val="24"/>
                <w:lang w:val="en-US" w:eastAsia="zh-CN"/>
              </w:rPr>
              <w:t>产生情况：</w:t>
            </w:r>
            <w:r>
              <w:rPr>
                <w:rFonts w:hint="default" w:ascii="Times New Roman" w:hAnsi="Times New Roman" w:cs="Times New Roman"/>
                <w:color w:val="auto"/>
                <w:sz w:val="24"/>
                <w:szCs w:val="24"/>
                <w:lang w:val="en-US" w:eastAsia="zh-CN"/>
              </w:rPr>
              <w:t>原有</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val="en-US" w:eastAsia="zh-CN"/>
              </w:rPr>
              <w:t>已建1</w:t>
            </w:r>
            <w:r>
              <w:rPr>
                <w:rFonts w:hint="eastAsia" w:ascii="Times New Roman" w:hAnsi="Times New Roman" w:eastAsia="宋体" w:cs="Times New Roman"/>
                <w:color w:val="auto"/>
                <w:sz w:val="24"/>
                <w:szCs w:val="24"/>
                <w:lang w:val="en-US" w:eastAsia="zh-CN"/>
              </w:rPr>
              <w:t>栋</w:t>
            </w:r>
            <w:r>
              <w:rPr>
                <w:rFonts w:hint="default" w:ascii="Times New Roman" w:hAnsi="Times New Roman" w:eastAsia="宋体" w:cs="Times New Roman"/>
                <w:color w:val="auto"/>
                <w:sz w:val="24"/>
                <w:szCs w:val="24"/>
              </w:rPr>
              <w:t>食堂，</w:t>
            </w:r>
            <w:r>
              <w:rPr>
                <w:rFonts w:hint="default" w:ascii="Times New Roman" w:hAnsi="Times New Roman" w:eastAsia="宋体" w:cs="Times New Roman"/>
                <w:color w:val="auto"/>
                <w:sz w:val="24"/>
                <w:szCs w:val="24"/>
                <w:lang w:val="en-US" w:eastAsia="zh-CN"/>
              </w:rPr>
              <w:t>就餐人数</w:t>
            </w:r>
            <w:r>
              <w:rPr>
                <w:rFonts w:hint="eastAsia" w:ascii="Times New Roman" w:hAnsi="Times New Roman" w:cs="Times New Roman"/>
                <w:color w:val="auto"/>
                <w:sz w:val="24"/>
                <w:szCs w:val="24"/>
                <w:lang w:val="en-US" w:eastAsia="zh-CN"/>
              </w:rPr>
              <w:t>844</w:t>
            </w:r>
            <w:r>
              <w:rPr>
                <w:rFonts w:hint="default" w:ascii="Times New Roman" w:hAnsi="Times New Roman" w:eastAsia="宋体" w:cs="Times New Roman"/>
                <w:color w:val="auto"/>
                <w:sz w:val="24"/>
                <w:szCs w:val="24"/>
                <w:lang w:val="en-US" w:eastAsia="zh-CN"/>
              </w:rPr>
              <w:t>人。</w:t>
            </w:r>
            <w:r>
              <w:rPr>
                <w:rFonts w:hint="default" w:ascii="Times New Roman" w:hAnsi="Times New Roman" w:eastAsia="宋体" w:cs="Times New Roman"/>
                <w:color w:val="auto"/>
                <w:sz w:val="24"/>
                <w:szCs w:val="24"/>
              </w:rPr>
              <w:t>根据类比调查资料，人均食用油用量约30g/人·d，一般油烟挥发量占总耗油量2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4%，平均为3%，则</w:t>
            </w:r>
            <w:r>
              <w:rPr>
                <w:rFonts w:hint="default" w:ascii="Times New Roman" w:hAnsi="Times New Roman" w:cs="Times New Roman"/>
                <w:color w:val="auto"/>
                <w:sz w:val="24"/>
                <w:szCs w:val="24"/>
                <w:lang w:val="en-US" w:eastAsia="zh-CN"/>
              </w:rPr>
              <w:t>原有</w:t>
            </w:r>
            <w:r>
              <w:rPr>
                <w:rFonts w:hint="default" w:ascii="Times New Roman" w:hAnsi="Times New Roman" w:eastAsia="宋体" w:cs="Times New Roman"/>
                <w:color w:val="auto"/>
                <w:sz w:val="24"/>
                <w:szCs w:val="24"/>
              </w:rPr>
              <w:t>食堂油烟产生量为</w:t>
            </w:r>
            <w:r>
              <w:rPr>
                <w:rFonts w:hint="eastAsia" w:ascii="Times New Roman" w:hAnsi="Times New Roman" w:eastAsia="宋体" w:cs="Times New Roman"/>
                <w:color w:val="auto"/>
                <w:sz w:val="24"/>
                <w:szCs w:val="24"/>
                <w:lang w:val="en-US" w:eastAsia="zh-CN"/>
              </w:rPr>
              <w:t>0.76</w:t>
            </w:r>
            <w:r>
              <w:rPr>
                <w:rFonts w:hint="default" w:ascii="Times New Roman" w:hAnsi="Times New Roman" w:eastAsia="宋体" w:cs="Times New Roman"/>
                <w:color w:val="auto"/>
                <w:sz w:val="24"/>
                <w:szCs w:val="24"/>
              </w:rPr>
              <w:t>kg</w:t>
            </w:r>
            <w:r>
              <w:rPr>
                <w:rFonts w:hint="eastAsia"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rPr>
              <w:t>，年产油烟为</w:t>
            </w:r>
            <w:r>
              <w:rPr>
                <w:rFonts w:hint="eastAsia" w:ascii="Times New Roman" w:hAnsi="Times New Roman" w:eastAsia="宋体" w:cs="Times New Roman"/>
                <w:color w:val="auto"/>
                <w:sz w:val="24"/>
                <w:szCs w:val="24"/>
                <w:lang w:val="en-US" w:eastAsia="zh-CN"/>
              </w:rPr>
              <w:t>0.137</w:t>
            </w:r>
            <w:r>
              <w:rPr>
                <w:rFonts w:hint="default" w:ascii="Times New Roman" w:hAnsi="Times New Roman" w:eastAsia="宋体" w:cs="Times New Roman"/>
                <w:color w:val="auto"/>
                <w:sz w:val="24"/>
                <w:szCs w:val="24"/>
              </w:rPr>
              <w:t>t。</w:t>
            </w:r>
          </w:p>
          <w:p w14:paraId="1D7A5D8F">
            <w:pPr>
              <w:pStyle w:val="5"/>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治理措施：</w:t>
            </w:r>
            <w:r>
              <w:rPr>
                <w:rFonts w:hint="eastAsia" w:ascii="Times New Roman" w:hAnsi="Times New Roman" w:eastAsia="宋体" w:cs="Times New Roman"/>
                <w:b w:val="0"/>
                <w:bCs w:val="0"/>
                <w:color w:val="auto"/>
                <w:sz w:val="24"/>
                <w:szCs w:val="24"/>
                <w:lang w:val="en-US" w:eastAsia="zh-CN"/>
              </w:rPr>
              <w:t>灶台顶部设置有集气罩，油烟废气经烟道室外排放。</w:t>
            </w:r>
          </w:p>
          <w:p w14:paraId="64620904">
            <w:pPr>
              <w:pStyle w:val="5"/>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b w:val="0"/>
                <w:bCs w:val="0"/>
                <w:color w:val="auto"/>
                <w:sz w:val="24"/>
                <w:szCs w:val="24"/>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264785" cy="2156460"/>
                  <wp:effectExtent l="0" t="0" r="12065" b="15240"/>
                  <wp:docPr id="33" name="图片 33" descr="734225ed5ce2c864ca19da9c965f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34225ed5ce2c864ca19da9c965f93d"/>
                          <pic:cNvPicPr>
                            <a:picLocks noChangeAspect="1"/>
                          </pic:cNvPicPr>
                        </pic:nvPicPr>
                        <pic:blipFill>
                          <a:blip r:embed="rId25"/>
                          <a:stretch>
                            <a:fillRect/>
                          </a:stretch>
                        </pic:blipFill>
                        <pic:spPr>
                          <a:xfrm>
                            <a:off x="0" y="0"/>
                            <a:ext cx="5264785" cy="2156460"/>
                          </a:xfrm>
                          <a:prstGeom prst="rect">
                            <a:avLst/>
                          </a:prstGeom>
                        </pic:spPr>
                      </pic:pic>
                    </a:graphicData>
                  </a:graphic>
                </wp:inline>
              </w:drawing>
            </w:r>
          </w:p>
          <w:p w14:paraId="11F64307">
            <w:pPr>
              <w:pStyle w:val="119"/>
              <w:bidi w:val="0"/>
              <w:rPr>
                <w:rFonts w:hint="default"/>
                <w:color w:val="auto"/>
                <w:lang w:val="en-US" w:eastAsia="zh-CN"/>
              </w:rPr>
            </w:pPr>
            <w:r>
              <w:rPr>
                <w:rFonts w:hint="eastAsia"/>
                <w:color w:val="auto"/>
                <w:lang w:val="en-US" w:eastAsia="zh-CN"/>
              </w:rPr>
              <w:t>食堂内部照片</w:t>
            </w:r>
          </w:p>
          <w:p w14:paraId="5CC83DFF">
            <w:pPr>
              <w:spacing w:line="360" w:lineRule="auto"/>
              <w:ind w:firstLine="480"/>
              <w:rPr>
                <w:rFonts w:hint="default" w:ascii="Times New Roman" w:hAnsi="Times New Roman" w:eastAsia="宋体" w:cs="Times New Roman"/>
                <w:b/>
                <w:bCs/>
                <w:color w:val="auto"/>
                <w:sz w:val="24"/>
                <w:szCs w:val="24"/>
                <w:highlight w:val="none"/>
                <w:lang w:val="en-US" w:eastAsia="zh-CN"/>
              </w:rPr>
            </w:pPr>
            <w:r>
              <w:rPr>
                <w:rFonts w:hint="eastAsia" w:ascii="宋体" w:hAnsi="宋体" w:eastAsia="宋体" w:cs="宋体"/>
                <w:b/>
                <w:bCs/>
                <w:color w:val="auto"/>
                <w:sz w:val="24"/>
                <w:szCs w:val="24"/>
                <w:highlight w:val="none"/>
              </w:rPr>
              <w:t>③</w:t>
            </w:r>
            <w:r>
              <w:rPr>
                <w:rFonts w:hint="eastAsia" w:ascii="Times New Roman" w:hAnsi="Times New Roman" w:eastAsia="宋体" w:cs="Times New Roman"/>
                <w:b/>
                <w:bCs/>
                <w:color w:val="auto"/>
                <w:sz w:val="24"/>
                <w:szCs w:val="24"/>
                <w:highlight w:val="none"/>
                <w:lang w:val="en-US" w:eastAsia="zh-CN"/>
              </w:rPr>
              <w:t>柴油发电机废气</w:t>
            </w:r>
          </w:p>
          <w:p w14:paraId="5E869665">
            <w:pPr>
              <w:spacing w:line="360" w:lineRule="auto"/>
              <w:ind w:firstLine="480"/>
              <w:rPr>
                <w:rFonts w:hint="default"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产生情况：</w:t>
            </w:r>
            <w:r>
              <w:rPr>
                <w:rFonts w:hint="default" w:ascii="Times New Roman" w:hAnsi="Times New Roman" w:cs="Times New Roman"/>
                <w:color w:val="auto"/>
                <w:kern w:val="0"/>
                <w:sz w:val="24"/>
                <w:szCs w:val="24"/>
              </w:rPr>
              <w:t>柴油发电机使用过程会产生废气，其主要成分为CO、HC、NO</w:t>
            </w:r>
            <w:r>
              <w:rPr>
                <w:rFonts w:hint="default" w:ascii="Times New Roman" w:hAnsi="Times New Roman" w:cs="Times New Roman"/>
                <w:color w:val="auto"/>
                <w:kern w:val="0"/>
                <w:sz w:val="24"/>
                <w:szCs w:val="24"/>
                <w:vertAlign w:val="subscript"/>
              </w:rPr>
              <w:t>2</w:t>
            </w:r>
            <w:r>
              <w:rPr>
                <w:rFonts w:hint="default" w:ascii="Times New Roman" w:hAnsi="Times New Roman" w:cs="Times New Roman"/>
                <w:color w:val="auto"/>
                <w:kern w:val="0"/>
                <w:sz w:val="24"/>
                <w:szCs w:val="24"/>
              </w:rPr>
              <w:t>。柴油发电机房</w:t>
            </w:r>
            <w:r>
              <w:rPr>
                <w:rFonts w:hint="eastAsia" w:ascii="Times New Roman" w:hAnsi="Times New Roman" w:cs="Times New Roman"/>
                <w:color w:val="auto"/>
                <w:kern w:val="0"/>
                <w:sz w:val="24"/>
                <w:szCs w:val="24"/>
                <w:lang w:val="en-US" w:eastAsia="zh-CN"/>
              </w:rPr>
              <w:t>未配置</w:t>
            </w:r>
            <w:r>
              <w:rPr>
                <w:rFonts w:hint="default" w:ascii="Times New Roman" w:hAnsi="Times New Roman" w:cs="Times New Roman"/>
                <w:color w:val="auto"/>
                <w:kern w:val="0"/>
                <w:sz w:val="24"/>
                <w:szCs w:val="24"/>
              </w:rPr>
              <w:t>储油间，因项目内柴油发电机只在停电的时候做应急用，因此项目内</w:t>
            </w:r>
            <w:r>
              <w:rPr>
                <w:rFonts w:hint="eastAsia" w:ascii="Times New Roman" w:hAnsi="Times New Roman" w:cs="Times New Roman"/>
                <w:color w:val="auto"/>
                <w:kern w:val="0"/>
                <w:sz w:val="24"/>
                <w:szCs w:val="24"/>
                <w:lang w:val="en-US" w:eastAsia="zh-CN"/>
              </w:rPr>
              <w:t>不对</w:t>
            </w:r>
            <w:r>
              <w:rPr>
                <w:rFonts w:hint="default" w:ascii="Times New Roman" w:hAnsi="Times New Roman" w:cs="Times New Roman"/>
                <w:color w:val="auto"/>
                <w:kern w:val="0"/>
                <w:sz w:val="24"/>
                <w:szCs w:val="24"/>
              </w:rPr>
              <w:t>柴油</w:t>
            </w:r>
            <w:r>
              <w:rPr>
                <w:rFonts w:hint="eastAsia" w:ascii="Times New Roman" w:hAnsi="Times New Roman" w:cs="Times New Roman"/>
                <w:color w:val="auto"/>
                <w:kern w:val="0"/>
                <w:sz w:val="24"/>
                <w:szCs w:val="24"/>
                <w:lang w:val="en-US" w:eastAsia="zh-CN"/>
              </w:rPr>
              <w:t>进行储备</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备用柴油量以发电机一次用量为准</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待用完之后及时补充。</w:t>
            </w:r>
          </w:p>
          <w:p w14:paraId="3F4E4C95">
            <w:pPr>
              <w:spacing w:line="360" w:lineRule="auto"/>
              <w:ind w:firstLine="480"/>
              <w:rPr>
                <w:rFonts w:hint="default"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治理措施：</w:t>
            </w:r>
            <w:r>
              <w:rPr>
                <w:rFonts w:hint="default" w:ascii="Times New Roman" w:hAnsi="Times New Roman" w:cs="Times New Roman"/>
                <w:color w:val="auto"/>
                <w:kern w:val="0"/>
                <w:sz w:val="24"/>
                <w:szCs w:val="24"/>
              </w:rPr>
              <w:t>地下室柴油发电机房采用机械通风，平时换气次数为每小时8次，排风机选用防爆风机，进风采用土建竖井自然进风，发电机房内保持着良好的通风性。柴油发电机仅用作备用电源，年使用时间较少，使用清洁的0#柴油作为燃料，柴油发电机组工作时产生的废气经自带的净化器处理后通过排烟管道排至</w:t>
            </w:r>
            <w:r>
              <w:rPr>
                <w:rFonts w:hint="eastAsia" w:ascii="Times New Roman" w:hAnsi="Times New Roman" w:cs="Times New Roman"/>
                <w:color w:val="auto"/>
                <w:kern w:val="0"/>
                <w:sz w:val="24"/>
                <w:szCs w:val="24"/>
                <w:lang w:val="en-US" w:eastAsia="zh-CN"/>
              </w:rPr>
              <w:t>室外</w:t>
            </w:r>
            <w:r>
              <w:rPr>
                <w:rFonts w:hint="default" w:ascii="Times New Roman" w:hAnsi="Times New Roman" w:cs="Times New Roman"/>
                <w:color w:val="auto"/>
                <w:kern w:val="0"/>
                <w:sz w:val="24"/>
                <w:szCs w:val="24"/>
              </w:rPr>
              <w:t>。</w:t>
            </w:r>
          </w:p>
          <w:p w14:paraId="159CA72E">
            <w:pPr>
              <w:spacing w:line="360" w:lineRule="auto"/>
              <w:ind w:firstLine="48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2、废水</w:t>
            </w:r>
          </w:p>
          <w:p w14:paraId="53682948">
            <w:pPr>
              <w:spacing w:line="360" w:lineRule="auto"/>
              <w:ind w:firstLine="48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原有项目</w:t>
            </w:r>
            <w:r>
              <w:rPr>
                <w:rFonts w:hint="eastAsia" w:ascii="Times New Roman" w:hAnsi="Times New Roman" w:cs="Times New Roman"/>
                <w:color w:val="auto"/>
                <w:sz w:val="24"/>
                <w:szCs w:val="24"/>
                <w:highlight w:val="none"/>
              </w:rPr>
              <w:t>废水主要包括：</w:t>
            </w:r>
            <w:r>
              <w:rPr>
                <w:rFonts w:hint="eastAsia" w:ascii="Times New Roman" w:hAnsi="Times New Roman" w:cs="Times New Roman"/>
                <w:color w:val="auto"/>
                <w:sz w:val="24"/>
                <w:szCs w:val="24"/>
                <w:highlight w:val="none"/>
                <w:lang w:val="en-US" w:eastAsia="zh-CN"/>
              </w:rPr>
              <w:t>办公生活废水（含食堂废水）、实验废水</w:t>
            </w:r>
            <w:r>
              <w:rPr>
                <w:rFonts w:hint="eastAsia" w:ascii="Times New Roman" w:hAnsi="Times New Roman" w:cs="Times New Roman"/>
                <w:color w:val="auto"/>
                <w:sz w:val="24"/>
                <w:szCs w:val="24"/>
                <w:highlight w:val="none"/>
              </w:rPr>
              <w:t>，项目废水总量约</w:t>
            </w:r>
            <w:r>
              <w:rPr>
                <w:rFonts w:hint="eastAsia" w:ascii="Times New Roman" w:hAnsi="Times New Roman" w:cs="Times New Roman"/>
                <w:color w:val="auto"/>
                <w:sz w:val="24"/>
                <w:szCs w:val="24"/>
                <w:highlight w:val="none"/>
                <w:lang w:val="en-US" w:eastAsia="zh-CN"/>
              </w:rPr>
              <w:t>19756.41</w:t>
            </w:r>
            <w:r>
              <w:rPr>
                <w:rFonts w:hint="eastAsia" w:ascii="Times New Roman" w:hAnsi="Times New Roman" w:cs="Times New Roman"/>
                <w:color w:val="auto"/>
                <w:sz w:val="24"/>
                <w:szCs w:val="24"/>
                <w:highlight w:val="none"/>
              </w:rPr>
              <w:t>m</w:t>
            </w:r>
            <w:r>
              <w:rPr>
                <w:rFonts w:hint="eastAsia"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rPr>
              <w:t>。</w:t>
            </w:r>
          </w:p>
          <w:p w14:paraId="1DE3F219">
            <w:pPr>
              <w:spacing w:line="360" w:lineRule="auto"/>
              <w:ind w:firstLine="48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原有项目</w:t>
            </w:r>
            <w:r>
              <w:rPr>
                <w:rFonts w:ascii="Times New Roman" w:hAnsi="Times New Roman" w:cs="Times New Roman"/>
                <w:color w:val="auto"/>
                <w:sz w:val="24"/>
                <w:szCs w:val="24"/>
                <w:highlight w:val="none"/>
              </w:rPr>
              <w:t>各类废水一起进入</w:t>
            </w:r>
            <w:r>
              <w:rPr>
                <w:rFonts w:hint="eastAsia" w:ascii="Times New Roman" w:hAnsi="Times New Roman" w:cs="Times New Roman"/>
                <w:color w:val="auto"/>
                <w:sz w:val="24"/>
                <w:szCs w:val="24"/>
                <w:highlight w:val="none"/>
                <w:lang w:val="en-US" w:eastAsia="zh-CN"/>
              </w:rPr>
              <w:t>预处理池</w:t>
            </w:r>
            <w:r>
              <w:rPr>
                <w:rFonts w:ascii="Times New Roman" w:hAnsi="Times New Roman" w:cs="Times New Roman"/>
                <w:color w:val="auto"/>
                <w:sz w:val="24"/>
                <w:szCs w:val="24"/>
                <w:highlight w:val="none"/>
              </w:rPr>
              <w:t>进行预处理，处理达</w:t>
            </w:r>
            <w:r>
              <w:rPr>
                <w:rFonts w:hint="eastAsia" w:ascii="Times New Roman" w:hAnsi="Times New Roman" w:cs="Times New Roman"/>
                <w:color w:val="auto"/>
                <w:sz w:val="24"/>
                <w:szCs w:val="24"/>
                <w:highlight w:val="none"/>
                <w:lang w:val="en-US" w:eastAsia="zh-CN"/>
              </w:rPr>
              <w:t>《污水综合排放标准》（GB8978-1996）三级标准</w:t>
            </w:r>
            <w:r>
              <w:rPr>
                <w:rFonts w:ascii="Times New Roman" w:hAnsi="Times New Roman" w:cs="Times New Roman"/>
                <w:color w:val="auto"/>
                <w:sz w:val="24"/>
                <w:szCs w:val="24"/>
                <w:highlight w:val="none"/>
              </w:rPr>
              <w:t>，氨氮、总磷</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总氮达到</w:t>
            </w:r>
            <w:r>
              <w:rPr>
                <w:rFonts w:ascii="Times New Roman" w:hAnsi="Times New Roman" w:cs="Times New Roman"/>
                <w:color w:val="auto"/>
                <w:sz w:val="24"/>
                <w:szCs w:val="24"/>
                <w:highlight w:val="none"/>
              </w:rPr>
              <w:t>《污水排入城镇下水道水质标准》（GB/T31962-2015）中B级限值要求后，于</w:t>
            </w:r>
            <w:r>
              <w:rPr>
                <w:rFonts w:hint="eastAsia" w:ascii="Times New Roman" w:hAnsi="Times New Roman" w:cs="Times New Roman"/>
                <w:color w:val="auto"/>
                <w:sz w:val="24"/>
                <w:szCs w:val="24"/>
                <w:highlight w:val="none"/>
                <w:lang w:val="en-US" w:eastAsia="zh-CN"/>
              </w:rPr>
              <w:t>学校南侧总排口</w:t>
            </w:r>
            <w:r>
              <w:rPr>
                <w:rFonts w:ascii="Times New Roman" w:hAnsi="Times New Roman" w:cs="Times New Roman"/>
                <w:color w:val="auto"/>
                <w:sz w:val="24"/>
                <w:szCs w:val="24"/>
                <w:highlight w:val="none"/>
              </w:rPr>
              <w:t>排入市政污水管网，</w:t>
            </w:r>
            <w:r>
              <w:rPr>
                <w:rFonts w:hint="eastAsia" w:ascii="Times New Roman" w:hAnsi="Times New Roman" w:cs="Times New Roman"/>
                <w:color w:val="auto"/>
                <w:sz w:val="24"/>
                <w:szCs w:val="24"/>
                <w:highlight w:val="none"/>
              </w:rPr>
              <w:t>最终进入</w:t>
            </w:r>
            <w:r>
              <w:rPr>
                <w:rFonts w:hint="eastAsia" w:ascii="Times New Roman" w:hAnsi="Times New Roman" w:cs="Times New Roman"/>
                <w:color w:val="auto"/>
                <w:sz w:val="24"/>
                <w:szCs w:val="24"/>
                <w:highlight w:val="none"/>
                <w:lang w:eastAsia="zh-CN"/>
              </w:rPr>
              <w:t>马尔康市城市生活污水处理厂</w:t>
            </w:r>
            <w:r>
              <w:rPr>
                <w:rFonts w:hint="eastAsia" w:ascii="Times New Roman" w:hAnsi="Times New Roman" w:cs="Times New Roman"/>
                <w:color w:val="auto"/>
                <w:sz w:val="24"/>
                <w:szCs w:val="24"/>
                <w:highlight w:val="none"/>
              </w:rPr>
              <w:t>处理达标后外排。</w:t>
            </w:r>
          </w:p>
          <w:p w14:paraId="0C45FF22">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drawing>
                <wp:inline distT="0" distB="0" distL="114300" distR="114300">
                  <wp:extent cx="4298315" cy="1974215"/>
                  <wp:effectExtent l="0" t="0" r="6985" b="6985"/>
                  <wp:docPr id="34" name="图片 34" descr="IMG_20250827_15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50827_153955"/>
                          <pic:cNvPicPr>
                            <a:picLocks noChangeAspect="1"/>
                          </pic:cNvPicPr>
                        </pic:nvPicPr>
                        <pic:blipFill>
                          <a:blip r:embed="rId26"/>
                          <a:srcRect t="22699" b="42860"/>
                          <a:stretch>
                            <a:fillRect/>
                          </a:stretch>
                        </pic:blipFill>
                        <pic:spPr>
                          <a:xfrm>
                            <a:off x="0" y="0"/>
                            <a:ext cx="4298315" cy="1974215"/>
                          </a:xfrm>
                          <a:prstGeom prst="rect">
                            <a:avLst/>
                          </a:prstGeom>
                        </pic:spPr>
                      </pic:pic>
                    </a:graphicData>
                  </a:graphic>
                </wp:inline>
              </w:drawing>
            </w:r>
          </w:p>
          <w:p w14:paraId="5C7C53F2">
            <w:pPr>
              <w:pStyle w:val="119"/>
              <w:bidi w:val="0"/>
              <w:rPr>
                <w:rFonts w:hint="default"/>
                <w:color w:val="auto"/>
                <w:lang w:val="en-US" w:eastAsia="zh-CN"/>
              </w:rPr>
            </w:pPr>
            <w:r>
              <w:rPr>
                <w:rFonts w:hint="eastAsia"/>
                <w:color w:val="auto"/>
                <w:lang w:val="en-US" w:eastAsia="zh-CN"/>
              </w:rPr>
              <w:t>预处理池位置</w:t>
            </w:r>
          </w:p>
          <w:p w14:paraId="0EE0CD11">
            <w:pPr>
              <w:spacing w:line="360" w:lineRule="auto"/>
              <w:ind w:firstLine="48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本次环评委托四川海德汇环保科技有限公司对废水总排口的水质进行监测（监测报告</w:t>
            </w:r>
            <w:r>
              <w:rPr>
                <w:rFonts w:hint="eastAsia" w:ascii="Times New Roman" w:hAnsi="Times New Roman" w:cs="Times New Roman"/>
                <w:color w:val="auto"/>
                <w:sz w:val="24"/>
                <w:szCs w:val="24"/>
                <w:highlight w:val="none"/>
              </w:rPr>
              <w:t>见附件，</w:t>
            </w:r>
            <w:r>
              <w:rPr>
                <w:rFonts w:hint="eastAsia" w:ascii="Times New Roman" w:hAnsi="Times New Roman" w:cs="Times New Roman"/>
                <w:color w:val="auto"/>
                <w:sz w:val="24"/>
                <w:szCs w:val="24"/>
                <w:highlight w:val="none"/>
                <w:lang w:val="en-US" w:eastAsia="zh-CN"/>
              </w:rPr>
              <w:t>项目</w:t>
            </w:r>
            <w:r>
              <w:rPr>
                <w:rFonts w:hint="eastAsia" w:ascii="Times New Roman" w:hAnsi="Times New Roman" w:cs="Times New Roman"/>
                <w:color w:val="auto"/>
                <w:sz w:val="24"/>
                <w:szCs w:val="24"/>
                <w:highlight w:val="none"/>
              </w:rPr>
              <w:t>编号：</w:t>
            </w:r>
            <w:r>
              <w:rPr>
                <w:rFonts w:hint="eastAsia" w:ascii="Times New Roman" w:hAnsi="Times New Roman" w:cs="Times New Roman"/>
                <w:color w:val="auto"/>
                <w:sz w:val="24"/>
                <w:szCs w:val="24"/>
                <w:highlight w:val="none"/>
                <w:lang w:val="en-US" w:eastAsia="zh-Hans"/>
              </w:rPr>
              <w:t>SCHDHHBKJYXGS</w:t>
            </w:r>
            <w:r>
              <w:rPr>
                <w:rFonts w:hint="eastAsia" w:ascii="Times New Roman" w:hAnsi="Times New Roman" w:cs="Times New Roman"/>
                <w:color w:val="auto"/>
                <w:sz w:val="24"/>
                <w:szCs w:val="24"/>
                <w:highlight w:val="none"/>
                <w:lang w:val="en-US" w:eastAsia="zh-CN"/>
              </w:rPr>
              <w:t>6890</w:t>
            </w:r>
            <w:r>
              <w:rPr>
                <w:rFonts w:hint="eastAsia" w:ascii="Times New Roman" w:hAnsi="Times New Roman" w:cs="Times New Roman"/>
                <w:color w:val="auto"/>
                <w:sz w:val="24"/>
                <w:szCs w:val="24"/>
                <w:highlight w:val="none"/>
                <w:lang w:val="en-US" w:eastAsia="zh-Hans"/>
              </w:rPr>
              <w:t>-0001</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。根据监测结果可以看出，项目污水</w:t>
            </w:r>
            <w:r>
              <w:rPr>
                <w:rFonts w:hint="eastAsia" w:ascii="Times New Roman" w:hAnsi="Times New Roman" w:cs="Times New Roman"/>
                <w:color w:val="auto"/>
                <w:sz w:val="24"/>
                <w:szCs w:val="24"/>
                <w:highlight w:val="none"/>
                <w:lang w:val="en-US" w:eastAsia="zh-CN"/>
              </w:rPr>
              <w:t>总</w:t>
            </w:r>
            <w:r>
              <w:rPr>
                <w:rFonts w:hint="eastAsia" w:ascii="Times New Roman" w:hAnsi="Times New Roman" w:cs="Times New Roman"/>
                <w:color w:val="auto"/>
                <w:sz w:val="24"/>
                <w:szCs w:val="24"/>
                <w:highlight w:val="none"/>
              </w:rPr>
              <w:t>排口水质各监测因子均能满足</w:t>
            </w:r>
            <w:r>
              <w:rPr>
                <w:rFonts w:hint="eastAsia" w:ascii="Times New Roman" w:hAnsi="Times New Roman" w:cs="Times New Roman"/>
                <w:color w:val="auto"/>
                <w:sz w:val="24"/>
                <w:szCs w:val="24"/>
                <w:highlight w:val="none"/>
                <w:lang w:val="en-US" w:eastAsia="zh-CN"/>
              </w:rPr>
              <w:t>《污水综合排放标准》（GB8978-1996）</w:t>
            </w:r>
            <w:r>
              <w:rPr>
                <w:rFonts w:ascii="Times New Roman" w:hAnsi="Times New Roman" w:cs="Times New Roman"/>
                <w:color w:val="auto"/>
                <w:sz w:val="24"/>
                <w:szCs w:val="24"/>
                <w:highlight w:val="none"/>
              </w:rPr>
              <w:t>，氨氮、总磷执行《污水排入城镇下水道水质标准》（GB/T31962-2015）中B级限值要求。</w:t>
            </w:r>
            <w:r>
              <w:rPr>
                <w:rFonts w:hint="eastAsia" w:ascii="Times New Roman" w:hAnsi="Times New Roman" w:cs="Times New Roman"/>
                <w:color w:val="auto"/>
                <w:sz w:val="24"/>
                <w:szCs w:val="24"/>
                <w:highlight w:val="none"/>
                <w:lang w:val="en-US" w:eastAsia="zh-CN"/>
              </w:rPr>
              <w:t>污水总</w:t>
            </w:r>
            <w:r>
              <w:rPr>
                <w:rFonts w:hint="eastAsia" w:ascii="Times New Roman" w:hAnsi="Times New Roman" w:cs="Times New Roman"/>
                <w:color w:val="auto"/>
                <w:sz w:val="24"/>
                <w:szCs w:val="24"/>
                <w:highlight w:val="none"/>
              </w:rPr>
              <w:t>排口水质监测结果如下表所示。</w:t>
            </w:r>
          </w:p>
          <w:p w14:paraId="0096DF4A">
            <w:pPr>
              <w:pStyle w:val="114"/>
              <w:bidi w:val="0"/>
              <w:rPr>
                <w:color w:val="auto"/>
              </w:rPr>
            </w:pPr>
            <w:r>
              <w:rPr>
                <w:rFonts w:hint="eastAsia"/>
                <w:color w:val="auto"/>
                <w:lang w:val="en-US" w:eastAsia="zh-CN"/>
              </w:rPr>
              <w:t>废水总排口</w:t>
            </w:r>
            <w:r>
              <w:rPr>
                <w:rFonts w:hint="eastAsia"/>
                <w:color w:val="auto"/>
              </w:rPr>
              <w:t>水质现状监测结果</w:t>
            </w:r>
          </w:p>
          <w:tbl>
            <w:tblPr>
              <w:tblStyle w:val="4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161"/>
              <w:gridCol w:w="1245"/>
              <w:gridCol w:w="853"/>
              <w:gridCol w:w="853"/>
              <w:gridCol w:w="855"/>
              <w:gridCol w:w="855"/>
              <w:gridCol w:w="866"/>
              <w:gridCol w:w="857"/>
              <w:gridCol w:w="857"/>
            </w:tblGrid>
            <w:tr w14:paraId="53E83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restart"/>
                  <w:tcBorders>
                    <w:tl2br w:val="nil"/>
                    <w:tr2bl w:val="nil"/>
                  </w:tcBorders>
                  <w:vAlign w:val="center"/>
                </w:tcPr>
                <w:p w14:paraId="41A114B0">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监测点位</w:t>
                  </w:r>
                </w:p>
              </w:tc>
              <w:tc>
                <w:tcPr>
                  <w:tcW w:w="530" w:type="pct"/>
                  <w:vMerge w:val="restart"/>
                  <w:tcBorders>
                    <w:tl2br w:val="nil"/>
                    <w:tr2bl w:val="nil"/>
                  </w:tcBorders>
                  <w:vAlign w:val="center"/>
                </w:tcPr>
                <w:p w14:paraId="7C245495">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采样日期</w:t>
                  </w:r>
                </w:p>
              </w:tc>
              <w:tc>
                <w:tcPr>
                  <w:tcW w:w="681" w:type="pct"/>
                  <w:vMerge w:val="restart"/>
                  <w:tcBorders>
                    <w:tl2br w:val="nil"/>
                    <w:tr2bl w:val="nil"/>
                  </w:tcBorders>
                  <w:vAlign w:val="center"/>
                </w:tcPr>
                <w:p w14:paraId="4F791661">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检测因子</w:t>
                  </w:r>
                </w:p>
              </w:tc>
              <w:tc>
                <w:tcPr>
                  <w:tcW w:w="470" w:type="pct"/>
                  <w:vMerge w:val="restart"/>
                  <w:tcBorders>
                    <w:tl2br w:val="nil"/>
                    <w:tr2bl w:val="nil"/>
                  </w:tcBorders>
                  <w:vAlign w:val="center"/>
                </w:tcPr>
                <w:p w14:paraId="5EFBCFD5">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单位</w:t>
                  </w:r>
                </w:p>
              </w:tc>
              <w:tc>
                <w:tcPr>
                  <w:tcW w:w="1889" w:type="pct"/>
                  <w:gridSpan w:val="4"/>
                  <w:tcBorders>
                    <w:tl2br w:val="nil"/>
                    <w:tr2bl w:val="nil"/>
                  </w:tcBorders>
                  <w:vAlign w:val="center"/>
                </w:tcPr>
                <w:p w14:paraId="1D02E46B">
                  <w:pPr>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检测结果</w:t>
                  </w:r>
                </w:p>
              </w:tc>
              <w:tc>
                <w:tcPr>
                  <w:tcW w:w="472" w:type="pct"/>
                  <w:vMerge w:val="restart"/>
                  <w:tcBorders>
                    <w:tl2br w:val="nil"/>
                    <w:tr2bl w:val="nil"/>
                  </w:tcBorders>
                  <w:vAlign w:val="center"/>
                </w:tcPr>
                <w:p w14:paraId="2F8E2C46">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均值</w:t>
                  </w:r>
                </w:p>
              </w:tc>
              <w:tc>
                <w:tcPr>
                  <w:tcW w:w="472" w:type="pct"/>
                  <w:vMerge w:val="restart"/>
                  <w:tcBorders>
                    <w:tl2br w:val="nil"/>
                    <w:tr2bl w:val="nil"/>
                  </w:tcBorders>
                  <w:vAlign w:val="center"/>
                </w:tcPr>
                <w:p w14:paraId="37A8EAD5">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标准值</w:t>
                  </w:r>
                </w:p>
              </w:tc>
            </w:tr>
            <w:tr w14:paraId="50E37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6C5A210E">
                  <w:pPr>
                    <w:bidi w:val="0"/>
                    <w:jc w:val="center"/>
                    <w:rPr>
                      <w:rFonts w:hint="default" w:ascii="Times New Roman" w:hAnsi="Times New Roman" w:eastAsia="宋体" w:cs="Times New Roman"/>
                      <w:b/>
                      <w:bCs/>
                      <w:color w:val="auto"/>
                      <w:sz w:val="21"/>
                      <w:szCs w:val="21"/>
                    </w:rPr>
                  </w:pPr>
                </w:p>
              </w:tc>
              <w:tc>
                <w:tcPr>
                  <w:tcW w:w="530" w:type="pct"/>
                  <w:vMerge w:val="continue"/>
                  <w:tcBorders>
                    <w:tl2br w:val="nil"/>
                    <w:tr2bl w:val="nil"/>
                  </w:tcBorders>
                  <w:vAlign w:val="center"/>
                </w:tcPr>
                <w:p w14:paraId="0689D608">
                  <w:pPr>
                    <w:bidi w:val="0"/>
                    <w:jc w:val="center"/>
                    <w:rPr>
                      <w:rFonts w:hint="default" w:ascii="Times New Roman" w:hAnsi="Times New Roman" w:eastAsia="宋体" w:cs="Times New Roman"/>
                      <w:b/>
                      <w:bCs/>
                      <w:color w:val="auto"/>
                      <w:sz w:val="21"/>
                      <w:szCs w:val="21"/>
                    </w:rPr>
                  </w:pPr>
                </w:p>
              </w:tc>
              <w:tc>
                <w:tcPr>
                  <w:tcW w:w="681" w:type="pct"/>
                  <w:vMerge w:val="continue"/>
                  <w:tcBorders>
                    <w:tl2br w:val="nil"/>
                    <w:tr2bl w:val="nil"/>
                  </w:tcBorders>
                  <w:vAlign w:val="center"/>
                </w:tcPr>
                <w:p w14:paraId="63E1CA66">
                  <w:pPr>
                    <w:bidi w:val="0"/>
                    <w:jc w:val="center"/>
                    <w:rPr>
                      <w:rFonts w:hint="default" w:ascii="Times New Roman" w:hAnsi="Times New Roman" w:eastAsia="宋体" w:cs="Times New Roman"/>
                      <w:b/>
                      <w:bCs/>
                      <w:color w:val="auto"/>
                      <w:sz w:val="21"/>
                      <w:szCs w:val="21"/>
                    </w:rPr>
                  </w:pPr>
                </w:p>
              </w:tc>
              <w:tc>
                <w:tcPr>
                  <w:tcW w:w="470" w:type="pct"/>
                  <w:vMerge w:val="continue"/>
                  <w:tcBorders>
                    <w:tl2br w:val="nil"/>
                    <w:tr2bl w:val="nil"/>
                  </w:tcBorders>
                  <w:vAlign w:val="center"/>
                </w:tcPr>
                <w:p w14:paraId="3EA16486">
                  <w:pPr>
                    <w:bidi w:val="0"/>
                    <w:jc w:val="center"/>
                    <w:rPr>
                      <w:rFonts w:hint="default" w:ascii="Times New Roman" w:hAnsi="Times New Roman" w:eastAsia="宋体" w:cs="Times New Roman"/>
                      <w:b/>
                      <w:bCs/>
                      <w:color w:val="auto"/>
                      <w:sz w:val="21"/>
                      <w:szCs w:val="21"/>
                    </w:rPr>
                  </w:pPr>
                </w:p>
              </w:tc>
              <w:tc>
                <w:tcPr>
                  <w:tcW w:w="470" w:type="pct"/>
                  <w:tcBorders>
                    <w:tl2br w:val="nil"/>
                    <w:tr2bl w:val="nil"/>
                  </w:tcBorders>
                  <w:vAlign w:val="center"/>
                </w:tcPr>
                <w:p w14:paraId="79E52331">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第1次</w:t>
                  </w:r>
                </w:p>
              </w:tc>
              <w:tc>
                <w:tcPr>
                  <w:tcW w:w="471" w:type="pct"/>
                  <w:tcBorders>
                    <w:tl2br w:val="nil"/>
                    <w:tr2bl w:val="nil"/>
                  </w:tcBorders>
                  <w:vAlign w:val="center"/>
                </w:tcPr>
                <w:p w14:paraId="4F6E2BC2">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第2次</w:t>
                  </w:r>
                </w:p>
              </w:tc>
              <w:tc>
                <w:tcPr>
                  <w:tcW w:w="471" w:type="pct"/>
                  <w:tcBorders>
                    <w:tl2br w:val="nil"/>
                    <w:tr2bl w:val="nil"/>
                  </w:tcBorders>
                  <w:vAlign w:val="center"/>
                </w:tcPr>
                <w:p w14:paraId="0F275998">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第3次</w:t>
                  </w:r>
                </w:p>
              </w:tc>
              <w:tc>
                <w:tcPr>
                  <w:tcW w:w="476" w:type="pct"/>
                  <w:tcBorders>
                    <w:tl2br w:val="nil"/>
                    <w:tr2bl w:val="nil"/>
                  </w:tcBorders>
                  <w:vAlign w:val="center"/>
                </w:tcPr>
                <w:p w14:paraId="7DBF5AE3">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第4次</w:t>
                  </w:r>
                </w:p>
              </w:tc>
              <w:tc>
                <w:tcPr>
                  <w:tcW w:w="472" w:type="pct"/>
                  <w:vMerge w:val="continue"/>
                  <w:tcBorders>
                    <w:tl2br w:val="nil"/>
                    <w:tr2bl w:val="nil"/>
                  </w:tcBorders>
                  <w:vAlign w:val="center"/>
                </w:tcPr>
                <w:p w14:paraId="3D5A0E63">
                  <w:pPr>
                    <w:bidi w:val="0"/>
                    <w:jc w:val="center"/>
                    <w:rPr>
                      <w:rFonts w:hint="default" w:ascii="Times New Roman" w:hAnsi="Times New Roman" w:eastAsia="宋体" w:cs="Times New Roman"/>
                      <w:color w:val="auto"/>
                      <w:sz w:val="21"/>
                      <w:szCs w:val="21"/>
                    </w:rPr>
                  </w:pPr>
                </w:p>
              </w:tc>
              <w:tc>
                <w:tcPr>
                  <w:tcW w:w="472" w:type="pct"/>
                  <w:vMerge w:val="continue"/>
                  <w:tcBorders>
                    <w:tl2br w:val="nil"/>
                    <w:tr2bl w:val="nil"/>
                  </w:tcBorders>
                  <w:vAlign w:val="center"/>
                </w:tcPr>
                <w:p w14:paraId="5940E1C2">
                  <w:pPr>
                    <w:bidi w:val="0"/>
                    <w:jc w:val="center"/>
                    <w:rPr>
                      <w:rFonts w:hint="default" w:ascii="Times New Roman" w:hAnsi="Times New Roman" w:eastAsia="宋体" w:cs="Times New Roman"/>
                      <w:color w:val="auto"/>
                      <w:sz w:val="21"/>
                      <w:szCs w:val="21"/>
                    </w:rPr>
                  </w:pPr>
                </w:p>
              </w:tc>
            </w:tr>
            <w:tr w14:paraId="38B2E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restart"/>
                  <w:tcBorders>
                    <w:tl2br w:val="nil"/>
                    <w:tr2bl w:val="nil"/>
                  </w:tcBorders>
                  <w:vAlign w:val="center"/>
                </w:tcPr>
                <w:p w14:paraId="78E6273D">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废水总排口</w:t>
                  </w:r>
                </w:p>
              </w:tc>
              <w:tc>
                <w:tcPr>
                  <w:tcW w:w="530" w:type="pct"/>
                  <w:vMerge w:val="restart"/>
                  <w:tcBorders>
                    <w:tl2br w:val="nil"/>
                    <w:tr2bl w:val="nil"/>
                  </w:tcBorders>
                  <w:vAlign w:val="center"/>
                </w:tcPr>
                <w:p w14:paraId="4BCE6C8C">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2025.09.0</w:t>
                  </w:r>
                  <w:r>
                    <w:rPr>
                      <w:rFonts w:hint="eastAsia" w:ascii="Times New Roman" w:hAnsi="Times New Roman" w:eastAsia="宋体" w:cs="Times New Roman"/>
                      <w:color w:val="auto"/>
                      <w:sz w:val="21"/>
                      <w:szCs w:val="21"/>
                      <w:lang w:val="en-US" w:eastAsia="zh-CN"/>
                    </w:rPr>
                    <w:t>1</w:t>
                  </w:r>
                </w:p>
              </w:tc>
              <w:tc>
                <w:tcPr>
                  <w:tcW w:w="681" w:type="pct"/>
                  <w:tcBorders>
                    <w:tl2br w:val="nil"/>
                    <w:tr2bl w:val="nil"/>
                  </w:tcBorders>
                  <w:shd w:val="clear" w:color="auto" w:fill="auto"/>
                  <w:vAlign w:val="center"/>
                </w:tcPr>
                <w:p w14:paraId="433F696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pH</w:t>
                  </w:r>
                </w:p>
              </w:tc>
              <w:tc>
                <w:tcPr>
                  <w:tcW w:w="470" w:type="pct"/>
                  <w:tcBorders>
                    <w:tl2br w:val="nil"/>
                    <w:tr2bl w:val="nil"/>
                  </w:tcBorders>
                  <w:vAlign w:val="center"/>
                </w:tcPr>
                <w:p w14:paraId="65F7B5A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无量纲</w:t>
                  </w:r>
                </w:p>
              </w:tc>
              <w:tc>
                <w:tcPr>
                  <w:tcW w:w="470" w:type="pct"/>
                  <w:tcBorders>
                    <w:tl2br w:val="nil"/>
                    <w:tr2bl w:val="nil"/>
                  </w:tcBorders>
                  <w:vAlign w:val="center"/>
                </w:tcPr>
                <w:p w14:paraId="4E0F981C">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7.2</w:t>
                  </w:r>
                </w:p>
              </w:tc>
              <w:tc>
                <w:tcPr>
                  <w:tcW w:w="471" w:type="pct"/>
                  <w:tcBorders>
                    <w:tl2br w:val="nil"/>
                    <w:tr2bl w:val="nil"/>
                  </w:tcBorders>
                  <w:vAlign w:val="center"/>
                </w:tcPr>
                <w:p w14:paraId="4AB4FB39">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7.1</w:t>
                  </w:r>
                </w:p>
              </w:tc>
              <w:tc>
                <w:tcPr>
                  <w:tcW w:w="471" w:type="pct"/>
                  <w:tcBorders>
                    <w:tl2br w:val="nil"/>
                    <w:tr2bl w:val="nil"/>
                  </w:tcBorders>
                  <w:vAlign w:val="center"/>
                </w:tcPr>
                <w:p w14:paraId="0B5CB5CF">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7.2</w:t>
                  </w:r>
                </w:p>
              </w:tc>
              <w:tc>
                <w:tcPr>
                  <w:tcW w:w="476" w:type="pct"/>
                  <w:tcBorders>
                    <w:tl2br w:val="nil"/>
                    <w:tr2bl w:val="nil"/>
                  </w:tcBorders>
                  <w:vAlign w:val="center"/>
                </w:tcPr>
                <w:p w14:paraId="787DD6D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7.2</w:t>
                  </w:r>
                </w:p>
              </w:tc>
              <w:tc>
                <w:tcPr>
                  <w:tcW w:w="472" w:type="pct"/>
                  <w:tcBorders>
                    <w:tl2br w:val="nil"/>
                    <w:tr2bl w:val="nil"/>
                  </w:tcBorders>
                  <w:vAlign w:val="center"/>
                </w:tcPr>
                <w:p w14:paraId="49AB93E3">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472" w:type="pct"/>
                  <w:tcBorders>
                    <w:tl2br w:val="nil"/>
                    <w:tr2bl w:val="nil"/>
                  </w:tcBorders>
                  <w:vAlign w:val="center"/>
                </w:tcPr>
                <w:p w14:paraId="4E3595AB">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r>
            <w:tr w14:paraId="577D7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62086C3F">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2381FB86">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1E86EE4B">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化学需氧量</w:t>
                  </w:r>
                </w:p>
              </w:tc>
              <w:tc>
                <w:tcPr>
                  <w:tcW w:w="470" w:type="pct"/>
                  <w:tcBorders>
                    <w:tl2br w:val="nil"/>
                    <w:tr2bl w:val="nil"/>
                  </w:tcBorders>
                  <w:vAlign w:val="center"/>
                </w:tcPr>
                <w:p w14:paraId="1D1A63D9">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15B4876F">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191</w:t>
                  </w:r>
                </w:p>
              </w:tc>
              <w:tc>
                <w:tcPr>
                  <w:tcW w:w="471" w:type="pct"/>
                  <w:tcBorders>
                    <w:tl2br w:val="nil"/>
                    <w:tr2bl w:val="nil"/>
                  </w:tcBorders>
                  <w:vAlign w:val="center"/>
                </w:tcPr>
                <w:p w14:paraId="2847B14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184</w:t>
                  </w:r>
                </w:p>
              </w:tc>
              <w:tc>
                <w:tcPr>
                  <w:tcW w:w="471" w:type="pct"/>
                  <w:tcBorders>
                    <w:tl2br w:val="nil"/>
                    <w:tr2bl w:val="nil"/>
                  </w:tcBorders>
                  <w:vAlign w:val="center"/>
                </w:tcPr>
                <w:p w14:paraId="52C47CFF">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171</w:t>
                  </w:r>
                </w:p>
              </w:tc>
              <w:tc>
                <w:tcPr>
                  <w:tcW w:w="476" w:type="pct"/>
                  <w:tcBorders>
                    <w:tl2br w:val="nil"/>
                    <w:tr2bl w:val="nil"/>
                  </w:tcBorders>
                  <w:vAlign w:val="center"/>
                </w:tcPr>
                <w:p w14:paraId="4A13CE53">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167</w:t>
                  </w:r>
                </w:p>
              </w:tc>
              <w:tc>
                <w:tcPr>
                  <w:tcW w:w="472" w:type="pct"/>
                  <w:tcBorders>
                    <w:tl2br w:val="nil"/>
                    <w:tr2bl w:val="nil"/>
                  </w:tcBorders>
                  <w:vAlign w:val="center"/>
                </w:tcPr>
                <w:p w14:paraId="2B9FCE7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178</w:t>
                  </w:r>
                </w:p>
              </w:tc>
              <w:tc>
                <w:tcPr>
                  <w:tcW w:w="472" w:type="pct"/>
                  <w:tcBorders>
                    <w:tl2br w:val="nil"/>
                    <w:tr2bl w:val="nil"/>
                  </w:tcBorders>
                  <w:vAlign w:val="center"/>
                </w:tcPr>
                <w:p w14:paraId="02359940">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r>
            <w:tr w14:paraId="1EC46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42AD75BD">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43679C2C">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41B9A302">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五日生化需氧量</w:t>
                  </w:r>
                </w:p>
              </w:tc>
              <w:tc>
                <w:tcPr>
                  <w:tcW w:w="470" w:type="pct"/>
                  <w:tcBorders>
                    <w:tl2br w:val="nil"/>
                    <w:tr2bl w:val="nil"/>
                  </w:tcBorders>
                  <w:vAlign w:val="center"/>
                </w:tcPr>
                <w:p w14:paraId="5272B2B9">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0BBF09D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56.2</w:t>
                  </w:r>
                </w:p>
              </w:tc>
              <w:tc>
                <w:tcPr>
                  <w:tcW w:w="471" w:type="pct"/>
                  <w:tcBorders>
                    <w:tl2br w:val="nil"/>
                    <w:tr2bl w:val="nil"/>
                  </w:tcBorders>
                  <w:vAlign w:val="center"/>
                </w:tcPr>
                <w:p w14:paraId="7014ED55">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51.8</w:t>
                  </w:r>
                </w:p>
              </w:tc>
              <w:tc>
                <w:tcPr>
                  <w:tcW w:w="471" w:type="pct"/>
                  <w:tcBorders>
                    <w:tl2br w:val="nil"/>
                    <w:tr2bl w:val="nil"/>
                  </w:tcBorders>
                  <w:vAlign w:val="center"/>
                </w:tcPr>
                <w:p w14:paraId="10ADC659">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56.2</w:t>
                  </w:r>
                </w:p>
              </w:tc>
              <w:tc>
                <w:tcPr>
                  <w:tcW w:w="476" w:type="pct"/>
                  <w:tcBorders>
                    <w:tl2br w:val="nil"/>
                    <w:tr2bl w:val="nil"/>
                  </w:tcBorders>
                  <w:vAlign w:val="center"/>
                </w:tcPr>
                <w:p w14:paraId="7909E0B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53.4</w:t>
                  </w:r>
                </w:p>
              </w:tc>
              <w:tc>
                <w:tcPr>
                  <w:tcW w:w="472" w:type="pct"/>
                  <w:tcBorders>
                    <w:tl2br w:val="nil"/>
                    <w:tr2bl w:val="nil"/>
                  </w:tcBorders>
                  <w:vAlign w:val="center"/>
                </w:tcPr>
                <w:p w14:paraId="6B074B7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54.4</w:t>
                  </w:r>
                </w:p>
              </w:tc>
              <w:tc>
                <w:tcPr>
                  <w:tcW w:w="472" w:type="pct"/>
                  <w:tcBorders>
                    <w:tl2br w:val="nil"/>
                    <w:tr2bl w:val="nil"/>
                  </w:tcBorders>
                  <w:vAlign w:val="center"/>
                </w:tcPr>
                <w:p w14:paraId="2A6709AC">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r>
            <w:tr w14:paraId="60733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1F188B91">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54B06E87">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34F48B30">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氨氮</w:t>
                  </w:r>
                </w:p>
              </w:tc>
              <w:tc>
                <w:tcPr>
                  <w:tcW w:w="470" w:type="pct"/>
                  <w:tcBorders>
                    <w:tl2br w:val="nil"/>
                    <w:tr2bl w:val="nil"/>
                  </w:tcBorders>
                  <w:vAlign w:val="center"/>
                </w:tcPr>
                <w:p w14:paraId="3E88FFC2">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4036F7D5">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30.1</w:t>
                  </w:r>
                </w:p>
              </w:tc>
              <w:tc>
                <w:tcPr>
                  <w:tcW w:w="471" w:type="pct"/>
                  <w:tcBorders>
                    <w:tl2br w:val="nil"/>
                    <w:tr2bl w:val="nil"/>
                  </w:tcBorders>
                  <w:vAlign w:val="center"/>
                </w:tcPr>
                <w:p w14:paraId="41FD5A0F">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30.6</w:t>
                  </w:r>
                </w:p>
              </w:tc>
              <w:tc>
                <w:tcPr>
                  <w:tcW w:w="471" w:type="pct"/>
                  <w:tcBorders>
                    <w:tl2br w:val="nil"/>
                    <w:tr2bl w:val="nil"/>
                  </w:tcBorders>
                  <w:vAlign w:val="center"/>
                </w:tcPr>
                <w:p w14:paraId="10CA7C55">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29.7</w:t>
                  </w:r>
                </w:p>
              </w:tc>
              <w:tc>
                <w:tcPr>
                  <w:tcW w:w="476" w:type="pct"/>
                  <w:tcBorders>
                    <w:tl2br w:val="nil"/>
                    <w:tr2bl w:val="nil"/>
                  </w:tcBorders>
                  <w:vAlign w:val="center"/>
                </w:tcPr>
                <w:p w14:paraId="565B226A">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29.6</w:t>
                  </w:r>
                </w:p>
              </w:tc>
              <w:tc>
                <w:tcPr>
                  <w:tcW w:w="472" w:type="pct"/>
                  <w:tcBorders>
                    <w:tl2br w:val="nil"/>
                    <w:tr2bl w:val="nil"/>
                  </w:tcBorders>
                  <w:vAlign w:val="center"/>
                </w:tcPr>
                <w:p w14:paraId="25B0418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30.0</w:t>
                  </w:r>
                </w:p>
              </w:tc>
              <w:tc>
                <w:tcPr>
                  <w:tcW w:w="472" w:type="pct"/>
                  <w:tcBorders>
                    <w:tl2br w:val="nil"/>
                    <w:tr2bl w:val="nil"/>
                  </w:tcBorders>
                  <w:vAlign w:val="center"/>
                </w:tcPr>
                <w:p w14:paraId="2904ACC3">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r w14:paraId="4B895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7D8C1406">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2E960725">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418E081A">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总磷</w:t>
                  </w:r>
                </w:p>
              </w:tc>
              <w:tc>
                <w:tcPr>
                  <w:tcW w:w="470" w:type="pct"/>
                  <w:tcBorders>
                    <w:tl2br w:val="nil"/>
                    <w:tr2bl w:val="nil"/>
                  </w:tcBorders>
                  <w:vAlign w:val="center"/>
                </w:tcPr>
                <w:p w14:paraId="3D8444F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25602D1B">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3.10</w:t>
                  </w:r>
                </w:p>
              </w:tc>
              <w:tc>
                <w:tcPr>
                  <w:tcW w:w="471" w:type="pct"/>
                  <w:tcBorders>
                    <w:tl2br w:val="nil"/>
                    <w:tr2bl w:val="nil"/>
                  </w:tcBorders>
                  <w:vAlign w:val="center"/>
                </w:tcPr>
                <w:p w14:paraId="51B69D4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3.11</w:t>
                  </w:r>
                </w:p>
              </w:tc>
              <w:tc>
                <w:tcPr>
                  <w:tcW w:w="471" w:type="pct"/>
                  <w:tcBorders>
                    <w:tl2br w:val="nil"/>
                    <w:tr2bl w:val="nil"/>
                  </w:tcBorders>
                  <w:vAlign w:val="center"/>
                </w:tcPr>
                <w:p w14:paraId="245452AB">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3.08</w:t>
                  </w:r>
                </w:p>
              </w:tc>
              <w:tc>
                <w:tcPr>
                  <w:tcW w:w="476" w:type="pct"/>
                  <w:tcBorders>
                    <w:tl2br w:val="nil"/>
                    <w:tr2bl w:val="nil"/>
                  </w:tcBorders>
                  <w:vAlign w:val="center"/>
                </w:tcPr>
                <w:p w14:paraId="062B6579">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3.12</w:t>
                  </w:r>
                </w:p>
              </w:tc>
              <w:tc>
                <w:tcPr>
                  <w:tcW w:w="472" w:type="pct"/>
                  <w:tcBorders>
                    <w:tl2br w:val="nil"/>
                    <w:tr2bl w:val="nil"/>
                  </w:tcBorders>
                  <w:vAlign w:val="center"/>
                </w:tcPr>
                <w:p w14:paraId="1761EC10">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3.10</w:t>
                  </w:r>
                </w:p>
              </w:tc>
              <w:tc>
                <w:tcPr>
                  <w:tcW w:w="472" w:type="pct"/>
                  <w:tcBorders>
                    <w:tl2br w:val="nil"/>
                    <w:tr2bl w:val="nil"/>
                  </w:tcBorders>
                  <w:vAlign w:val="center"/>
                </w:tcPr>
                <w:p w14:paraId="146423CD">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r>
            <w:tr w14:paraId="2EFA05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2256316E">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5D94F0F6">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401D7476">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悬浮物</w:t>
                  </w:r>
                </w:p>
              </w:tc>
              <w:tc>
                <w:tcPr>
                  <w:tcW w:w="470" w:type="pct"/>
                  <w:tcBorders>
                    <w:tl2br w:val="nil"/>
                    <w:tr2bl w:val="nil"/>
                  </w:tcBorders>
                  <w:vAlign w:val="center"/>
                </w:tcPr>
                <w:p w14:paraId="08517CF9">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14FEC03B">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38</w:t>
                  </w:r>
                </w:p>
              </w:tc>
              <w:tc>
                <w:tcPr>
                  <w:tcW w:w="471" w:type="pct"/>
                  <w:tcBorders>
                    <w:tl2br w:val="nil"/>
                    <w:tr2bl w:val="nil"/>
                  </w:tcBorders>
                  <w:vAlign w:val="center"/>
                </w:tcPr>
                <w:p w14:paraId="41620A4C">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43</w:t>
                  </w:r>
                </w:p>
              </w:tc>
              <w:tc>
                <w:tcPr>
                  <w:tcW w:w="471" w:type="pct"/>
                  <w:tcBorders>
                    <w:tl2br w:val="nil"/>
                    <w:tr2bl w:val="nil"/>
                  </w:tcBorders>
                  <w:vAlign w:val="center"/>
                </w:tcPr>
                <w:p w14:paraId="77B1CF6E">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40</w:t>
                  </w:r>
                </w:p>
              </w:tc>
              <w:tc>
                <w:tcPr>
                  <w:tcW w:w="476" w:type="pct"/>
                  <w:tcBorders>
                    <w:tl2br w:val="nil"/>
                    <w:tr2bl w:val="nil"/>
                  </w:tcBorders>
                  <w:vAlign w:val="center"/>
                </w:tcPr>
                <w:p w14:paraId="0CC3D999">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40</w:t>
                  </w:r>
                </w:p>
              </w:tc>
              <w:tc>
                <w:tcPr>
                  <w:tcW w:w="472" w:type="pct"/>
                  <w:tcBorders>
                    <w:tl2br w:val="nil"/>
                    <w:tr2bl w:val="nil"/>
                  </w:tcBorders>
                  <w:vAlign w:val="center"/>
                </w:tcPr>
                <w:p w14:paraId="0BF28ADA">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40</w:t>
                  </w:r>
                </w:p>
              </w:tc>
              <w:tc>
                <w:tcPr>
                  <w:tcW w:w="472" w:type="pct"/>
                  <w:tcBorders>
                    <w:tl2br w:val="nil"/>
                    <w:tr2bl w:val="nil"/>
                  </w:tcBorders>
                  <w:vAlign w:val="center"/>
                </w:tcPr>
                <w:p w14:paraId="788476DF">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r>
            <w:tr w14:paraId="460DF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72669633">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64C2F8B1">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657C04F9">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470" w:type="pct"/>
                  <w:tcBorders>
                    <w:tl2br w:val="nil"/>
                    <w:tr2bl w:val="nil"/>
                  </w:tcBorders>
                  <w:vAlign w:val="center"/>
                </w:tcPr>
                <w:p w14:paraId="28976BF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6AABF5EE">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0.06</w:t>
                  </w:r>
                </w:p>
              </w:tc>
              <w:tc>
                <w:tcPr>
                  <w:tcW w:w="471" w:type="pct"/>
                  <w:tcBorders>
                    <w:tl2br w:val="nil"/>
                    <w:tr2bl w:val="nil"/>
                  </w:tcBorders>
                  <w:vAlign w:val="center"/>
                </w:tcPr>
                <w:p w14:paraId="4705376C">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0.07</w:t>
                  </w:r>
                </w:p>
              </w:tc>
              <w:tc>
                <w:tcPr>
                  <w:tcW w:w="471" w:type="pct"/>
                  <w:tcBorders>
                    <w:tl2br w:val="nil"/>
                    <w:tr2bl w:val="nil"/>
                  </w:tcBorders>
                  <w:vAlign w:val="center"/>
                </w:tcPr>
                <w:p w14:paraId="68016CEA">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0.07</w:t>
                  </w:r>
                </w:p>
              </w:tc>
              <w:tc>
                <w:tcPr>
                  <w:tcW w:w="476" w:type="pct"/>
                  <w:tcBorders>
                    <w:tl2br w:val="nil"/>
                    <w:tr2bl w:val="nil"/>
                  </w:tcBorders>
                  <w:vAlign w:val="center"/>
                </w:tcPr>
                <w:p w14:paraId="77CAFF91">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0.09</w:t>
                  </w:r>
                </w:p>
              </w:tc>
              <w:tc>
                <w:tcPr>
                  <w:tcW w:w="472" w:type="pct"/>
                  <w:tcBorders>
                    <w:tl2br w:val="nil"/>
                    <w:tr2bl w:val="nil"/>
                  </w:tcBorders>
                  <w:vAlign w:val="center"/>
                </w:tcPr>
                <w:p w14:paraId="2EDA8CB0">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0.07</w:t>
                  </w:r>
                </w:p>
              </w:tc>
              <w:tc>
                <w:tcPr>
                  <w:tcW w:w="472" w:type="pct"/>
                  <w:tcBorders>
                    <w:tl2br w:val="nil"/>
                    <w:tr2bl w:val="nil"/>
                  </w:tcBorders>
                  <w:vAlign w:val="center"/>
                </w:tcPr>
                <w:p w14:paraId="74E08A36">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14:paraId="33746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4A5A46DE">
                  <w:pPr>
                    <w:bidi w:val="0"/>
                    <w:jc w:val="center"/>
                    <w:rPr>
                      <w:rFonts w:hint="default" w:ascii="Times New Roman" w:hAnsi="Times New Roman" w:eastAsia="宋体" w:cs="Times New Roman"/>
                      <w:color w:val="auto"/>
                      <w:sz w:val="21"/>
                      <w:szCs w:val="21"/>
                    </w:rPr>
                  </w:pPr>
                </w:p>
              </w:tc>
              <w:tc>
                <w:tcPr>
                  <w:tcW w:w="530" w:type="pct"/>
                  <w:vMerge w:val="restart"/>
                  <w:tcBorders>
                    <w:tl2br w:val="nil"/>
                    <w:tr2bl w:val="nil"/>
                  </w:tcBorders>
                  <w:vAlign w:val="center"/>
                </w:tcPr>
                <w:p w14:paraId="26030883">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2025.09.0</w:t>
                  </w:r>
                  <w:r>
                    <w:rPr>
                      <w:rFonts w:hint="eastAsia" w:ascii="Times New Roman" w:hAnsi="Times New Roman" w:eastAsia="宋体" w:cs="Times New Roman"/>
                      <w:color w:val="auto"/>
                      <w:sz w:val="21"/>
                      <w:szCs w:val="21"/>
                      <w:lang w:val="en-US" w:eastAsia="zh-CN"/>
                    </w:rPr>
                    <w:t>2</w:t>
                  </w:r>
                </w:p>
              </w:tc>
              <w:tc>
                <w:tcPr>
                  <w:tcW w:w="681" w:type="pct"/>
                  <w:tcBorders>
                    <w:tl2br w:val="nil"/>
                    <w:tr2bl w:val="nil"/>
                  </w:tcBorders>
                  <w:shd w:val="clear" w:color="auto" w:fill="auto"/>
                  <w:vAlign w:val="center"/>
                </w:tcPr>
                <w:p w14:paraId="275FCD8B">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470" w:type="pct"/>
                  <w:tcBorders>
                    <w:tl2br w:val="nil"/>
                    <w:tr2bl w:val="nil"/>
                  </w:tcBorders>
                  <w:vAlign w:val="center"/>
                </w:tcPr>
                <w:p w14:paraId="6D13EE19">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无量纲</w:t>
                  </w:r>
                </w:p>
              </w:tc>
              <w:tc>
                <w:tcPr>
                  <w:tcW w:w="470" w:type="pct"/>
                  <w:tcBorders>
                    <w:tl2br w:val="nil"/>
                    <w:tr2bl w:val="nil"/>
                  </w:tcBorders>
                  <w:vAlign w:val="center"/>
                </w:tcPr>
                <w:p w14:paraId="0F728E8E">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7.1</w:t>
                  </w:r>
                </w:p>
              </w:tc>
              <w:tc>
                <w:tcPr>
                  <w:tcW w:w="471" w:type="pct"/>
                  <w:tcBorders>
                    <w:tl2br w:val="nil"/>
                    <w:tr2bl w:val="nil"/>
                  </w:tcBorders>
                  <w:vAlign w:val="center"/>
                </w:tcPr>
                <w:p w14:paraId="75F00ACF">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7.1</w:t>
                  </w:r>
                </w:p>
              </w:tc>
              <w:tc>
                <w:tcPr>
                  <w:tcW w:w="471" w:type="pct"/>
                  <w:tcBorders>
                    <w:tl2br w:val="nil"/>
                    <w:tr2bl w:val="nil"/>
                  </w:tcBorders>
                  <w:vAlign w:val="center"/>
                </w:tcPr>
                <w:p w14:paraId="1DF3A80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7.2</w:t>
                  </w:r>
                </w:p>
              </w:tc>
              <w:tc>
                <w:tcPr>
                  <w:tcW w:w="476" w:type="pct"/>
                  <w:tcBorders>
                    <w:tl2br w:val="nil"/>
                    <w:tr2bl w:val="nil"/>
                  </w:tcBorders>
                  <w:vAlign w:val="center"/>
                </w:tcPr>
                <w:p w14:paraId="0449351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7.1</w:t>
                  </w:r>
                </w:p>
              </w:tc>
              <w:tc>
                <w:tcPr>
                  <w:tcW w:w="472" w:type="pct"/>
                  <w:tcBorders>
                    <w:tl2br w:val="nil"/>
                    <w:tr2bl w:val="nil"/>
                  </w:tcBorders>
                  <w:vAlign w:val="center"/>
                </w:tcPr>
                <w:p w14:paraId="62A07FDC">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472" w:type="pct"/>
                  <w:tcBorders>
                    <w:tl2br w:val="nil"/>
                    <w:tr2bl w:val="nil"/>
                  </w:tcBorders>
                  <w:vAlign w:val="center"/>
                </w:tcPr>
                <w:p w14:paraId="21E34CA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6~9</w:t>
                  </w:r>
                </w:p>
              </w:tc>
            </w:tr>
            <w:tr w14:paraId="79E92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0CD3388E">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6D97F1FF">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22BC24D4">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化学需氧量</w:t>
                  </w:r>
                </w:p>
              </w:tc>
              <w:tc>
                <w:tcPr>
                  <w:tcW w:w="470" w:type="pct"/>
                  <w:tcBorders>
                    <w:tl2br w:val="nil"/>
                    <w:tr2bl w:val="nil"/>
                  </w:tcBorders>
                  <w:vAlign w:val="center"/>
                </w:tcPr>
                <w:p w14:paraId="34DF9CAA">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5805789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189</w:t>
                  </w:r>
                </w:p>
              </w:tc>
              <w:tc>
                <w:tcPr>
                  <w:tcW w:w="471" w:type="pct"/>
                  <w:tcBorders>
                    <w:tl2br w:val="nil"/>
                    <w:tr2bl w:val="nil"/>
                  </w:tcBorders>
                  <w:vAlign w:val="center"/>
                </w:tcPr>
                <w:p w14:paraId="0764B8C1">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201</w:t>
                  </w:r>
                </w:p>
              </w:tc>
              <w:tc>
                <w:tcPr>
                  <w:tcW w:w="471" w:type="pct"/>
                  <w:tcBorders>
                    <w:tl2br w:val="nil"/>
                    <w:tr2bl w:val="nil"/>
                  </w:tcBorders>
                  <w:vAlign w:val="center"/>
                </w:tcPr>
                <w:p w14:paraId="4F99F7CF">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205</w:t>
                  </w:r>
                </w:p>
              </w:tc>
              <w:tc>
                <w:tcPr>
                  <w:tcW w:w="476" w:type="pct"/>
                  <w:tcBorders>
                    <w:tl2br w:val="nil"/>
                    <w:tr2bl w:val="nil"/>
                  </w:tcBorders>
                  <w:vAlign w:val="center"/>
                </w:tcPr>
                <w:p w14:paraId="2617E03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180</w:t>
                  </w:r>
                </w:p>
              </w:tc>
              <w:tc>
                <w:tcPr>
                  <w:tcW w:w="472" w:type="pct"/>
                  <w:tcBorders>
                    <w:tl2br w:val="nil"/>
                    <w:tr2bl w:val="nil"/>
                  </w:tcBorders>
                  <w:vAlign w:val="center"/>
                </w:tcPr>
                <w:p w14:paraId="3129DA41">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194</w:t>
                  </w:r>
                </w:p>
              </w:tc>
              <w:tc>
                <w:tcPr>
                  <w:tcW w:w="472" w:type="pct"/>
                  <w:tcBorders>
                    <w:tl2br w:val="nil"/>
                    <w:tr2bl w:val="nil"/>
                  </w:tcBorders>
                  <w:vAlign w:val="center"/>
                </w:tcPr>
                <w:p w14:paraId="508CB179">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500</w:t>
                  </w:r>
                </w:p>
              </w:tc>
            </w:tr>
            <w:tr w14:paraId="369A4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70EDFE21">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6A4DF7CC">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308CBC6B">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五日生化需氧量</w:t>
                  </w:r>
                </w:p>
              </w:tc>
              <w:tc>
                <w:tcPr>
                  <w:tcW w:w="470" w:type="pct"/>
                  <w:tcBorders>
                    <w:tl2br w:val="nil"/>
                    <w:tr2bl w:val="nil"/>
                  </w:tcBorders>
                  <w:vAlign w:val="center"/>
                </w:tcPr>
                <w:p w14:paraId="102D084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60282BA5">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56.6</w:t>
                  </w:r>
                </w:p>
              </w:tc>
              <w:tc>
                <w:tcPr>
                  <w:tcW w:w="471" w:type="pct"/>
                  <w:tcBorders>
                    <w:tl2br w:val="nil"/>
                    <w:tr2bl w:val="nil"/>
                  </w:tcBorders>
                  <w:vAlign w:val="center"/>
                </w:tcPr>
                <w:p w14:paraId="76CD0F9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52.2</w:t>
                  </w:r>
                </w:p>
              </w:tc>
              <w:tc>
                <w:tcPr>
                  <w:tcW w:w="471" w:type="pct"/>
                  <w:tcBorders>
                    <w:tl2br w:val="nil"/>
                    <w:tr2bl w:val="nil"/>
                  </w:tcBorders>
                  <w:vAlign w:val="center"/>
                </w:tcPr>
                <w:p w14:paraId="328DC4B9">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58.4</w:t>
                  </w:r>
                </w:p>
              </w:tc>
              <w:tc>
                <w:tcPr>
                  <w:tcW w:w="476" w:type="pct"/>
                  <w:tcBorders>
                    <w:tl2br w:val="nil"/>
                    <w:tr2bl w:val="nil"/>
                  </w:tcBorders>
                  <w:vAlign w:val="center"/>
                </w:tcPr>
                <w:p w14:paraId="634F88F6">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57.3</w:t>
                  </w:r>
                </w:p>
              </w:tc>
              <w:tc>
                <w:tcPr>
                  <w:tcW w:w="472" w:type="pct"/>
                  <w:tcBorders>
                    <w:tl2br w:val="nil"/>
                    <w:tr2bl w:val="nil"/>
                  </w:tcBorders>
                  <w:vAlign w:val="center"/>
                </w:tcPr>
                <w:p w14:paraId="6DBF1CBB">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56.1</w:t>
                  </w:r>
                </w:p>
              </w:tc>
              <w:tc>
                <w:tcPr>
                  <w:tcW w:w="472" w:type="pct"/>
                  <w:tcBorders>
                    <w:tl2br w:val="nil"/>
                    <w:tr2bl w:val="nil"/>
                  </w:tcBorders>
                  <w:vAlign w:val="center"/>
                </w:tcPr>
                <w:p w14:paraId="4D4A0AFC">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300</w:t>
                  </w:r>
                </w:p>
              </w:tc>
            </w:tr>
            <w:tr w14:paraId="4F370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2C6468D0">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65FC4926">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6D1A7E07">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470" w:type="pct"/>
                  <w:tcBorders>
                    <w:tl2br w:val="nil"/>
                    <w:tr2bl w:val="nil"/>
                  </w:tcBorders>
                  <w:vAlign w:val="center"/>
                </w:tcPr>
                <w:p w14:paraId="48C9FC3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368FBA8F">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30.4</w:t>
                  </w:r>
                </w:p>
              </w:tc>
              <w:tc>
                <w:tcPr>
                  <w:tcW w:w="471" w:type="pct"/>
                  <w:tcBorders>
                    <w:tl2br w:val="nil"/>
                    <w:tr2bl w:val="nil"/>
                  </w:tcBorders>
                  <w:vAlign w:val="center"/>
                </w:tcPr>
                <w:p w14:paraId="6422F116">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30.2</w:t>
                  </w:r>
                </w:p>
              </w:tc>
              <w:tc>
                <w:tcPr>
                  <w:tcW w:w="471" w:type="pct"/>
                  <w:tcBorders>
                    <w:tl2br w:val="nil"/>
                    <w:tr2bl w:val="nil"/>
                  </w:tcBorders>
                  <w:vAlign w:val="center"/>
                </w:tcPr>
                <w:p w14:paraId="5FA01435">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30.6</w:t>
                  </w:r>
                </w:p>
              </w:tc>
              <w:tc>
                <w:tcPr>
                  <w:tcW w:w="476" w:type="pct"/>
                  <w:tcBorders>
                    <w:tl2br w:val="nil"/>
                    <w:tr2bl w:val="nil"/>
                  </w:tcBorders>
                  <w:vAlign w:val="center"/>
                </w:tcPr>
                <w:p w14:paraId="5AD1768C">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29.8</w:t>
                  </w:r>
                </w:p>
              </w:tc>
              <w:tc>
                <w:tcPr>
                  <w:tcW w:w="472" w:type="pct"/>
                  <w:tcBorders>
                    <w:tl2br w:val="nil"/>
                    <w:tr2bl w:val="nil"/>
                  </w:tcBorders>
                  <w:vAlign w:val="center"/>
                </w:tcPr>
                <w:p w14:paraId="1AED1005">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30.2</w:t>
                  </w:r>
                </w:p>
              </w:tc>
              <w:tc>
                <w:tcPr>
                  <w:tcW w:w="472" w:type="pct"/>
                  <w:tcBorders>
                    <w:tl2br w:val="nil"/>
                    <w:tr2bl w:val="nil"/>
                  </w:tcBorders>
                  <w:vAlign w:val="center"/>
                </w:tcPr>
                <w:p w14:paraId="7A15764A">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45</w:t>
                  </w:r>
                </w:p>
              </w:tc>
            </w:tr>
            <w:tr w14:paraId="76BA9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5ED2F512">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13120E56">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2D771E1A">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总磷</w:t>
                  </w:r>
                </w:p>
              </w:tc>
              <w:tc>
                <w:tcPr>
                  <w:tcW w:w="470" w:type="pct"/>
                  <w:tcBorders>
                    <w:tl2br w:val="nil"/>
                    <w:tr2bl w:val="nil"/>
                  </w:tcBorders>
                  <w:vAlign w:val="center"/>
                </w:tcPr>
                <w:p w14:paraId="41EEE43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788CDFB0">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3.15</w:t>
                  </w:r>
                </w:p>
              </w:tc>
              <w:tc>
                <w:tcPr>
                  <w:tcW w:w="471" w:type="pct"/>
                  <w:tcBorders>
                    <w:tl2br w:val="nil"/>
                    <w:tr2bl w:val="nil"/>
                  </w:tcBorders>
                  <w:vAlign w:val="center"/>
                </w:tcPr>
                <w:p w14:paraId="589814B5">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3.07</w:t>
                  </w:r>
                </w:p>
              </w:tc>
              <w:tc>
                <w:tcPr>
                  <w:tcW w:w="471" w:type="pct"/>
                  <w:tcBorders>
                    <w:tl2br w:val="nil"/>
                    <w:tr2bl w:val="nil"/>
                  </w:tcBorders>
                  <w:vAlign w:val="center"/>
                </w:tcPr>
                <w:p w14:paraId="7646639C">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3.14</w:t>
                  </w:r>
                </w:p>
              </w:tc>
              <w:tc>
                <w:tcPr>
                  <w:tcW w:w="476" w:type="pct"/>
                  <w:tcBorders>
                    <w:tl2br w:val="nil"/>
                    <w:tr2bl w:val="nil"/>
                  </w:tcBorders>
                  <w:vAlign w:val="center"/>
                </w:tcPr>
                <w:p w14:paraId="6EE37359">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3.12</w:t>
                  </w:r>
                </w:p>
              </w:tc>
              <w:tc>
                <w:tcPr>
                  <w:tcW w:w="472" w:type="pct"/>
                  <w:tcBorders>
                    <w:tl2br w:val="nil"/>
                    <w:tr2bl w:val="nil"/>
                  </w:tcBorders>
                  <w:vAlign w:val="center"/>
                </w:tcPr>
                <w:p w14:paraId="537CE4E7">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3.12</w:t>
                  </w:r>
                </w:p>
              </w:tc>
              <w:tc>
                <w:tcPr>
                  <w:tcW w:w="472" w:type="pct"/>
                  <w:tcBorders>
                    <w:tl2br w:val="nil"/>
                    <w:tr2bl w:val="nil"/>
                  </w:tcBorders>
                  <w:vAlign w:val="center"/>
                </w:tcPr>
                <w:p w14:paraId="68D34CC5">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w:t>
                  </w:r>
                </w:p>
              </w:tc>
            </w:tr>
            <w:tr w14:paraId="6DCE9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106F425E">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52DC707A">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32C807D8">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悬浮物</w:t>
                  </w:r>
                </w:p>
              </w:tc>
              <w:tc>
                <w:tcPr>
                  <w:tcW w:w="470" w:type="pct"/>
                  <w:tcBorders>
                    <w:tl2br w:val="nil"/>
                    <w:tr2bl w:val="nil"/>
                  </w:tcBorders>
                  <w:vAlign w:val="center"/>
                </w:tcPr>
                <w:p w14:paraId="44941EEE">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0553982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36</w:t>
                  </w:r>
                </w:p>
              </w:tc>
              <w:tc>
                <w:tcPr>
                  <w:tcW w:w="471" w:type="pct"/>
                  <w:tcBorders>
                    <w:tl2br w:val="nil"/>
                    <w:tr2bl w:val="nil"/>
                  </w:tcBorders>
                  <w:vAlign w:val="center"/>
                </w:tcPr>
                <w:p w14:paraId="6F793B4A">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39</w:t>
                  </w:r>
                </w:p>
              </w:tc>
              <w:tc>
                <w:tcPr>
                  <w:tcW w:w="471" w:type="pct"/>
                  <w:tcBorders>
                    <w:tl2br w:val="nil"/>
                    <w:tr2bl w:val="nil"/>
                  </w:tcBorders>
                  <w:vAlign w:val="center"/>
                </w:tcPr>
                <w:p w14:paraId="404A134A">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40</w:t>
                  </w:r>
                </w:p>
              </w:tc>
              <w:tc>
                <w:tcPr>
                  <w:tcW w:w="476" w:type="pct"/>
                  <w:tcBorders>
                    <w:tl2br w:val="nil"/>
                    <w:tr2bl w:val="nil"/>
                  </w:tcBorders>
                  <w:vAlign w:val="center"/>
                </w:tcPr>
                <w:p w14:paraId="2535DEA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42</w:t>
                  </w:r>
                </w:p>
              </w:tc>
              <w:tc>
                <w:tcPr>
                  <w:tcW w:w="472" w:type="pct"/>
                  <w:tcBorders>
                    <w:tl2br w:val="nil"/>
                    <w:tr2bl w:val="nil"/>
                  </w:tcBorders>
                  <w:vAlign w:val="center"/>
                </w:tcPr>
                <w:p w14:paraId="5AE25A2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39</w:t>
                  </w:r>
                </w:p>
              </w:tc>
              <w:tc>
                <w:tcPr>
                  <w:tcW w:w="472" w:type="pct"/>
                  <w:tcBorders>
                    <w:tl2br w:val="nil"/>
                    <w:tr2bl w:val="nil"/>
                  </w:tcBorders>
                  <w:vAlign w:val="center"/>
                </w:tcPr>
                <w:p w14:paraId="62BD92CF">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400</w:t>
                  </w:r>
                </w:p>
              </w:tc>
            </w:tr>
            <w:tr w14:paraId="1339F2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5BBFF8B4">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5CA13EA8">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0C459D56">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470" w:type="pct"/>
                  <w:tcBorders>
                    <w:tl2br w:val="nil"/>
                    <w:tr2bl w:val="nil"/>
                  </w:tcBorders>
                  <w:vAlign w:val="center"/>
                </w:tcPr>
                <w:p w14:paraId="4E9ABBAC">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7DD5C66F">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0.11</w:t>
                  </w:r>
                </w:p>
              </w:tc>
              <w:tc>
                <w:tcPr>
                  <w:tcW w:w="471" w:type="pct"/>
                  <w:tcBorders>
                    <w:tl2br w:val="nil"/>
                    <w:tr2bl w:val="nil"/>
                  </w:tcBorders>
                  <w:vAlign w:val="center"/>
                </w:tcPr>
                <w:p w14:paraId="030FCE20">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0.07</w:t>
                  </w:r>
                </w:p>
              </w:tc>
              <w:tc>
                <w:tcPr>
                  <w:tcW w:w="471" w:type="pct"/>
                  <w:tcBorders>
                    <w:tl2br w:val="nil"/>
                    <w:tr2bl w:val="nil"/>
                  </w:tcBorders>
                  <w:vAlign w:val="center"/>
                </w:tcPr>
                <w:p w14:paraId="2F149F26">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0.09</w:t>
                  </w:r>
                </w:p>
              </w:tc>
              <w:tc>
                <w:tcPr>
                  <w:tcW w:w="476" w:type="pct"/>
                  <w:tcBorders>
                    <w:tl2br w:val="nil"/>
                    <w:tr2bl w:val="nil"/>
                  </w:tcBorders>
                  <w:vAlign w:val="center"/>
                </w:tcPr>
                <w:p w14:paraId="7845AA83">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0.11</w:t>
                  </w:r>
                </w:p>
              </w:tc>
              <w:tc>
                <w:tcPr>
                  <w:tcW w:w="472" w:type="pct"/>
                  <w:tcBorders>
                    <w:tl2br w:val="nil"/>
                    <w:tr2bl w:val="nil"/>
                  </w:tcBorders>
                  <w:vAlign w:val="center"/>
                </w:tcPr>
                <w:p w14:paraId="256B7941">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0.10</w:t>
                  </w:r>
                </w:p>
              </w:tc>
              <w:tc>
                <w:tcPr>
                  <w:tcW w:w="472" w:type="pct"/>
                  <w:tcBorders>
                    <w:tl2br w:val="nil"/>
                    <w:tr2bl w:val="nil"/>
                  </w:tcBorders>
                  <w:vAlign w:val="center"/>
                </w:tcPr>
                <w:p w14:paraId="6E019FC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100</w:t>
                  </w:r>
                </w:p>
              </w:tc>
            </w:tr>
          </w:tbl>
          <w:p w14:paraId="22FE4E41">
            <w:pPr>
              <w:spacing w:line="360" w:lineRule="auto"/>
              <w:ind w:firstLine="48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3、噪声</w:t>
            </w:r>
          </w:p>
          <w:p w14:paraId="7B77D956">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项目噪声主要为设备运行噪声（包括柴油发电机等）、校园生活噪声。</w:t>
            </w:r>
          </w:p>
          <w:p w14:paraId="42102A3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1）现有降噪措施</w:t>
            </w:r>
          </w:p>
          <w:p w14:paraId="73B318F2">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a.柴油发电机选型上使用国内先进的低噪声设备。</w:t>
            </w:r>
          </w:p>
          <w:p w14:paraId="4479E5C1">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b.柴油发电机</w:t>
            </w:r>
            <w:r>
              <w:rPr>
                <w:rFonts w:hint="eastAsia" w:ascii="Times New Roman" w:hAnsi="Times New Roman" w:eastAsia="宋体" w:cs="Times New Roman"/>
                <w:color w:val="auto"/>
                <w:sz w:val="24"/>
                <w:szCs w:val="24"/>
                <w:highlight w:val="none"/>
                <w:lang w:val="en-US" w:eastAsia="zh-CN"/>
              </w:rPr>
              <w:t>地下</w:t>
            </w:r>
            <w:r>
              <w:rPr>
                <w:rFonts w:hint="default" w:ascii="Times New Roman" w:hAnsi="Times New Roman" w:eastAsia="宋体" w:cs="Times New Roman"/>
                <w:color w:val="auto"/>
                <w:sz w:val="24"/>
                <w:szCs w:val="24"/>
                <w:highlight w:val="none"/>
                <w:lang w:val="en-US" w:eastAsia="zh-CN"/>
              </w:rPr>
              <w:t>室内设置，利用构筑物隔声减少对外环影响。</w:t>
            </w:r>
          </w:p>
          <w:p w14:paraId="7BF986B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c.设备定期调试维护保养。</w:t>
            </w:r>
          </w:p>
          <w:p w14:paraId="749283C0">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d.加强学生管理，尽量避免在校区内</w:t>
            </w:r>
            <w:r>
              <w:rPr>
                <w:rFonts w:hint="eastAsia" w:ascii="Times New Roman" w:hAnsi="Times New Roman" w:eastAsia="宋体" w:cs="Times New Roman"/>
                <w:color w:val="auto"/>
                <w:sz w:val="24"/>
                <w:szCs w:val="24"/>
                <w:highlight w:val="none"/>
                <w:lang w:val="en-US" w:eastAsia="zh-CN"/>
              </w:rPr>
              <w:t>高声</w:t>
            </w:r>
            <w:r>
              <w:rPr>
                <w:rFonts w:hint="default" w:ascii="Times New Roman" w:hAnsi="Times New Roman" w:eastAsia="宋体" w:cs="Times New Roman"/>
                <w:color w:val="auto"/>
                <w:sz w:val="24"/>
                <w:szCs w:val="24"/>
                <w:highlight w:val="none"/>
                <w:lang w:val="en-US" w:eastAsia="zh-CN"/>
              </w:rPr>
              <w:t>喧哗</w:t>
            </w:r>
            <w:r>
              <w:rPr>
                <w:rFonts w:hint="eastAsia" w:ascii="Times New Roman" w:hAnsi="Times New Roman" w:eastAsia="宋体" w:cs="Times New Roman"/>
                <w:color w:val="auto"/>
                <w:sz w:val="24"/>
                <w:szCs w:val="24"/>
                <w:highlight w:val="none"/>
                <w:lang w:val="en-US" w:eastAsia="zh-CN"/>
              </w:rPr>
              <w:t>。</w:t>
            </w:r>
          </w:p>
          <w:p w14:paraId="3F684D9B">
            <w:pPr>
              <w:spacing w:line="360" w:lineRule="auto"/>
              <w:ind w:firstLine="48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本次评价</w:t>
            </w:r>
            <w:r>
              <w:rPr>
                <w:rFonts w:hint="eastAsia" w:ascii="Times New Roman" w:hAnsi="Times New Roman" w:cs="Times New Roman"/>
                <w:color w:val="auto"/>
                <w:sz w:val="24"/>
                <w:szCs w:val="24"/>
                <w:highlight w:val="none"/>
                <w:lang w:val="en-US" w:eastAsia="zh-CN"/>
              </w:rPr>
              <w:t>委托四川海德汇环保科技有限公司于</w:t>
            </w:r>
            <w:r>
              <w:rPr>
                <w:rFonts w:hint="eastAsia" w:ascii="Times New Roman" w:hAnsi="Times New Roman" w:cs="Times New Roman"/>
                <w:color w:val="auto"/>
                <w:sz w:val="24"/>
                <w:szCs w:val="24"/>
                <w:highlight w:val="none"/>
              </w:rPr>
              <w:t>202</w:t>
            </w:r>
            <w:r>
              <w:rPr>
                <w:rFonts w:hint="eastAsia" w:ascii="Times New Roman" w:hAnsi="Times New Roman" w:cs="Times New Roman"/>
                <w:color w:val="auto"/>
                <w:sz w:val="24"/>
                <w:szCs w:val="24"/>
                <w:highlight w:val="none"/>
                <w:lang w:val="en-US" w:eastAsia="zh-CN"/>
              </w:rPr>
              <w:t>5</w:t>
            </w:r>
            <w:r>
              <w:rPr>
                <w:rFonts w:hint="eastAsia" w:ascii="Times New Roman" w:hAnsi="Times New Roman"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9</w:t>
            </w:r>
            <w:r>
              <w:rPr>
                <w:rFonts w:hint="eastAsia" w:ascii="Times New Roman" w:hAnsi="Times New Roman" w:cs="Times New Roman"/>
                <w:color w:val="auto"/>
                <w:sz w:val="24"/>
                <w:szCs w:val="24"/>
                <w:highlight w:val="none"/>
              </w:rPr>
              <w:t>月</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rPr>
              <w:t>日</w:t>
            </w:r>
            <w:r>
              <w:rPr>
                <w:rFonts w:hint="eastAsia" w:ascii="Times New Roman" w:hAnsi="Times New Roman" w:cs="Times New Roman"/>
                <w:color w:val="auto"/>
                <w:sz w:val="24"/>
                <w:szCs w:val="24"/>
                <w:highlight w:val="none"/>
                <w:lang w:val="en-US" w:eastAsia="zh-CN"/>
              </w:rPr>
              <w:t>~9月2日</w:t>
            </w:r>
            <w:r>
              <w:rPr>
                <w:rFonts w:hint="eastAsia" w:ascii="Times New Roman" w:hAnsi="Times New Roman" w:cs="Times New Roman"/>
                <w:color w:val="auto"/>
                <w:sz w:val="24"/>
                <w:szCs w:val="24"/>
                <w:highlight w:val="none"/>
              </w:rPr>
              <w:t>对</w:t>
            </w:r>
            <w:r>
              <w:rPr>
                <w:rFonts w:hint="eastAsia" w:ascii="Times New Roman" w:hAnsi="Times New Roman" w:cs="Times New Roman"/>
                <w:color w:val="auto"/>
                <w:sz w:val="24"/>
                <w:szCs w:val="24"/>
                <w:highlight w:val="none"/>
                <w:lang w:val="en-US" w:eastAsia="zh-CN"/>
              </w:rPr>
              <w:t>马尔康市第二中学</w:t>
            </w:r>
            <w:r>
              <w:rPr>
                <w:rFonts w:hint="eastAsia" w:ascii="Times New Roman" w:hAnsi="Times New Roman" w:cs="Times New Roman"/>
                <w:color w:val="auto"/>
                <w:sz w:val="24"/>
                <w:szCs w:val="24"/>
                <w:highlight w:val="none"/>
              </w:rPr>
              <w:t>厂界</w:t>
            </w:r>
            <w:r>
              <w:rPr>
                <w:rFonts w:hint="eastAsia" w:ascii="Times New Roman" w:hAnsi="Times New Roman" w:cs="Times New Roman"/>
                <w:color w:val="auto"/>
                <w:sz w:val="24"/>
                <w:szCs w:val="24"/>
                <w:highlight w:val="none"/>
                <w:lang w:val="en-US" w:eastAsia="zh-CN"/>
              </w:rPr>
              <w:t>噪声进行</w:t>
            </w:r>
            <w:r>
              <w:rPr>
                <w:rFonts w:hint="eastAsia" w:ascii="Times New Roman" w:hAnsi="Times New Roman" w:cs="Times New Roman"/>
                <w:color w:val="auto"/>
                <w:sz w:val="24"/>
                <w:szCs w:val="24"/>
                <w:highlight w:val="none"/>
              </w:rPr>
              <w:t>监测（见附件）。</w:t>
            </w:r>
          </w:p>
          <w:p w14:paraId="4F4E3EE3">
            <w:pPr>
              <w:spacing w:line="360" w:lineRule="auto"/>
              <w:ind w:firstLine="48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马尔康市第二中学</w:t>
            </w:r>
            <w:r>
              <w:rPr>
                <w:rFonts w:hint="eastAsia" w:ascii="Times New Roman" w:hAnsi="Times New Roman" w:cs="Times New Roman"/>
                <w:color w:val="auto"/>
                <w:sz w:val="24"/>
                <w:szCs w:val="24"/>
                <w:highlight w:val="none"/>
              </w:rPr>
              <w:t>厂界噪声现状监测结果如下表所示。</w:t>
            </w:r>
          </w:p>
          <w:p w14:paraId="15E7E6C4">
            <w:pPr>
              <w:pStyle w:val="114"/>
              <w:bidi w:val="0"/>
              <w:rPr>
                <w:color w:val="auto"/>
              </w:rPr>
            </w:pPr>
            <w:r>
              <w:rPr>
                <w:rFonts w:hint="eastAsia"/>
                <w:color w:val="auto"/>
                <w:lang w:val="en-US" w:eastAsia="zh-CN"/>
              </w:rPr>
              <w:t>厂界</w:t>
            </w:r>
            <w:r>
              <w:rPr>
                <w:rFonts w:hint="eastAsia"/>
                <w:color w:val="auto"/>
              </w:rPr>
              <w:t>现状噪声监测结果</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1260"/>
              <w:gridCol w:w="3141"/>
              <w:gridCol w:w="1653"/>
              <w:gridCol w:w="1625"/>
            </w:tblGrid>
            <w:tr w14:paraId="2826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59" w:type="pct"/>
                  <w:vMerge w:val="restart"/>
                  <w:tcBorders>
                    <w:top w:val="single" w:color="auto" w:sz="12" w:space="0"/>
                  </w:tcBorders>
                  <w:vAlign w:val="center"/>
                </w:tcPr>
                <w:p w14:paraId="214CF36A">
                  <w:pPr>
                    <w:jc w:val="center"/>
                    <w:rPr>
                      <w:rFonts w:hint="default" w:ascii="Times New Roman" w:hAnsi="Times New Roman" w:cs="Times New Roman" w:eastAsiaTheme="minorEastAsia"/>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检测日期</w:t>
                  </w:r>
                </w:p>
              </w:tc>
              <w:tc>
                <w:tcPr>
                  <w:tcW w:w="679" w:type="pct"/>
                  <w:vMerge w:val="restart"/>
                  <w:tcBorders>
                    <w:top w:val="single" w:color="auto" w:sz="12" w:space="0"/>
                  </w:tcBorders>
                  <w:vAlign w:val="center"/>
                </w:tcPr>
                <w:p w14:paraId="53A2C424">
                  <w:pPr>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编号</w:t>
                  </w:r>
                </w:p>
              </w:tc>
              <w:tc>
                <w:tcPr>
                  <w:tcW w:w="1693" w:type="pct"/>
                  <w:vMerge w:val="restart"/>
                  <w:tcBorders>
                    <w:top w:val="single" w:color="auto" w:sz="12" w:space="0"/>
                  </w:tcBorders>
                  <w:vAlign w:val="center"/>
                </w:tcPr>
                <w:p w14:paraId="2E1C26D0">
                  <w:pPr>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监测点位</w:t>
                  </w:r>
                </w:p>
              </w:tc>
              <w:tc>
                <w:tcPr>
                  <w:tcW w:w="891" w:type="pct"/>
                  <w:tcBorders>
                    <w:top w:val="single" w:color="auto" w:sz="12" w:space="0"/>
                  </w:tcBorders>
                  <w:vAlign w:val="center"/>
                </w:tcPr>
                <w:p w14:paraId="42CBEF27">
                  <w:pPr>
                    <w:jc w:val="center"/>
                    <w:rPr>
                      <w:rFonts w:hint="default" w:ascii="Times New Roman" w:hAnsi="Times New Roman" w:cs="Times New Roman" w:eastAsiaTheme="minorEastAsia"/>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监测结果</w:t>
                  </w:r>
                </w:p>
              </w:tc>
              <w:tc>
                <w:tcPr>
                  <w:tcW w:w="876" w:type="pct"/>
                  <w:tcBorders>
                    <w:top w:val="single" w:color="auto" w:sz="12" w:space="0"/>
                    <w:right w:val="nil"/>
                  </w:tcBorders>
                  <w:vAlign w:val="center"/>
                </w:tcPr>
                <w:p w14:paraId="2E994B48">
                  <w:pPr>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标准限值</w:t>
                  </w:r>
                </w:p>
              </w:tc>
            </w:tr>
            <w:tr w14:paraId="381B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continue"/>
                  <w:vAlign w:val="center"/>
                </w:tcPr>
                <w:p w14:paraId="58DADFF0">
                  <w:pPr>
                    <w:jc w:val="center"/>
                    <w:rPr>
                      <w:rFonts w:ascii="Times New Roman" w:hAnsi="Times New Roman" w:cs="Times New Roman"/>
                      <w:b/>
                      <w:bCs/>
                      <w:color w:val="auto"/>
                      <w:szCs w:val="21"/>
                      <w:highlight w:val="none"/>
                    </w:rPr>
                  </w:pPr>
                </w:p>
              </w:tc>
              <w:tc>
                <w:tcPr>
                  <w:tcW w:w="679" w:type="pct"/>
                  <w:vMerge w:val="continue"/>
                  <w:tcBorders>
                    <w:left w:val="nil"/>
                  </w:tcBorders>
                  <w:vAlign w:val="center"/>
                </w:tcPr>
                <w:p w14:paraId="0C2E7771">
                  <w:pPr>
                    <w:jc w:val="center"/>
                    <w:rPr>
                      <w:rFonts w:ascii="Times New Roman" w:hAnsi="Times New Roman" w:cs="Times New Roman"/>
                      <w:b/>
                      <w:bCs/>
                      <w:color w:val="auto"/>
                      <w:szCs w:val="21"/>
                      <w:highlight w:val="none"/>
                    </w:rPr>
                  </w:pPr>
                </w:p>
              </w:tc>
              <w:tc>
                <w:tcPr>
                  <w:tcW w:w="1693" w:type="pct"/>
                  <w:vMerge w:val="continue"/>
                  <w:vAlign w:val="center"/>
                </w:tcPr>
                <w:p w14:paraId="5221F4F7">
                  <w:pPr>
                    <w:jc w:val="center"/>
                    <w:rPr>
                      <w:rFonts w:ascii="Times New Roman" w:hAnsi="Times New Roman" w:cs="Times New Roman"/>
                      <w:b/>
                      <w:bCs/>
                      <w:color w:val="auto"/>
                      <w:szCs w:val="21"/>
                      <w:highlight w:val="none"/>
                    </w:rPr>
                  </w:pPr>
                </w:p>
              </w:tc>
              <w:tc>
                <w:tcPr>
                  <w:tcW w:w="891" w:type="pct"/>
                  <w:vAlign w:val="center"/>
                </w:tcPr>
                <w:p w14:paraId="12D67705">
                  <w:pPr>
                    <w:jc w:val="center"/>
                    <w:rPr>
                      <w:rFonts w:hint="eastAsia" w:ascii="Times New Roman" w:hAnsi="Times New Roman" w:cs="Times New Roman" w:eastAsiaTheme="minorEastAsia"/>
                      <w:b/>
                      <w:bCs/>
                      <w:color w:val="auto"/>
                      <w:szCs w:val="21"/>
                      <w:highlight w:val="none"/>
                      <w:lang w:eastAsia="zh-CN"/>
                    </w:rPr>
                  </w:pPr>
                  <w:r>
                    <w:rPr>
                      <w:rFonts w:ascii="Times New Roman" w:hAnsi="Times New Roman" w:cs="Times New Roman"/>
                      <w:b/>
                      <w:bCs/>
                      <w:color w:val="auto"/>
                      <w:szCs w:val="21"/>
                      <w:highlight w:val="none"/>
                    </w:rPr>
                    <w:t>昼间</w:t>
                  </w:r>
                  <w:r>
                    <w:rPr>
                      <w:rFonts w:hint="eastAsia" w:ascii="Times New Roman" w:hAnsi="Times New Roman" w:cs="Times New Roman"/>
                      <w:b/>
                      <w:bCs/>
                      <w:color w:val="auto"/>
                      <w:szCs w:val="21"/>
                      <w:highlight w:val="none"/>
                      <w:lang w:eastAsia="zh-CN"/>
                    </w:rPr>
                    <w:t>（</w:t>
                  </w:r>
                  <w:r>
                    <w:rPr>
                      <w:rFonts w:hint="eastAsia" w:ascii="Times New Roman" w:hAnsi="Times New Roman" w:cs="Times New Roman"/>
                      <w:b/>
                      <w:bCs/>
                      <w:color w:val="auto"/>
                      <w:szCs w:val="21"/>
                      <w:highlight w:val="none"/>
                      <w:lang w:val="en-US" w:eastAsia="zh-CN"/>
                    </w:rPr>
                    <w:t>dB</w:t>
                  </w:r>
                  <w:r>
                    <w:rPr>
                      <w:rFonts w:hint="eastAsia" w:ascii="Times New Roman" w:hAnsi="Times New Roman" w:cs="Times New Roman"/>
                      <w:b/>
                      <w:bCs/>
                      <w:color w:val="auto"/>
                      <w:szCs w:val="21"/>
                      <w:highlight w:val="none"/>
                      <w:lang w:eastAsia="zh-CN"/>
                    </w:rPr>
                    <w:t>）</w:t>
                  </w:r>
                </w:p>
              </w:tc>
              <w:tc>
                <w:tcPr>
                  <w:tcW w:w="876" w:type="pct"/>
                  <w:vAlign w:val="center"/>
                </w:tcPr>
                <w:p w14:paraId="4A0D577B">
                  <w:pPr>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昼间</w:t>
                  </w:r>
                  <w:r>
                    <w:rPr>
                      <w:rFonts w:hint="eastAsia" w:ascii="Times New Roman" w:hAnsi="Times New Roman" w:cs="Times New Roman"/>
                      <w:b/>
                      <w:bCs/>
                      <w:color w:val="auto"/>
                      <w:szCs w:val="21"/>
                      <w:highlight w:val="none"/>
                      <w:lang w:eastAsia="zh-CN"/>
                    </w:rPr>
                    <w:t>（</w:t>
                  </w:r>
                  <w:r>
                    <w:rPr>
                      <w:rFonts w:hint="eastAsia" w:ascii="Times New Roman" w:hAnsi="Times New Roman" w:cs="Times New Roman"/>
                      <w:b/>
                      <w:bCs/>
                      <w:color w:val="auto"/>
                      <w:szCs w:val="21"/>
                      <w:highlight w:val="none"/>
                      <w:lang w:val="en-US" w:eastAsia="zh-CN"/>
                    </w:rPr>
                    <w:t>dB</w:t>
                  </w:r>
                  <w:r>
                    <w:rPr>
                      <w:rFonts w:hint="eastAsia" w:ascii="Times New Roman" w:hAnsi="Times New Roman" w:cs="Times New Roman"/>
                      <w:b/>
                      <w:bCs/>
                      <w:color w:val="auto"/>
                      <w:szCs w:val="21"/>
                      <w:highlight w:val="none"/>
                      <w:lang w:eastAsia="zh-CN"/>
                    </w:rPr>
                    <w:t>）</w:t>
                  </w:r>
                </w:p>
              </w:tc>
            </w:tr>
            <w:tr w14:paraId="6FCD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restart"/>
                  <w:tcBorders>
                    <w:left w:val="nil"/>
                  </w:tcBorders>
                  <w:vAlign w:val="center"/>
                </w:tcPr>
                <w:p w14:paraId="2A5372FB">
                  <w:pPr>
                    <w:jc w:val="center"/>
                    <w:rPr>
                      <w:rFonts w:hint="default"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2025.09.01</w:t>
                  </w:r>
                </w:p>
              </w:tc>
              <w:tc>
                <w:tcPr>
                  <w:tcW w:w="679" w:type="pct"/>
                  <w:tcBorders>
                    <w:left w:val="nil"/>
                  </w:tcBorders>
                  <w:vAlign w:val="center"/>
                </w:tcPr>
                <w:p w14:paraId="583AE21D">
                  <w:pPr>
                    <w:jc w:val="center"/>
                    <w:rPr>
                      <w:rFonts w:ascii="Times New Roman" w:hAnsi="Times New Roman" w:cs="Times New Roman"/>
                      <w:bCs/>
                      <w:color w:val="auto"/>
                      <w:szCs w:val="21"/>
                      <w:highlight w:val="none"/>
                    </w:rPr>
                  </w:pPr>
                  <w:r>
                    <w:rPr>
                      <w:rFonts w:hint="eastAsia" w:ascii="Times New Roman" w:hAnsi="Times New Roman" w:cs="Times New Roman"/>
                      <w:bCs/>
                      <w:color w:val="auto"/>
                      <w:szCs w:val="21"/>
                      <w:highlight w:val="none"/>
                    </w:rPr>
                    <w:t>1#</w:t>
                  </w:r>
                </w:p>
              </w:tc>
              <w:tc>
                <w:tcPr>
                  <w:tcW w:w="1693" w:type="pct"/>
                  <w:vAlign w:val="center"/>
                </w:tcPr>
                <w:p w14:paraId="0EE0A573">
                  <w:pPr>
                    <w:jc w:val="center"/>
                    <w:rPr>
                      <w:rFonts w:ascii="Times New Roman" w:hAnsi="Times New Roman" w:cs="Times New Roman"/>
                      <w:bCs/>
                      <w:color w:val="auto"/>
                      <w:szCs w:val="21"/>
                      <w:highlight w:val="none"/>
                    </w:rPr>
                  </w:pPr>
                  <w:r>
                    <w:rPr>
                      <w:rFonts w:hint="eastAsia" w:ascii="Times New Roman" w:hAnsi="Times New Roman" w:eastAsia="宋体" w:cs="Times New Roman"/>
                      <w:color w:val="auto"/>
                      <w:kern w:val="2"/>
                      <w:sz w:val="21"/>
                      <w:szCs w:val="24"/>
                      <w:lang w:val="en-US" w:eastAsia="zh-CN" w:bidi="ar-SA"/>
                    </w:rPr>
                    <w:t>厂界外西南侧1m处</w:t>
                  </w:r>
                </w:p>
              </w:tc>
              <w:tc>
                <w:tcPr>
                  <w:tcW w:w="1653" w:type="dxa"/>
                  <w:vAlign w:val="center"/>
                </w:tcPr>
                <w:p w14:paraId="16D44FA9">
                  <w:pPr>
                    <w:jc w:val="center"/>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eastAsia="宋体" w:cs="Times New Roman"/>
                      <w:bCs/>
                      <w:color w:val="auto"/>
                      <w:kern w:val="2"/>
                      <w:sz w:val="21"/>
                      <w:szCs w:val="21"/>
                      <w:lang w:val="en-US" w:eastAsia="zh-CN" w:bidi="ar-SA"/>
                    </w:rPr>
                    <w:t>52</w:t>
                  </w:r>
                </w:p>
              </w:tc>
              <w:tc>
                <w:tcPr>
                  <w:tcW w:w="876" w:type="pct"/>
                  <w:vAlign w:val="center"/>
                </w:tcPr>
                <w:p w14:paraId="2DA7E0F6">
                  <w:pPr>
                    <w:jc w:val="center"/>
                    <w:rPr>
                      <w:rFonts w:ascii="Times New Roman" w:hAnsi="Times New Roman" w:cs="Times New Roman"/>
                      <w:bCs/>
                      <w:color w:val="auto"/>
                      <w:szCs w:val="21"/>
                      <w:highlight w:val="none"/>
                    </w:rPr>
                  </w:pPr>
                  <w:r>
                    <w:rPr>
                      <w:rFonts w:hint="eastAsia" w:ascii="Times New Roman" w:hAnsi="Times New Roman" w:cs="Times New Roman"/>
                      <w:bCs/>
                      <w:color w:val="auto"/>
                      <w:szCs w:val="21"/>
                      <w:highlight w:val="none"/>
                    </w:rPr>
                    <w:t>60</w:t>
                  </w:r>
                </w:p>
              </w:tc>
            </w:tr>
            <w:tr w14:paraId="50E13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continue"/>
                  <w:tcBorders>
                    <w:left w:val="nil"/>
                  </w:tcBorders>
                  <w:vAlign w:val="center"/>
                </w:tcPr>
                <w:p w14:paraId="4E7491E4">
                  <w:pPr>
                    <w:jc w:val="center"/>
                    <w:rPr>
                      <w:rFonts w:hint="eastAsia" w:ascii="Times New Roman" w:hAnsi="Times New Roman" w:cs="Times New Roman"/>
                      <w:bCs/>
                      <w:color w:val="auto"/>
                      <w:szCs w:val="21"/>
                      <w:highlight w:val="none"/>
                    </w:rPr>
                  </w:pPr>
                </w:p>
              </w:tc>
              <w:tc>
                <w:tcPr>
                  <w:tcW w:w="679" w:type="pct"/>
                  <w:tcBorders>
                    <w:left w:val="nil"/>
                  </w:tcBorders>
                  <w:vAlign w:val="center"/>
                </w:tcPr>
                <w:p w14:paraId="78D92F52">
                  <w:pPr>
                    <w:jc w:val="center"/>
                    <w:rPr>
                      <w:rFonts w:ascii="Times New Roman" w:hAnsi="Times New Roman" w:cs="Times New Roman"/>
                      <w:bCs/>
                      <w:color w:val="auto"/>
                      <w:szCs w:val="21"/>
                      <w:highlight w:val="none"/>
                    </w:rPr>
                  </w:pPr>
                  <w:r>
                    <w:rPr>
                      <w:rFonts w:hint="eastAsia" w:ascii="Times New Roman" w:hAnsi="Times New Roman" w:cs="Times New Roman"/>
                      <w:bCs/>
                      <w:color w:val="auto"/>
                      <w:szCs w:val="21"/>
                      <w:highlight w:val="none"/>
                    </w:rPr>
                    <w:t>2#</w:t>
                  </w:r>
                </w:p>
              </w:tc>
              <w:tc>
                <w:tcPr>
                  <w:tcW w:w="1693" w:type="pct"/>
                  <w:vAlign w:val="center"/>
                </w:tcPr>
                <w:p w14:paraId="31161FDC">
                  <w:pPr>
                    <w:jc w:val="center"/>
                    <w:rPr>
                      <w:rFonts w:ascii="Times New Roman" w:hAnsi="Times New Roman" w:cs="Times New Roman"/>
                      <w:bCs/>
                      <w:color w:val="auto"/>
                      <w:szCs w:val="21"/>
                      <w:highlight w:val="none"/>
                    </w:rPr>
                  </w:pPr>
                  <w:r>
                    <w:rPr>
                      <w:rFonts w:hint="eastAsia" w:ascii="Times New Roman" w:hAnsi="Times New Roman" w:eastAsia="宋体" w:cs="Times New Roman"/>
                      <w:color w:val="auto"/>
                      <w:kern w:val="2"/>
                      <w:sz w:val="21"/>
                      <w:szCs w:val="24"/>
                      <w:lang w:val="en-US" w:eastAsia="zh-CN" w:bidi="ar-SA"/>
                    </w:rPr>
                    <w:t>厂界外西北侧1m处</w:t>
                  </w:r>
                </w:p>
              </w:tc>
              <w:tc>
                <w:tcPr>
                  <w:tcW w:w="1653" w:type="dxa"/>
                  <w:vAlign w:val="center"/>
                </w:tcPr>
                <w:p w14:paraId="6505F217">
                  <w:pPr>
                    <w:jc w:val="center"/>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cs="Times New Roman"/>
                      <w:color w:val="auto"/>
                      <w:kern w:val="2"/>
                      <w:sz w:val="21"/>
                      <w:szCs w:val="21"/>
                      <w:lang w:val="en-US" w:eastAsia="zh-CN" w:bidi="ar-SA"/>
                    </w:rPr>
                    <w:t>50</w:t>
                  </w:r>
                </w:p>
              </w:tc>
              <w:tc>
                <w:tcPr>
                  <w:tcW w:w="876" w:type="pct"/>
                  <w:vAlign w:val="center"/>
                </w:tcPr>
                <w:p w14:paraId="3E3B132B">
                  <w:pPr>
                    <w:jc w:val="center"/>
                    <w:rPr>
                      <w:rFonts w:ascii="Times New Roman" w:hAnsi="Times New Roman" w:cs="Times New Roman"/>
                      <w:bCs/>
                      <w:color w:val="auto"/>
                      <w:szCs w:val="21"/>
                      <w:highlight w:val="none"/>
                    </w:rPr>
                  </w:pPr>
                  <w:r>
                    <w:rPr>
                      <w:rFonts w:hint="eastAsia" w:ascii="Times New Roman" w:hAnsi="Times New Roman" w:cs="Times New Roman"/>
                      <w:bCs/>
                      <w:color w:val="auto"/>
                      <w:szCs w:val="21"/>
                      <w:highlight w:val="none"/>
                    </w:rPr>
                    <w:t>60</w:t>
                  </w:r>
                </w:p>
              </w:tc>
            </w:tr>
            <w:tr w14:paraId="1E19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continue"/>
                  <w:tcBorders>
                    <w:left w:val="nil"/>
                  </w:tcBorders>
                  <w:vAlign w:val="center"/>
                </w:tcPr>
                <w:p w14:paraId="14FFF26D">
                  <w:pPr>
                    <w:jc w:val="center"/>
                    <w:rPr>
                      <w:rFonts w:hint="eastAsia" w:ascii="Times New Roman" w:hAnsi="Times New Roman" w:cs="Times New Roman"/>
                      <w:bCs/>
                      <w:color w:val="auto"/>
                      <w:szCs w:val="21"/>
                      <w:highlight w:val="none"/>
                    </w:rPr>
                  </w:pPr>
                </w:p>
              </w:tc>
              <w:tc>
                <w:tcPr>
                  <w:tcW w:w="679" w:type="pct"/>
                  <w:tcBorders>
                    <w:left w:val="nil"/>
                  </w:tcBorders>
                  <w:vAlign w:val="center"/>
                </w:tcPr>
                <w:p w14:paraId="1E11855B">
                  <w:pPr>
                    <w:jc w:val="center"/>
                    <w:rPr>
                      <w:rFonts w:ascii="Times New Roman" w:hAnsi="Times New Roman" w:cs="Times New Roman"/>
                      <w:bCs/>
                      <w:color w:val="auto"/>
                      <w:szCs w:val="21"/>
                      <w:highlight w:val="none"/>
                    </w:rPr>
                  </w:pPr>
                  <w:r>
                    <w:rPr>
                      <w:rFonts w:hint="eastAsia" w:ascii="Times New Roman" w:hAnsi="Times New Roman" w:cs="Times New Roman"/>
                      <w:bCs/>
                      <w:color w:val="auto"/>
                      <w:szCs w:val="21"/>
                      <w:highlight w:val="none"/>
                    </w:rPr>
                    <w:t>3#</w:t>
                  </w:r>
                </w:p>
              </w:tc>
              <w:tc>
                <w:tcPr>
                  <w:tcW w:w="1693" w:type="pct"/>
                  <w:vAlign w:val="center"/>
                </w:tcPr>
                <w:p w14:paraId="7DBF5A2D">
                  <w:pPr>
                    <w:jc w:val="center"/>
                    <w:rPr>
                      <w:rFonts w:ascii="Times New Roman" w:hAnsi="Times New Roman" w:cs="Times New Roman"/>
                      <w:bCs/>
                      <w:color w:val="auto"/>
                      <w:szCs w:val="21"/>
                      <w:highlight w:val="none"/>
                    </w:rPr>
                  </w:pPr>
                  <w:r>
                    <w:rPr>
                      <w:rFonts w:hint="eastAsia" w:ascii="Times New Roman" w:hAnsi="Times New Roman" w:eastAsia="宋体" w:cs="Times New Roman"/>
                      <w:color w:val="auto"/>
                      <w:kern w:val="2"/>
                      <w:sz w:val="21"/>
                      <w:szCs w:val="24"/>
                      <w:lang w:val="en-US" w:eastAsia="zh-CN" w:bidi="ar-SA"/>
                    </w:rPr>
                    <w:t>厂界外东北侧1m处</w:t>
                  </w:r>
                </w:p>
              </w:tc>
              <w:tc>
                <w:tcPr>
                  <w:tcW w:w="1653" w:type="dxa"/>
                  <w:vAlign w:val="center"/>
                </w:tcPr>
                <w:p w14:paraId="0AFEA1BB">
                  <w:pPr>
                    <w:jc w:val="center"/>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cs="Times New Roman"/>
                      <w:color w:val="auto"/>
                      <w:sz w:val="21"/>
                      <w:szCs w:val="21"/>
                      <w:lang w:val="en-US" w:eastAsia="zh-CN"/>
                    </w:rPr>
                    <w:t>49</w:t>
                  </w:r>
                </w:p>
              </w:tc>
              <w:tc>
                <w:tcPr>
                  <w:tcW w:w="876" w:type="pct"/>
                  <w:vAlign w:val="center"/>
                </w:tcPr>
                <w:p w14:paraId="065EDE9D">
                  <w:pPr>
                    <w:jc w:val="center"/>
                    <w:rPr>
                      <w:rFonts w:ascii="Times New Roman" w:hAnsi="Times New Roman" w:cs="Times New Roman"/>
                      <w:bCs/>
                      <w:color w:val="auto"/>
                      <w:szCs w:val="21"/>
                      <w:highlight w:val="none"/>
                    </w:rPr>
                  </w:pPr>
                  <w:r>
                    <w:rPr>
                      <w:rFonts w:hint="eastAsia" w:ascii="Times New Roman" w:hAnsi="Times New Roman" w:cs="Times New Roman"/>
                      <w:bCs/>
                      <w:color w:val="auto"/>
                      <w:szCs w:val="21"/>
                      <w:highlight w:val="none"/>
                    </w:rPr>
                    <w:t>60</w:t>
                  </w:r>
                </w:p>
              </w:tc>
            </w:tr>
            <w:tr w14:paraId="61FC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continue"/>
                  <w:tcBorders>
                    <w:left w:val="nil"/>
                  </w:tcBorders>
                  <w:vAlign w:val="center"/>
                </w:tcPr>
                <w:p w14:paraId="24043480">
                  <w:pPr>
                    <w:jc w:val="center"/>
                    <w:rPr>
                      <w:rFonts w:hint="eastAsia" w:ascii="Times New Roman" w:hAnsi="Times New Roman" w:cs="Times New Roman"/>
                      <w:bCs/>
                      <w:color w:val="auto"/>
                      <w:szCs w:val="21"/>
                      <w:highlight w:val="none"/>
                      <w:lang w:val="en-US" w:eastAsia="zh-CN"/>
                    </w:rPr>
                  </w:pPr>
                </w:p>
              </w:tc>
              <w:tc>
                <w:tcPr>
                  <w:tcW w:w="679" w:type="pct"/>
                  <w:tcBorders>
                    <w:left w:val="nil"/>
                  </w:tcBorders>
                  <w:vAlign w:val="center"/>
                </w:tcPr>
                <w:p w14:paraId="30AA0269">
                  <w:pPr>
                    <w:jc w:val="center"/>
                    <w:rPr>
                      <w:rFonts w:hint="default"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4#</w:t>
                  </w:r>
                </w:p>
              </w:tc>
              <w:tc>
                <w:tcPr>
                  <w:tcW w:w="1693" w:type="pct"/>
                  <w:vAlign w:val="center"/>
                </w:tcPr>
                <w:p w14:paraId="062C07C2">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kern w:val="2"/>
                      <w:sz w:val="21"/>
                      <w:szCs w:val="24"/>
                      <w:lang w:val="en-US" w:eastAsia="zh-CN" w:bidi="ar-SA"/>
                    </w:rPr>
                    <w:t>厂界外东南侧1m处</w:t>
                  </w:r>
                </w:p>
              </w:tc>
              <w:tc>
                <w:tcPr>
                  <w:tcW w:w="1653" w:type="dxa"/>
                  <w:vAlign w:val="center"/>
                </w:tcPr>
                <w:p w14:paraId="0C285B7C">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1"/>
                      <w:szCs w:val="21"/>
                      <w:lang w:val="en-US" w:eastAsia="zh-CN"/>
                    </w:rPr>
                    <w:t>50</w:t>
                  </w:r>
                </w:p>
              </w:tc>
              <w:tc>
                <w:tcPr>
                  <w:tcW w:w="876" w:type="pct"/>
                  <w:vAlign w:val="center"/>
                </w:tcPr>
                <w:p w14:paraId="429E8956">
                  <w:pPr>
                    <w:jc w:val="center"/>
                    <w:rPr>
                      <w:rFonts w:hint="eastAsia" w:ascii="Times New Roman" w:hAnsi="Times New Roman" w:cs="Times New Roman"/>
                      <w:bCs/>
                      <w:color w:val="auto"/>
                      <w:szCs w:val="21"/>
                      <w:highlight w:val="none"/>
                    </w:rPr>
                  </w:pPr>
                  <w:r>
                    <w:rPr>
                      <w:rFonts w:hint="eastAsia" w:ascii="Times New Roman" w:hAnsi="Times New Roman" w:cs="Times New Roman"/>
                      <w:bCs/>
                      <w:color w:val="auto"/>
                      <w:szCs w:val="21"/>
                      <w:highlight w:val="none"/>
                    </w:rPr>
                    <w:t>60</w:t>
                  </w:r>
                </w:p>
              </w:tc>
            </w:tr>
            <w:tr w14:paraId="0010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restart"/>
                  <w:tcBorders>
                    <w:left w:val="nil"/>
                  </w:tcBorders>
                  <w:vAlign w:val="center"/>
                </w:tcPr>
                <w:p w14:paraId="0ABB8560">
                  <w:pPr>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2025.09.02</w:t>
                  </w:r>
                </w:p>
              </w:tc>
              <w:tc>
                <w:tcPr>
                  <w:tcW w:w="679" w:type="pct"/>
                  <w:tcBorders>
                    <w:left w:val="nil"/>
                  </w:tcBorders>
                  <w:vAlign w:val="center"/>
                </w:tcPr>
                <w:p w14:paraId="68A6A7C0">
                  <w:pPr>
                    <w:jc w:val="center"/>
                    <w:rPr>
                      <w:rFonts w:hint="eastAsia"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rPr>
                    <w:t>1#</w:t>
                  </w:r>
                </w:p>
              </w:tc>
              <w:tc>
                <w:tcPr>
                  <w:tcW w:w="1693" w:type="pct"/>
                  <w:vAlign w:val="center"/>
                </w:tcPr>
                <w:p w14:paraId="1634E6E3">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kern w:val="2"/>
                      <w:sz w:val="21"/>
                      <w:szCs w:val="24"/>
                      <w:lang w:val="en-US" w:eastAsia="zh-CN" w:bidi="ar-SA"/>
                    </w:rPr>
                    <w:t>厂界外西南侧1m处</w:t>
                  </w:r>
                </w:p>
              </w:tc>
              <w:tc>
                <w:tcPr>
                  <w:tcW w:w="1653" w:type="dxa"/>
                  <w:vAlign w:val="center"/>
                </w:tcPr>
                <w:p w14:paraId="71992139">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1"/>
                      <w:szCs w:val="21"/>
                      <w:lang w:val="en-US" w:eastAsia="zh-CN"/>
                    </w:rPr>
                    <w:t>50</w:t>
                  </w:r>
                </w:p>
              </w:tc>
              <w:tc>
                <w:tcPr>
                  <w:tcW w:w="876" w:type="pct"/>
                  <w:vAlign w:val="center"/>
                </w:tcPr>
                <w:p w14:paraId="2250E9B9">
                  <w:pPr>
                    <w:jc w:val="center"/>
                    <w:rPr>
                      <w:rFonts w:hint="default"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60</w:t>
                  </w:r>
                </w:p>
              </w:tc>
            </w:tr>
            <w:tr w14:paraId="072E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continue"/>
                  <w:tcBorders>
                    <w:left w:val="nil"/>
                  </w:tcBorders>
                  <w:vAlign w:val="center"/>
                </w:tcPr>
                <w:p w14:paraId="78B544A6">
                  <w:pPr>
                    <w:jc w:val="center"/>
                    <w:rPr>
                      <w:rFonts w:hint="eastAsia" w:ascii="Times New Roman" w:hAnsi="Times New Roman" w:cs="Times New Roman"/>
                      <w:bCs/>
                      <w:color w:val="auto"/>
                      <w:szCs w:val="21"/>
                      <w:highlight w:val="none"/>
                      <w:lang w:val="en-US" w:eastAsia="zh-CN"/>
                    </w:rPr>
                  </w:pPr>
                </w:p>
              </w:tc>
              <w:tc>
                <w:tcPr>
                  <w:tcW w:w="679" w:type="pct"/>
                  <w:tcBorders>
                    <w:left w:val="nil"/>
                  </w:tcBorders>
                  <w:vAlign w:val="center"/>
                </w:tcPr>
                <w:p w14:paraId="3E8ACD9D">
                  <w:pPr>
                    <w:jc w:val="center"/>
                    <w:rPr>
                      <w:rFonts w:hint="eastAsia"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rPr>
                    <w:t>2#</w:t>
                  </w:r>
                </w:p>
              </w:tc>
              <w:tc>
                <w:tcPr>
                  <w:tcW w:w="1693" w:type="pct"/>
                  <w:vAlign w:val="center"/>
                </w:tcPr>
                <w:p w14:paraId="682B5F4F">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kern w:val="2"/>
                      <w:sz w:val="21"/>
                      <w:szCs w:val="24"/>
                      <w:lang w:val="en-US" w:eastAsia="zh-CN" w:bidi="ar-SA"/>
                    </w:rPr>
                    <w:t>厂界外西北侧1m处</w:t>
                  </w:r>
                </w:p>
              </w:tc>
              <w:tc>
                <w:tcPr>
                  <w:tcW w:w="1653" w:type="dxa"/>
                  <w:vAlign w:val="center"/>
                </w:tcPr>
                <w:p w14:paraId="72B61AAE">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1"/>
                      <w:szCs w:val="21"/>
                      <w:lang w:val="en-US" w:eastAsia="zh-CN"/>
                    </w:rPr>
                    <w:t>51</w:t>
                  </w:r>
                </w:p>
              </w:tc>
              <w:tc>
                <w:tcPr>
                  <w:tcW w:w="876" w:type="pct"/>
                  <w:vAlign w:val="center"/>
                </w:tcPr>
                <w:p w14:paraId="23B8F3F8">
                  <w:pPr>
                    <w:jc w:val="center"/>
                    <w:rPr>
                      <w:rFonts w:hint="default"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60</w:t>
                  </w:r>
                </w:p>
              </w:tc>
            </w:tr>
            <w:tr w14:paraId="07F3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continue"/>
                  <w:tcBorders>
                    <w:left w:val="nil"/>
                  </w:tcBorders>
                  <w:vAlign w:val="center"/>
                </w:tcPr>
                <w:p w14:paraId="3901CC8A">
                  <w:pPr>
                    <w:jc w:val="center"/>
                    <w:rPr>
                      <w:rFonts w:hint="eastAsia" w:ascii="Times New Roman" w:hAnsi="Times New Roman" w:cs="Times New Roman"/>
                      <w:bCs/>
                      <w:color w:val="auto"/>
                      <w:szCs w:val="21"/>
                      <w:highlight w:val="none"/>
                      <w:lang w:val="en-US" w:eastAsia="zh-CN"/>
                    </w:rPr>
                  </w:pPr>
                </w:p>
              </w:tc>
              <w:tc>
                <w:tcPr>
                  <w:tcW w:w="679" w:type="pct"/>
                  <w:tcBorders>
                    <w:left w:val="nil"/>
                  </w:tcBorders>
                  <w:vAlign w:val="center"/>
                </w:tcPr>
                <w:p w14:paraId="0DCB8955">
                  <w:pPr>
                    <w:jc w:val="center"/>
                    <w:rPr>
                      <w:rFonts w:hint="eastAsia"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rPr>
                    <w:t>3#</w:t>
                  </w:r>
                </w:p>
              </w:tc>
              <w:tc>
                <w:tcPr>
                  <w:tcW w:w="1693" w:type="pct"/>
                  <w:vAlign w:val="center"/>
                </w:tcPr>
                <w:p w14:paraId="33C2B57B">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kern w:val="2"/>
                      <w:sz w:val="21"/>
                      <w:szCs w:val="24"/>
                      <w:lang w:val="en-US" w:eastAsia="zh-CN" w:bidi="ar-SA"/>
                    </w:rPr>
                    <w:t>厂界外东北侧1m处</w:t>
                  </w:r>
                </w:p>
              </w:tc>
              <w:tc>
                <w:tcPr>
                  <w:tcW w:w="1653" w:type="dxa"/>
                  <w:vAlign w:val="center"/>
                </w:tcPr>
                <w:p w14:paraId="508C955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1"/>
                      <w:szCs w:val="21"/>
                      <w:lang w:val="en-US" w:eastAsia="zh-CN"/>
                    </w:rPr>
                    <w:t>51</w:t>
                  </w:r>
                </w:p>
              </w:tc>
              <w:tc>
                <w:tcPr>
                  <w:tcW w:w="876" w:type="pct"/>
                  <w:vAlign w:val="center"/>
                </w:tcPr>
                <w:p w14:paraId="1851ADF3">
                  <w:pPr>
                    <w:jc w:val="center"/>
                    <w:rPr>
                      <w:rFonts w:hint="default"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60</w:t>
                  </w:r>
                </w:p>
              </w:tc>
            </w:tr>
            <w:tr w14:paraId="5BB2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continue"/>
                  <w:tcBorders>
                    <w:left w:val="nil"/>
                    <w:bottom w:val="single" w:color="auto" w:sz="12" w:space="0"/>
                  </w:tcBorders>
                  <w:vAlign w:val="center"/>
                </w:tcPr>
                <w:p w14:paraId="4F2B9456">
                  <w:pPr>
                    <w:jc w:val="center"/>
                    <w:rPr>
                      <w:rFonts w:hint="eastAsia" w:ascii="Times New Roman" w:hAnsi="Times New Roman" w:cs="Times New Roman"/>
                      <w:bCs/>
                      <w:color w:val="auto"/>
                      <w:szCs w:val="21"/>
                      <w:highlight w:val="none"/>
                      <w:lang w:val="en-US" w:eastAsia="zh-CN"/>
                    </w:rPr>
                  </w:pPr>
                </w:p>
              </w:tc>
              <w:tc>
                <w:tcPr>
                  <w:tcW w:w="679" w:type="pct"/>
                  <w:tcBorders>
                    <w:left w:val="nil"/>
                    <w:bottom w:val="single" w:color="auto" w:sz="12" w:space="0"/>
                  </w:tcBorders>
                  <w:vAlign w:val="center"/>
                </w:tcPr>
                <w:p w14:paraId="55711E07">
                  <w:pPr>
                    <w:jc w:val="center"/>
                    <w:rPr>
                      <w:rFonts w:hint="eastAsia"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4#</w:t>
                  </w:r>
                </w:p>
              </w:tc>
              <w:tc>
                <w:tcPr>
                  <w:tcW w:w="1693" w:type="pct"/>
                  <w:tcBorders>
                    <w:bottom w:val="single" w:color="auto" w:sz="12" w:space="0"/>
                  </w:tcBorders>
                  <w:vAlign w:val="center"/>
                </w:tcPr>
                <w:p w14:paraId="2911A3F9">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kern w:val="2"/>
                      <w:sz w:val="21"/>
                      <w:szCs w:val="24"/>
                      <w:lang w:val="en-US" w:eastAsia="zh-CN" w:bidi="ar-SA"/>
                    </w:rPr>
                    <w:t>厂界外东南侧1m处</w:t>
                  </w:r>
                </w:p>
              </w:tc>
              <w:tc>
                <w:tcPr>
                  <w:tcW w:w="1653" w:type="dxa"/>
                  <w:tcBorders>
                    <w:bottom w:val="single" w:color="auto" w:sz="12" w:space="0"/>
                  </w:tcBorders>
                  <w:vAlign w:val="center"/>
                </w:tcPr>
                <w:p w14:paraId="12984586">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1"/>
                      <w:szCs w:val="21"/>
                      <w:lang w:val="en-US" w:eastAsia="zh-CN"/>
                    </w:rPr>
                    <w:t>53</w:t>
                  </w:r>
                </w:p>
              </w:tc>
              <w:tc>
                <w:tcPr>
                  <w:tcW w:w="876" w:type="pct"/>
                  <w:tcBorders>
                    <w:bottom w:val="single" w:color="auto" w:sz="12" w:space="0"/>
                  </w:tcBorders>
                  <w:vAlign w:val="center"/>
                </w:tcPr>
                <w:p w14:paraId="3D8D56C4">
                  <w:pPr>
                    <w:jc w:val="center"/>
                    <w:rPr>
                      <w:rFonts w:hint="default"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60</w:t>
                  </w:r>
                </w:p>
              </w:tc>
            </w:tr>
          </w:tbl>
          <w:p w14:paraId="1E7B506F">
            <w:pPr>
              <w:spacing w:line="360" w:lineRule="auto"/>
              <w:ind w:firstLine="480"/>
              <w:rPr>
                <w:rFonts w:ascii="Times New Roman" w:hAnsi="Times New Roman" w:cs="Times New Roman"/>
                <w:b/>
                <w:color w:val="auto"/>
                <w:sz w:val="24"/>
                <w:szCs w:val="24"/>
                <w:highlight w:val="none"/>
              </w:rPr>
            </w:pPr>
            <w:r>
              <w:rPr>
                <w:rFonts w:hint="eastAsia" w:ascii="Times New Roman" w:hAnsi="Times New Roman" w:cs="Times New Roman"/>
                <w:color w:val="auto"/>
                <w:sz w:val="24"/>
                <w:szCs w:val="24"/>
                <w:highlight w:val="none"/>
              </w:rPr>
              <w:t>根据监测结果可以看出，</w:t>
            </w:r>
            <w:r>
              <w:rPr>
                <w:rFonts w:hint="eastAsia" w:ascii="Times New Roman" w:hAnsi="Times New Roman" w:cs="Times New Roman"/>
                <w:color w:val="auto"/>
                <w:sz w:val="24"/>
                <w:szCs w:val="24"/>
                <w:highlight w:val="none"/>
                <w:lang w:val="en-US" w:eastAsia="zh-CN"/>
              </w:rPr>
              <w:t>马尔康市第二中学</w:t>
            </w:r>
            <w:r>
              <w:rPr>
                <w:rFonts w:hint="eastAsia" w:ascii="Times New Roman" w:hAnsi="Times New Roman" w:cs="Times New Roman"/>
                <w:color w:val="auto"/>
                <w:sz w:val="24"/>
                <w:szCs w:val="24"/>
                <w:highlight w:val="none"/>
              </w:rPr>
              <w:t>厂界噪声现状均能满足《工业企业厂界环境噪声排放标准》（GB 12348-2008）厂界外2类声环境功能区类别对应排放限值要求。</w:t>
            </w:r>
          </w:p>
          <w:p w14:paraId="0DCE83B0">
            <w:pPr>
              <w:spacing w:line="360" w:lineRule="auto"/>
              <w:ind w:firstLine="48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4、固体废物</w:t>
            </w:r>
          </w:p>
          <w:p w14:paraId="0001BB32">
            <w:pPr>
              <w:spacing w:line="360" w:lineRule="auto"/>
              <w:ind w:firstLine="48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原有项目</w:t>
            </w:r>
            <w:r>
              <w:rPr>
                <w:rFonts w:hint="eastAsia" w:ascii="Times New Roman" w:hAnsi="Times New Roman" w:cs="Times New Roman"/>
                <w:color w:val="auto"/>
                <w:sz w:val="24"/>
                <w:szCs w:val="24"/>
                <w:highlight w:val="none"/>
              </w:rPr>
              <w:t>产生的固体废物主要包括：</w:t>
            </w:r>
            <w:r>
              <w:rPr>
                <w:rFonts w:hint="eastAsia" w:ascii="Times New Roman" w:hAnsi="Times New Roman" w:cs="Times New Roman"/>
                <w:color w:val="auto"/>
                <w:sz w:val="24"/>
                <w:szCs w:val="24"/>
                <w:highlight w:val="none"/>
                <w:lang w:val="en-US" w:eastAsia="zh-CN"/>
              </w:rPr>
              <w:t>办公生活垃圾、食堂餐厨垃圾和预处理池污泥</w:t>
            </w:r>
            <w:r>
              <w:rPr>
                <w:rFonts w:hint="eastAsia" w:ascii="Times New Roman" w:hAnsi="Times New Roman" w:cs="Times New Roman"/>
                <w:color w:val="auto"/>
                <w:sz w:val="24"/>
                <w:szCs w:val="24"/>
                <w:highlight w:val="none"/>
              </w:rPr>
              <w:t>等。</w:t>
            </w:r>
          </w:p>
          <w:p w14:paraId="007BC588">
            <w:pPr>
              <w:spacing w:line="360" w:lineRule="auto"/>
              <w:ind w:firstLine="480"/>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lang w:val="en-US" w:eastAsia="zh-CN"/>
              </w:rPr>
              <w:t>一般固废</w:t>
            </w:r>
          </w:p>
          <w:p w14:paraId="735FEE66">
            <w:pPr>
              <w:spacing w:line="360" w:lineRule="auto"/>
              <w:ind w:firstLine="480"/>
              <w:rPr>
                <w:rFonts w:hint="eastAsia" w:ascii="Times New Roman" w:hAnsi="Times New Roman"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w:t>
            </w:r>
            <w:r>
              <w:rPr>
                <w:rFonts w:hint="eastAsia" w:ascii="Times New Roman" w:hAnsi="Times New Roman" w:cs="Times New Roman"/>
                <w:color w:val="auto"/>
                <w:sz w:val="24"/>
                <w:szCs w:val="24"/>
                <w:highlight w:val="none"/>
                <w:lang w:val="en-US" w:eastAsia="zh-CN"/>
              </w:rPr>
              <w:t>生活垃圾</w:t>
            </w:r>
          </w:p>
          <w:p w14:paraId="6A3C2E59">
            <w:pPr>
              <w:spacing w:line="360" w:lineRule="auto"/>
              <w:ind w:firstLine="480"/>
              <w:rPr>
                <w:rFonts w:ascii="Times New Roman" w:hAnsi="Times New Roman" w:cs="Times New Roman"/>
                <w:color w:val="auto"/>
                <w:sz w:val="24"/>
                <w:szCs w:val="24"/>
                <w:highlight w:val="none"/>
              </w:rPr>
            </w:pPr>
            <w:r>
              <w:rPr>
                <w:rFonts w:hint="eastAsia" w:ascii="Times New Roman" w:hAnsi="Times New Roman" w:cs="Times New Roman"/>
                <w:b/>
                <w:bCs/>
                <w:color w:val="auto"/>
                <w:sz w:val="24"/>
                <w:szCs w:val="24"/>
                <w:highlight w:val="none"/>
                <w:lang w:val="en-US" w:eastAsia="zh-CN"/>
              </w:rPr>
              <w:t>产生情况：</w:t>
            </w:r>
            <w:r>
              <w:rPr>
                <w:rFonts w:ascii="Times New Roman" w:hAnsi="Times New Roman" w:cs="Times New Roman"/>
                <w:color w:val="auto"/>
                <w:sz w:val="24"/>
                <w:szCs w:val="24"/>
                <w:highlight w:val="none"/>
              </w:rPr>
              <w:t>生活垃圾主要来源于</w:t>
            </w:r>
            <w:r>
              <w:rPr>
                <w:rFonts w:hint="eastAsia" w:ascii="Times New Roman" w:hAnsi="Times New Roman" w:cs="Times New Roman"/>
                <w:color w:val="auto"/>
                <w:sz w:val="24"/>
                <w:szCs w:val="24"/>
                <w:highlight w:val="none"/>
                <w:lang w:val="en-US" w:eastAsia="zh-CN"/>
              </w:rPr>
              <w:t>师生的学习</w:t>
            </w:r>
            <w:r>
              <w:rPr>
                <w:rFonts w:ascii="Times New Roman" w:hAnsi="Times New Roman" w:cs="Times New Roman"/>
                <w:color w:val="auto"/>
                <w:sz w:val="24"/>
                <w:szCs w:val="24"/>
                <w:highlight w:val="none"/>
              </w:rPr>
              <w:t>生活，根据</w:t>
            </w:r>
            <w:r>
              <w:rPr>
                <w:rFonts w:hint="eastAsia" w:ascii="Times New Roman" w:hAnsi="Times New Roman" w:cs="Times New Roman"/>
                <w:color w:val="auto"/>
                <w:sz w:val="24"/>
                <w:szCs w:val="24"/>
                <w:highlight w:val="none"/>
                <w:lang w:val="en-US" w:eastAsia="zh-CN"/>
              </w:rPr>
              <w:t>学校</w:t>
            </w:r>
            <w:r>
              <w:rPr>
                <w:rFonts w:ascii="Times New Roman" w:hAnsi="Times New Roman" w:cs="Times New Roman"/>
                <w:color w:val="auto"/>
                <w:sz w:val="24"/>
                <w:szCs w:val="24"/>
                <w:highlight w:val="none"/>
              </w:rPr>
              <w:t>现状调查，目前生活垃圾产生量约为</w:t>
            </w:r>
            <w:r>
              <w:rPr>
                <w:rFonts w:hint="eastAsia" w:ascii="Times New Roman" w:hAnsi="Times New Roman" w:cs="Times New Roman"/>
                <w:color w:val="auto"/>
                <w:sz w:val="24"/>
                <w:szCs w:val="24"/>
                <w:highlight w:val="none"/>
                <w:lang w:val="en-US" w:eastAsia="zh-CN"/>
              </w:rPr>
              <w:t>76</w:t>
            </w:r>
            <w:r>
              <w:rPr>
                <w:rFonts w:hint="eastAsia" w:ascii="Times New Roman" w:hAnsi="Times New Roman" w:cs="Times New Roman"/>
                <w:color w:val="auto"/>
                <w:sz w:val="24"/>
                <w:szCs w:val="24"/>
                <w:highlight w:val="none"/>
              </w:rPr>
              <w:t>t/</w:t>
            </w:r>
            <w:r>
              <w:rPr>
                <w:rFonts w:hint="eastAsia" w:ascii="Times New Roman" w:hAnsi="Times New Roman" w:cs="Times New Roman"/>
                <w:color w:val="auto"/>
                <w:sz w:val="24"/>
                <w:szCs w:val="24"/>
                <w:highlight w:val="none"/>
                <w:lang w:val="en-US" w:eastAsia="zh-CN"/>
              </w:rPr>
              <w:t>a</w:t>
            </w:r>
            <w:r>
              <w:rPr>
                <w:rFonts w:ascii="Times New Roman" w:hAnsi="Times New Roman" w:cs="Times New Roman"/>
                <w:color w:val="auto"/>
                <w:sz w:val="24"/>
                <w:szCs w:val="24"/>
                <w:highlight w:val="none"/>
              </w:rPr>
              <w:t>。</w:t>
            </w:r>
          </w:p>
          <w:p w14:paraId="488302F3">
            <w:pPr>
              <w:spacing w:line="360" w:lineRule="auto"/>
              <w:ind w:firstLine="480"/>
              <w:rPr>
                <w:rFonts w:ascii="Times New Roman" w:hAnsi="Times New Roman" w:cs="Times New Roman"/>
                <w:color w:val="auto"/>
                <w:sz w:val="24"/>
                <w:szCs w:val="24"/>
                <w:highlight w:val="none"/>
              </w:rPr>
            </w:pPr>
            <w:r>
              <w:rPr>
                <w:rFonts w:hint="eastAsia" w:ascii="Times New Roman" w:hAnsi="Times New Roman" w:cs="Times New Roman"/>
                <w:b/>
                <w:bCs/>
                <w:color w:val="auto"/>
                <w:sz w:val="24"/>
                <w:szCs w:val="24"/>
                <w:highlight w:val="none"/>
                <w:lang w:val="en-US" w:eastAsia="zh-CN"/>
              </w:rPr>
              <w:t>治理措施：</w:t>
            </w:r>
            <w:r>
              <w:rPr>
                <w:rFonts w:ascii="Times New Roman" w:hAnsi="Times New Roman" w:cs="Times New Roman"/>
                <w:color w:val="auto"/>
                <w:sz w:val="24"/>
                <w:szCs w:val="24"/>
                <w:highlight w:val="none"/>
              </w:rPr>
              <w:t>在</w:t>
            </w:r>
            <w:r>
              <w:rPr>
                <w:rFonts w:hint="eastAsia" w:ascii="Times New Roman" w:hAnsi="Times New Roman" w:cs="Times New Roman"/>
                <w:color w:val="auto"/>
                <w:sz w:val="24"/>
                <w:szCs w:val="24"/>
                <w:highlight w:val="none"/>
                <w:lang w:val="en-US" w:eastAsia="zh-CN"/>
              </w:rPr>
              <w:t>学校教学楼、综合楼、宿舍</w:t>
            </w:r>
            <w:r>
              <w:rPr>
                <w:rFonts w:ascii="Times New Roman" w:hAnsi="Times New Roman" w:cs="Times New Roman"/>
                <w:color w:val="auto"/>
                <w:sz w:val="24"/>
                <w:szCs w:val="24"/>
                <w:highlight w:val="none"/>
              </w:rPr>
              <w:t>各楼层均设有垃圾收集桶，生活垃圾经袋装</w:t>
            </w:r>
            <w:r>
              <w:rPr>
                <w:rFonts w:hint="eastAsia" w:ascii="Times New Roman" w:hAnsi="Times New Roman" w:cs="Times New Roman"/>
                <w:color w:val="auto"/>
                <w:sz w:val="24"/>
                <w:szCs w:val="24"/>
                <w:highlight w:val="none"/>
              </w:rPr>
              <w:t>分类</w:t>
            </w:r>
            <w:r>
              <w:rPr>
                <w:rFonts w:ascii="Times New Roman" w:hAnsi="Times New Roman" w:cs="Times New Roman"/>
                <w:color w:val="auto"/>
                <w:sz w:val="24"/>
                <w:szCs w:val="24"/>
                <w:highlight w:val="none"/>
              </w:rPr>
              <w:t>收集后</w:t>
            </w:r>
            <w:r>
              <w:rPr>
                <w:rFonts w:hint="eastAsia" w:ascii="Times New Roman" w:hAnsi="Times New Roman" w:cs="Times New Roman"/>
                <w:color w:val="auto"/>
                <w:sz w:val="24"/>
                <w:szCs w:val="24"/>
                <w:highlight w:val="none"/>
              </w:rPr>
              <w:t>日产日清，</w:t>
            </w:r>
            <w:r>
              <w:rPr>
                <w:rFonts w:ascii="Times New Roman" w:hAnsi="Times New Roman" w:cs="Times New Roman"/>
                <w:color w:val="auto"/>
                <w:sz w:val="24"/>
                <w:szCs w:val="24"/>
                <w:highlight w:val="none"/>
              </w:rPr>
              <w:t>直接由环卫部门统一进行清运处置。</w:t>
            </w:r>
          </w:p>
          <w:p w14:paraId="28D20DF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rPr>
              <w:t>②</w:t>
            </w:r>
            <w:r>
              <w:rPr>
                <w:rFonts w:hint="eastAsia" w:eastAsia="宋体"/>
                <w:color w:val="auto"/>
                <w:sz w:val="24"/>
                <w:szCs w:val="24"/>
                <w:highlight w:val="none"/>
                <w:lang w:val="en-US" w:eastAsia="zh-CN"/>
              </w:rPr>
              <w:t>食堂餐厨垃圾</w:t>
            </w:r>
          </w:p>
          <w:p w14:paraId="61B3D6CF">
            <w:pPr>
              <w:spacing w:line="360" w:lineRule="auto"/>
              <w:ind w:firstLine="482" w:firstLineChars="200"/>
              <w:rPr>
                <w:rFonts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lang w:val="en-US" w:eastAsia="zh-CN"/>
              </w:rPr>
              <w:t>产生情况：</w:t>
            </w:r>
            <w:r>
              <w:rPr>
                <w:rFonts w:hint="eastAsia" w:ascii="Times New Roman" w:hAnsi="Times New Roman" w:cs="Times New Roman"/>
                <w:color w:val="auto"/>
                <w:sz w:val="24"/>
                <w:szCs w:val="24"/>
                <w:highlight w:val="none"/>
                <w:lang w:val="en-US" w:eastAsia="zh-CN"/>
              </w:rPr>
              <w:t>厨余垃圾</w:t>
            </w:r>
            <w:r>
              <w:rPr>
                <w:rFonts w:ascii="Times New Roman" w:hAnsi="Times New Roman" w:cs="Times New Roman"/>
                <w:color w:val="auto"/>
                <w:sz w:val="24"/>
                <w:szCs w:val="24"/>
                <w:highlight w:val="none"/>
              </w:rPr>
              <w:t>主要来源于</w:t>
            </w:r>
            <w:r>
              <w:rPr>
                <w:rFonts w:hint="eastAsia" w:ascii="Times New Roman" w:hAnsi="Times New Roman" w:cs="Times New Roman"/>
                <w:color w:val="auto"/>
                <w:sz w:val="24"/>
                <w:szCs w:val="24"/>
                <w:highlight w:val="none"/>
                <w:lang w:val="en-US" w:eastAsia="zh-CN"/>
              </w:rPr>
              <w:t>食堂</w:t>
            </w:r>
            <w:r>
              <w:rPr>
                <w:rFonts w:ascii="Times New Roman" w:hAnsi="Times New Roman" w:cs="Times New Roman"/>
                <w:color w:val="auto"/>
                <w:sz w:val="24"/>
                <w:szCs w:val="24"/>
                <w:highlight w:val="none"/>
              </w:rPr>
              <w:t>，根据</w:t>
            </w:r>
            <w:r>
              <w:rPr>
                <w:rFonts w:hint="eastAsia" w:ascii="Times New Roman" w:hAnsi="Times New Roman" w:cs="Times New Roman"/>
                <w:color w:val="auto"/>
                <w:sz w:val="24"/>
                <w:szCs w:val="24"/>
                <w:highlight w:val="none"/>
                <w:lang w:val="en-US" w:eastAsia="zh-CN"/>
              </w:rPr>
              <w:t>学校</w:t>
            </w:r>
            <w:r>
              <w:rPr>
                <w:rFonts w:ascii="Times New Roman" w:hAnsi="Times New Roman" w:cs="Times New Roman"/>
                <w:color w:val="auto"/>
                <w:sz w:val="24"/>
                <w:szCs w:val="24"/>
                <w:highlight w:val="none"/>
              </w:rPr>
              <w:t>现状调查，目前</w:t>
            </w:r>
            <w:r>
              <w:rPr>
                <w:rFonts w:hint="eastAsia" w:ascii="Times New Roman" w:hAnsi="Times New Roman" w:cs="Times New Roman"/>
                <w:color w:val="auto"/>
                <w:sz w:val="24"/>
                <w:szCs w:val="24"/>
                <w:highlight w:val="none"/>
                <w:lang w:val="en-US" w:eastAsia="zh-CN"/>
              </w:rPr>
              <w:t>厨余垃圾</w:t>
            </w:r>
            <w:r>
              <w:rPr>
                <w:rFonts w:ascii="Times New Roman" w:hAnsi="Times New Roman" w:cs="Times New Roman"/>
                <w:color w:val="auto"/>
                <w:sz w:val="24"/>
                <w:szCs w:val="24"/>
                <w:highlight w:val="none"/>
              </w:rPr>
              <w:t>产生量约为</w:t>
            </w:r>
            <w:r>
              <w:rPr>
                <w:rFonts w:hint="eastAsia" w:ascii="Times New Roman" w:hAnsi="Times New Roman" w:cs="Times New Roman"/>
                <w:color w:val="auto"/>
                <w:sz w:val="24"/>
                <w:szCs w:val="24"/>
                <w:highlight w:val="none"/>
                <w:lang w:val="en-US" w:eastAsia="zh-CN"/>
              </w:rPr>
              <w:t>15</w:t>
            </w:r>
            <w:r>
              <w:rPr>
                <w:rFonts w:hint="eastAsia" w:ascii="Times New Roman" w:hAnsi="Times New Roman" w:cs="Times New Roman"/>
                <w:color w:val="auto"/>
                <w:sz w:val="24"/>
                <w:szCs w:val="24"/>
                <w:highlight w:val="none"/>
              </w:rPr>
              <w:t>t/</w:t>
            </w:r>
            <w:r>
              <w:rPr>
                <w:rFonts w:hint="eastAsia"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lang w:val="en-US" w:eastAsia="zh-CN"/>
              </w:rPr>
              <w:t>。</w:t>
            </w:r>
          </w:p>
          <w:p w14:paraId="47602554">
            <w:pPr>
              <w:spacing w:line="360" w:lineRule="auto"/>
              <w:ind w:firstLine="482"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治理措施：</w:t>
            </w:r>
            <w:r>
              <w:rPr>
                <w:rFonts w:hint="eastAsia" w:ascii="Times New Roman" w:hAnsi="Times New Roman" w:cs="Times New Roman"/>
                <w:b w:val="0"/>
                <w:bCs w:val="0"/>
                <w:color w:val="auto"/>
                <w:sz w:val="24"/>
                <w:szCs w:val="24"/>
                <w:highlight w:val="none"/>
                <w:lang w:val="en-US" w:eastAsia="zh-CN"/>
              </w:rPr>
              <w:t>学校食堂产生的</w:t>
            </w:r>
            <w:r>
              <w:rPr>
                <w:rFonts w:hint="eastAsia" w:ascii="Times New Roman" w:hAnsi="Times New Roman" w:cs="Times New Roman"/>
                <w:color w:val="auto"/>
                <w:sz w:val="24"/>
                <w:szCs w:val="24"/>
                <w:highlight w:val="none"/>
                <w:lang w:val="en-US" w:eastAsia="zh-CN"/>
              </w:rPr>
              <w:t>厨余垃圾垃圾经收集后定期由有资质单位</w:t>
            </w:r>
            <w:r>
              <w:rPr>
                <w:rFonts w:hint="eastAsia"/>
                <w:color w:val="auto"/>
                <w:sz w:val="24"/>
                <w:szCs w:val="24"/>
                <w:highlight w:val="none"/>
                <w:lang w:val="en-US" w:eastAsia="zh-CN"/>
              </w:rPr>
              <w:t>回收处置。</w:t>
            </w:r>
          </w:p>
          <w:p w14:paraId="0D092B8F">
            <w:pPr>
              <w:spacing w:line="360" w:lineRule="auto"/>
              <w:ind w:firstLine="480" w:firstLineChars="200"/>
              <w:rPr>
                <w:rFonts w:ascii="Times New Roman" w:hAnsi="Times New Roman" w:cs="Times New Roman"/>
                <w:color w:val="auto"/>
                <w:sz w:val="24"/>
                <w:szCs w:val="24"/>
                <w:highlight w:val="none"/>
              </w:rPr>
            </w:pPr>
            <w:r>
              <w:rPr>
                <w:rFonts w:hint="eastAsia" w:ascii="宋体" w:hAnsi="宋体" w:eastAsia="宋体" w:cs="宋体"/>
                <w:color w:val="auto"/>
                <w:sz w:val="24"/>
                <w:szCs w:val="24"/>
                <w:highlight w:val="none"/>
              </w:rPr>
              <w:t>③</w:t>
            </w:r>
            <w:r>
              <w:rPr>
                <w:rFonts w:hint="eastAsia" w:ascii="Times New Roman" w:hAnsi="Times New Roman" w:cs="Times New Roman"/>
                <w:color w:val="auto"/>
                <w:sz w:val="24"/>
                <w:szCs w:val="24"/>
                <w:highlight w:val="none"/>
                <w:lang w:val="en-US" w:eastAsia="zh-CN"/>
              </w:rPr>
              <w:t>预处理池污泥</w:t>
            </w:r>
          </w:p>
          <w:p w14:paraId="2B3FD1C9">
            <w:pPr>
              <w:spacing w:line="360" w:lineRule="auto"/>
              <w:ind w:firstLine="482"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产生情况：</w:t>
            </w:r>
            <w:r>
              <w:rPr>
                <w:rFonts w:ascii="Times New Roman" w:hAnsi="Times New Roman" w:cs="Times New Roman"/>
                <w:color w:val="auto"/>
                <w:sz w:val="24"/>
                <w:szCs w:val="24"/>
                <w:highlight w:val="none"/>
              </w:rPr>
              <w:t>根据</w:t>
            </w:r>
            <w:r>
              <w:rPr>
                <w:rFonts w:hint="eastAsia" w:ascii="Times New Roman" w:hAnsi="Times New Roman" w:cs="Times New Roman"/>
                <w:color w:val="auto"/>
                <w:sz w:val="24"/>
                <w:szCs w:val="24"/>
                <w:highlight w:val="none"/>
                <w:lang w:val="en-US" w:eastAsia="zh-CN"/>
              </w:rPr>
              <w:t>学校</w:t>
            </w:r>
            <w:r>
              <w:rPr>
                <w:rFonts w:ascii="Times New Roman" w:hAnsi="Times New Roman" w:cs="Times New Roman"/>
                <w:color w:val="auto"/>
                <w:sz w:val="24"/>
                <w:szCs w:val="24"/>
                <w:highlight w:val="none"/>
              </w:rPr>
              <w:t>现状调查，</w:t>
            </w:r>
            <w:r>
              <w:rPr>
                <w:rFonts w:hint="eastAsia" w:ascii="Times New Roman" w:hAnsi="Times New Roman" w:cs="Times New Roman"/>
                <w:color w:val="auto"/>
                <w:sz w:val="24"/>
                <w:szCs w:val="24"/>
                <w:highlight w:val="none"/>
                <w:lang w:val="en-US" w:eastAsia="zh-CN"/>
              </w:rPr>
              <w:t>预处理池污泥产生量为1t/a。</w:t>
            </w:r>
          </w:p>
          <w:p w14:paraId="3139CA79">
            <w:pPr>
              <w:spacing w:line="360" w:lineRule="auto"/>
              <w:ind w:firstLine="482"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治理措施：</w:t>
            </w:r>
            <w:r>
              <w:rPr>
                <w:rFonts w:hint="eastAsia" w:ascii="Times New Roman" w:hAnsi="Times New Roman" w:cs="Times New Roman"/>
                <w:color w:val="auto"/>
                <w:sz w:val="24"/>
                <w:szCs w:val="24"/>
                <w:highlight w:val="none"/>
                <w:lang w:val="en-US" w:eastAsia="zh-CN"/>
              </w:rPr>
              <w:t>定期清掏。</w:t>
            </w:r>
          </w:p>
          <w:p w14:paraId="5AA5E06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rPr>
              <w:t>④</w:t>
            </w:r>
            <w:r>
              <w:rPr>
                <w:rFonts w:hint="eastAsia" w:ascii="Times New Roman" w:hAnsi="Times New Roman" w:eastAsia="宋体" w:cs="Times New Roman"/>
                <w:color w:val="auto"/>
                <w:sz w:val="24"/>
                <w:szCs w:val="24"/>
                <w:highlight w:val="none"/>
                <w:lang w:val="en-US" w:eastAsia="zh-CN"/>
              </w:rPr>
              <w:t>实验室固体废物</w:t>
            </w:r>
          </w:p>
          <w:p w14:paraId="5593EB41">
            <w:pPr>
              <w:spacing w:line="360" w:lineRule="auto"/>
              <w:ind w:firstLine="482"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产生情况：</w:t>
            </w:r>
            <w:r>
              <w:rPr>
                <w:rFonts w:hint="eastAsia" w:ascii="Times New Roman" w:hAnsi="Times New Roman" w:cs="Times New Roman"/>
                <w:color w:val="auto"/>
                <w:sz w:val="24"/>
                <w:szCs w:val="24"/>
                <w:highlight w:val="none"/>
                <w:lang w:val="en-US" w:eastAsia="zh-CN"/>
              </w:rPr>
              <w:t>根据学校现状调查，实验室固体废物产生量为0.05t/a。</w:t>
            </w:r>
          </w:p>
          <w:p w14:paraId="01DE24DD">
            <w:pPr>
              <w:spacing w:line="360" w:lineRule="auto"/>
              <w:ind w:firstLine="482" w:firstLineChars="200"/>
              <w:rPr>
                <w:rFonts w:ascii="Times New Roman" w:hAnsi="Times New Roman" w:cs="Times New Roman"/>
                <w:color w:val="auto"/>
                <w:sz w:val="24"/>
                <w:szCs w:val="24"/>
                <w:highlight w:val="none"/>
              </w:rPr>
            </w:pPr>
            <w:r>
              <w:rPr>
                <w:rFonts w:hint="eastAsia" w:ascii="Times New Roman" w:hAnsi="Times New Roman" w:cs="Times New Roman"/>
                <w:b/>
                <w:bCs/>
                <w:color w:val="auto"/>
                <w:sz w:val="24"/>
                <w:szCs w:val="24"/>
                <w:highlight w:val="none"/>
                <w:lang w:val="en-US" w:eastAsia="zh-CN"/>
              </w:rPr>
              <w:t>治理措施：</w:t>
            </w:r>
            <w:r>
              <w:rPr>
                <w:rFonts w:ascii="Times New Roman" w:hAnsi="Times New Roman" w:cs="Times New Roman"/>
                <w:color w:val="auto"/>
                <w:sz w:val="24"/>
                <w:szCs w:val="24"/>
                <w:highlight w:val="none"/>
              </w:rPr>
              <w:t>在</w:t>
            </w:r>
            <w:r>
              <w:rPr>
                <w:rFonts w:hint="eastAsia" w:ascii="Times New Roman" w:hAnsi="Times New Roman" w:cs="Times New Roman"/>
                <w:color w:val="auto"/>
                <w:sz w:val="24"/>
                <w:szCs w:val="24"/>
                <w:highlight w:val="none"/>
                <w:lang w:val="en-US" w:eastAsia="zh-CN"/>
              </w:rPr>
              <w:t>实验室内设置</w:t>
            </w:r>
            <w:r>
              <w:rPr>
                <w:rFonts w:ascii="Times New Roman" w:hAnsi="Times New Roman" w:cs="Times New Roman"/>
                <w:color w:val="auto"/>
                <w:sz w:val="24"/>
                <w:szCs w:val="24"/>
                <w:highlight w:val="none"/>
              </w:rPr>
              <w:t>垃圾收集桶，</w:t>
            </w:r>
            <w:r>
              <w:rPr>
                <w:rFonts w:hint="eastAsia" w:ascii="Times New Roman" w:hAnsi="Times New Roman" w:cs="Times New Roman"/>
                <w:color w:val="auto"/>
                <w:sz w:val="24"/>
                <w:szCs w:val="24"/>
                <w:highlight w:val="none"/>
                <w:lang w:val="en-US" w:eastAsia="zh-CN"/>
              </w:rPr>
              <w:t>实验室固体废物</w:t>
            </w:r>
            <w:r>
              <w:rPr>
                <w:rFonts w:ascii="Times New Roman" w:hAnsi="Times New Roman" w:cs="Times New Roman"/>
                <w:color w:val="auto"/>
                <w:sz w:val="24"/>
                <w:szCs w:val="24"/>
                <w:highlight w:val="none"/>
              </w:rPr>
              <w:t>经袋装</w:t>
            </w:r>
            <w:r>
              <w:rPr>
                <w:rFonts w:hint="eastAsia" w:ascii="Times New Roman" w:hAnsi="Times New Roman" w:cs="Times New Roman"/>
                <w:color w:val="auto"/>
                <w:sz w:val="24"/>
                <w:szCs w:val="24"/>
                <w:highlight w:val="none"/>
              </w:rPr>
              <w:t>分类</w:t>
            </w:r>
            <w:r>
              <w:rPr>
                <w:rFonts w:ascii="Times New Roman" w:hAnsi="Times New Roman" w:cs="Times New Roman"/>
                <w:color w:val="auto"/>
                <w:sz w:val="24"/>
                <w:szCs w:val="24"/>
                <w:highlight w:val="none"/>
              </w:rPr>
              <w:t>收集后</w:t>
            </w:r>
            <w:r>
              <w:rPr>
                <w:rFonts w:hint="eastAsia" w:ascii="Times New Roman" w:hAnsi="Times New Roman" w:cs="Times New Roman"/>
                <w:color w:val="auto"/>
                <w:sz w:val="24"/>
                <w:szCs w:val="24"/>
                <w:highlight w:val="none"/>
              </w:rPr>
              <w:t>日产日清，</w:t>
            </w:r>
            <w:r>
              <w:rPr>
                <w:rFonts w:ascii="Times New Roman" w:hAnsi="Times New Roman" w:cs="Times New Roman"/>
                <w:color w:val="auto"/>
                <w:sz w:val="24"/>
                <w:szCs w:val="24"/>
                <w:highlight w:val="none"/>
              </w:rPr>
              <w:t>直接由环卫部门统一进行清运处置。</w:t>
            </w:r>
          </w:p>
          <w:p w14:paraId="1830F854">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（2）危险废物</w:t>
            </w:r>
          </w:p>
          <w:p w14:paraId="451E4333">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原有项目</w:t>
            </w:r>
            <w:r>
              <w:rPr>
                <w:rFonts w:ascii="Times New Roman" w:hAnsi="Times New Roman" w:cs="Times New Roman"/>
                <w:color w:val="auto"/>
                <w:sz w:val="24"/>
                <w:szCs w:val="24"/>
                <w:highlight w:val="none"/>
              </w:rPr>
              <w:t>危险废物包括</w:t>
            </w:r>
            <w:r>
              <w:rPr>
                <w:rFonts w:hint="eastAsia" w:ascii="Times New Roman" w:hAnsi="Times New Roman" w:cs="Times New Roman"/>
                <w:color w:val="auto"/>
                <w:sz w:val="24"/>
                <w:szCs w:val="24"/>
                <w:highlight w:val="none"/>
                <w:lang w:val="en-US" w:eastAsia="zh-CN"/>
              </w:rPr>
              <w:t>实验废液</w:t>
            </w:r>
            <w:r>
              <w:rPr>
                <w:rFonts w:hint="eastAsia" w:ascii="Times New Roman" w:hAnsi="Times New Roman" w:cs="Times New Roman"/>
                <w:color w:val="auto"/>
                <w:sz w:val="24"/>
                <w:szCs w:val="24"/>
                <w:highlight w:val="none"/>
              </w:rPr>
              <w:t>、过期</w:t>
            </w:r>
            <w:r>
              <w:rPr>
                <w:rFonts w:hint="eastAsia" w:ascii="Times New Roman" w:hAnsi="Times New Roman" w:cs="Times New Roman"/>
                <w:color w:val="auto"/>
                <w:sz w:val="24"/>
                <w:szCs w:val="24"/>
                <w:highlight w:val="none"/>
                <w:lang w:val="en-US" w:eastAsia="zh-CN"/>
              </w:rPr>
              <w:t>试剂</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废矿物油</w:t>
            </w:r>
            <w:r>
              <w:rPr>
                <w:rFonts w:hint="eastAsia" w:ascii="Times New Roman" w:hAnsi="Times New Roman" w:cs="Times New Roman"/>
                <w:color w:val="auto"/>
                <w:sz w:val="24"/>
                <w:szCs w:val="24"/>
                <w:highlight w:val="none"/>
              </w:rPr>
              <w:t>。</w:t>
            </w:r>
          </w:p>
          <w:p w14:paraId="33FA3194">
            <w:pPr>
              <w:spacing w:line="360" w:lineRule="auto"/>
              <w:ind w:firstLine="482" w:firstLineChars="200"/>
              <w:rPr>
                <w:rFonts w:hint="default" w:eastAsiaTheme="minorEastAsia"/>
                <w:b/>
                <w:bCs/>
                <w:color w:val="auto"/>
                <w:sz w:val="24"/>
                <w:szCs w:val="24"/>
                <w:highlight w:val="none"/>
                <w:lang w:val="en-US" w:eastAsia="zh-CN"/>
              </w:rPr>
            </w:pPr>
            <w:r>
              <w:rPr>
                <w:rFonts w:hint="eastAsia"/>
                <w:b/>
                <w:bCs/>
                <w:color w:val="auto"/>
                <w:sz w:val="24"/>
                <w:szCs w:val="24"/>
                <w:highlight w:val="none"/>
              </w:rPr>
              <w:t>①</w:t>
            </w:r>
            <w:r>
              <w:rPr>
                <w:rFonts w:hint="eastAsia"/>
                <w:b/>
                <w:bCs/>
                <w:color w:val="auto"/>
                <w:sz w:val="24"/>
                <w:szCs w:val="24"/>
                <w:highlight w:val="none"/>
                <w:lang w:val="en-US" w:eastAsia="zh-CN"/>
              </w:rPr>
              <w:t>实验废液</w:t>
            </w:r>
            <w:r>
              <w:rPr>
                <w:rFonts w:hint="eastAsia" w:ascii="Times New Roman" w:hAnsi="Times New Roman" w:eastAsia="宋体" w:cs="Times New Roman"/>
                <w:b/>
                <w:bCs/>
                <w:color w:val="auto"/>
                <w:sz w:val="24"/>
                <w:szCs w:val="24"/>
                <w:highlight w:val="none"/>
                <w:lang w:val="en-US" w:eastAsia="zh-CN"/>
              </w:rPr>
              <w:t>（HW49）</w:t>
            </w:r>
          </w:p>
          <w:p w14:paraId="4017C3A8">
            <w:pPr>
              <w:spacing w:line="360" w:lineRule="auto"/>
              <w:ind w:firstLine="480"/>
              <w:rPr>
                <w:color w:val="auto"/>
                <w:szCs w:val="21"/>
                <w:highlight w:val="none"/>
              </w:rPr>
            </w:pPr>
            <w:r>
              <w:rPr>
                <w:rFonts w:hint="eastAsia"/>
                <w:b/>
                <w:bCs/>
                <w:color w:val="auto"/>
                <w:sz w:val="24"/>
                <w:szCs w:val="24"/>
                <w:highlight w:val="none"/>
                <w:lang w:val="en-US" w:eastAsia="zh-CN"/>
              </w:rPr>
              <w:t>产生情况：</w:t>
            </w:r>
            <w:r>
              <w:rPr>
                <w:rFonts w:hint="eastAsia"/>
                <w:b w:val="0"/>
                <w:bCs w:val="0"/>
                <w:color w:val="auto"/>
                <w:sz w:val="24"/>
                <w:szCs w:val="24"/>
                <w:highlight w:val="none"/>
                <w:lang w:val="en-US" w:eastAsia="zh-CN"/>
              </w:rPr>
              <w:t>主要是化学实验产生的实验废液和实验器皿前三次清洗废水</w:t>
            </w:r>
            <w:r>
              <w:rPr>
                <w:rFonts w:hint="eastAsia"/>
                <w:color w:val="auto"/>
                <w:sz w:val="24"/>
                <w:szCs w:val="24"/>
                <w:highlight w:val="none"/>
                <w:lang w:eastAsia="zh-CN"/>
              </w:rPr>
              <w:t>，</w:t>
            </w:r>
            <w:r>
              <w:rPr>
                <w:rFonts w:ascii="Times New Roman" w:hAnsi="Times New Roman" w:cs="Times New Roman"/>
                <w:color w:val="auto"/>
                <w:sz w:val="24"/>
                <w:szCs w:val="24"/>
                <w:highlight w:val="none"/>
              </w:rPr>
              <w:t>产生量约</w:t>
            </w:r>
            <w:r>
              <w:rPr>
                <w:rFonts w:hint="eastAsia" w:ascii="Times New Roman" w:hAnsi="Times New Roman" w:cs="Times New Roman"/>
                <w:color w:val="auto"/>
                <w:sz w:val="24"/>
                <w:szCs w:val="24"/>
                <w:highlight w:val="none"/>
                <w:lang w:val="en-US" w:eastAsia="zh-CN"/>
              </w:rPr>
              <w:t>3.0134</w:t>
            </w:r>
            <w:r>
              <w:rPr>
                <w:rFonts w:hint="eastAsia" w:ascii="Times New Roman" w:hAnsi="Times New Roman" w:cs="Times New Roman"/>
                <w:color w:val="auto"/>
                <w:sz w:val="24"/>
                <w:szCs w:val="24"/>
                <w:highlight w:val="none"/>
              </w:rPr>
              <w:t>t/</w:t>
            </w:r>
            <w:r>
              <w:rPr>
                <w:rFonts w:hint="eastAsia" w:ascii="Times New Roman" w:hAnsi="Times New Roman" w:cs="Times New Roman"/>
                <w:color w:val="auto"/>
                <w:sz w:val="24"/>
                <w:szCs w:val="24"/>
                <w:highlight w:val="none"/>
                <w:lang w:val="en-US" w:eastAsia="zh-CN"/>
              </w:rPr>
              <w:t>a</w:t>
            </w:r>
            <w:r>
              <w:rPr>
                <w:rFonts w:ascii="Times New Roman" w:hAnsi="Times New Roman" w:cs="Times New Roman"/>
                <w:color w:val="auto"/>
                <w:sz w:val="24"/>
                <w:szCs w:val="24"/>
                <w:highlight w:val="none"/>
              </w:rPr>
              <w:t>。</w:t>
            </w:r>
          </w:p>
          <w:p w14:paraId="734A25A3">
            <w:pPr>
              <w:spacing w:line="360" w:lineRule="auto"/>
              <w:ind w:firstLine="482" w:firstLineChars="200"/>
              <w:rPr>
                <w:rFonts w:hint="default" w:ascii="Times New Roman" w:hAnsi="Times New Roman" w:cs="Times New Roman" w:eastAsiaTheme="minorEastAsia"/>
                <w:b w:val="0"/>
                <w:bCs w:val="0"/>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治理措施：</w:t>
            </w:r>
            <w:r>
              <w:rPr>
                <w:rFonts w:hint="eastAsia" w:ascii="Times New Roman" w:hAnsi="Times New Roman" w:cs="Times New Roman"/>
                <w:b w:val="0"/>
                <w:bCs w:val="0"/>
                <w:color w:val="auto"/>
                <w:sz w:val="24"/>
                <w:szCs w:val="24"/>
                <w:highlight w:val="none"/>
                <w:lang w:val="en-US" w:eastAsia="zh-CN"/>
              </w:rPr>
              <w:t>原有项目</w:t>
            </w:r>
            <w:r>
              <w:rPr>
                <w:rFonts w:hint="eastAsia"/>
                <w:b w:val="0"/>
                <w:bCs w:val="0"/>
                <w:color w:val="auto"/>
                <w:sz w:val="24"/>
                <w:szCs w:val="24"/>
                <w:highlight w:val="none"/>
                <w:lang w:val="en-US" w:eastAsia="zh-CN"/>
              </w:rPr>
              <w:t>化学实验产生的实验废液和实验器皿前三次清洗废水未作为危废进行收集，直接排入市政污水管网</w:t>
            </w:r>
            <w:r>
              <w:rPr>
                <w:rFonts w:hint="eastAsia" w:ascii="Times New Roman" w:hAnsi="Times New Roman" w:cs="Times New Roman"/>
                <w:b w:val="0"/>
                <w:bCs w:val="0"/>
                <w:color w:val="auto"/>
                <w:sz w:val="24"/>
                <w:szCs w:val="24"/>
                <w:highlight w:val="none"/>
                <w:lang w:val="en-US" w:eastAsia="zh-CN"/>
              </w:rPr>
              <w:t>。</w:t>
            </w:r>
          </w:p>
          <w:p w14:paraId="6895540E">
            <w:pPr>
              <w:spacing w:line="360" w:lineRule="auto"/>
              <w:ind w:firstLine="482" w:firstLineChars="200"/>
              <w:rPr>
                <w:rFonts w:hint="default" w:ascii="Times New Roman" w:hAnsi="Times New Roman" w:cs="Times New Roman" w:eastAsiaTheme="minorEastAsia"/>
                <w:b/>
                <w:bCs/>
                <w:color w:val="auto"/>
                <w:sz w:val="24"/>
                <w:szCs w:val="24"/>
                <w:highlight w:val="none"/>
                <w:lang w:val="en-US" w:eastAsia="zh-CN"/>
              </w:rPr>
            </w:pPr>
            <w:r>
              <w:rPr>
                <w:rFonts w:ascii="Times New Roman" w:hAnsi="Times New Roman" w:cs="Times New Roman"/>
                <w:b/>
                <w:bCs/>
                <w:color w:val="auto"/>
                <w:sz w:val="24"/>
                <w:szCs w:val="24"/>
                <w:highlight w:val="none"/>
              </w:rPr>
              <w:t>②</w:t>
            </w:r>
            <w:r>
              <w:rPr>
                <w:rFonts w:hint="eastAsia" w:ascii="Times New Roman" w:hAnsi="Times New Roman" w:cs="Times New Roman"/>
                <w:b/>
                <w:bCs/>
                <w:color w:val="auto"/>
                <w:sz w:val="24"/>
                <w:szCs w:val="24"/>
                <w:highlight w:val="none"/>
                <w:lang w:val="en-US" w:eastAsia="zh-CN"/>
              </w:rPr>
              <w:t>化学品废包装容器</w:t>
            </w:r>
            <w:r>
              <w:rPr>
                <w:rFonts w:hint="eastAsia" w:ascii="Times New Roman" w:hAnsi="Times New Roman" w:eastAsia="宋体" w:cs="Times New Roman"/>
                <w:b/>
                <w:bCs/>
                <w:color w:val="auto"/>
                <w:sz w:val="24"/>
                <w:szCs w:val="24"/>
                <w:highlight w:val="none"/>
                <w:lang w:val="en-US" w:eastAsia="zh-CN"/>
              </w:rPr>
              <w:t>（HW49）</w:t>
            </w:r>
          </w:p>
          <w:p w14:paraId="4B9FC417">
            <w:pPr>
              <w:spacing w:line="360" w:lineRule="auto"/>
              <w:ind w:firstLine="482" w:firstLineChars="200"/>
              <w:rPr>
                <w:rFonts w:ascii="Times New Roman" w:hAnsi="Times New Roman" w:cs="Times New Roman"/>
                <w:color w:val="auto"/>
                <w:sz w:val="24"/>
                <w:szCs w:val="24"/>
                <w:highlight w:val="none"/>
              </w:rPr>
            </w:pPr>
            <w:r>
              <w:rPr>
                <w:rFonts w:hint="eastAsia"/>
                <w:b/>
                <w:bCs/>
                <w:color w:val="auto"/>
                <w:sz w:val="24"/>
                <w:szCs w:val="24"/>
                <w:highlight w:val="none"/>
                <w:lang w:val="en-US" w:eastAsia="zh-CN"/>
              </w:rPr>
              <w:t>产生情况：</w:t>
            </w:r>
            <w:r>
              <w:rPr>
                <w:rFonts w:hint="eastAsia"/>
                <w:b w:val="0"/>
                <w:bCs w:val="0"/>
                <w:color w:val="auto"/>
                <w:sz w:val="24"/>
                <w:szCs w:val="24"/>
                <w:highlight w:val="none"/>
                <w:lang w:val="en-US" w:eastAsia="zh-CN"/>
              </w:rPr>
              <w:t>原有项目化学品废包装容器</w:t>
            </w:r>
            <w:r>
              <w:rPr>
                <w:rFonts w:ascii="Times New Roman" w:hAnsi="Times New Roman" w:cs="Times New Roman"/>
                <w:color w:val="auto"/>
                <w:sz w:val="24"/>
                <w:szCs w:val="24"/>
                <w:highlight w:val="none"/>
              </w:rPr>
              <w:t>目前产生量约为0.0</w:t>
            </w:r>
            <w:r>
              <w:rPr>
                <w:rFonts w:hint="eastAsia" w:ascii="Times New Roman" w:hAnsi="Times New Roman" w:cs="Times New Roman"/>
                <w:color w:val="auto"/>
                <w:sz w:val="24"/>
                <w:szCs w:val="24"/>
                <w:highlight w:val="none"/>
                <w:lang w:val="en-US" w:eastAsia="zh-CN"/>
              </w:rPr>
              <w:t>1</w:t>
            </w:r>
            <w:r>
              <w:rPr>
                <w:rFonts w:ascii="Times New Roman" w:hAnsi="Times New Roman" w:cs="Times New Roman"/>
                <w:color w:val="auto"/>
                <w:sz w:val="24"/>
                <w:szCs w:val="24"/>
                <w:highlight w:val="none"/>
              </w:rPr>
              <w:t>t/a。</w:t>
            </w:r>
          </w:p>
          <w:p w14:paraId="463DACC4">
            <w:pPr>
              <w:spacing w:line="360" w:lineRule="auto"/>
              <w:ind w:firstLine="482" w:firstLineChars="200"/>
              <w:rPr>
                <w:rFonts w:ascii="Times New Roman" w:hAnsi="Times New Roman" w:cs="Times New Roman"/>
                <w:color w:val="auto"/>
                <w:sz w:val="24"/>
                <w:szCs w:val="24"/>
                <w:highlight w:val="none"/>
              </w:rPr>
            </w:pPr>
            <w:r>
              <w:rPr>
                <w:rFonts w:hint="eastAsia" w:ascii="Times New Roman" w:hAnsi="Times New Roman" w:cs="Times New Roman"/>
                <w:b/>
                <w:bCs/>
                <w:color w:val="auto"/>
                <w:sz w:val="24"/>
                <w:szCs w:val="24"/>
                <w:highlight w:val="none"/>
                <w:lang w:val="en-US" w:eastAsia="zh-CN"/>
              </w:rPr>
              <w:t>治理措施：</w:t>
            </w:r>
            <w:r>
              <w:rPr>
                <w:rFonts w:hint="eastAsia" w:ascii="Times New Roman" w:hAnsi="Times New Roman" w:cs="Times New Roman"/>
                <w:b w:val="0"/>
                <w:bCs w:val="0"/>
                <w:color w:val="auto"/>
                <w:sz w:val="24"/>
                <w:szCs w:val="24"/>
                <w:highlight w:val="none"/>
                <w:lang w:val="en-US" w:eastAsia="zh-CN"/>
              </w:rPr>
              <w:t>由于原有项目实验室产生化学品废包装容器较少，无危废单位与其签订清运危废协议，原有项目化学品废包装容器送至马尔康市中学危废暂存间，定期由有危废处理资质单位运输处置。</w:t>
            </w:r>
          </w:p>
          <w:p w14:paraId="12C6DC29">
            <w:pPr>
              <w:spacing w:line="360" w:lineRule="auto"/>
              <w:ind w:firstLine="482" w:firstLineChars="200"/>
              <w:rPr>
                <w:rFonts w:hint="eastAsia" w:ascii="Times New Roman" w:hAnsi="Times New Roman" w:eastAsia="宋体" w:cs="Times New Roman"/>
                <w:b/>
                <w:bCs/>
                <w:color w:val="auto"/>
                <w:sz w:val="24"/>
                <w:szCs w:val="24"/>
                <w:highlight w:val="none"/>
                <w:lang w:val="en-US" w:eastAsia="zh-CN"/>
              </w:rPr>
            </w:pPr>
            <w:r>
              <w:rPr>
                <w:rFonts w:ascii="Times New Roman" w:hAnsi="Times New Roman" w:cs="Times New Roman"/>
                <w:b/>
                <w:bCs/>
                <w:color w:val="auto"/>
                <w:sz w:val="24"/>
                <w:szCs w:val="24"/>
                <w:highlight w:val="none"/>
              </w:rPr>
              <w:t>③</w:t>
            </w:r>
            <w:r>
              <w:rPr>
                <w:rFonts w:hint="eastAsia" w:ascii="Times New Roman" w:hAnsi="Times New Roman" w:eastAsia="宋体" w:cs="Times New Roman"/>
                <w:b/>
                <w:bCs/>
                <w:color w:val="auto"/>
                <w:sz w:val="24"/>
                <w:szCs w:val="24"/>
                <w:highlight w:val="none"/>
                <w:lang w:val="en-US" w:eastAsia="zh-CN"/>
              </w:rPr>
              <w:t>废矿物油（HW08）</w:t>
            </w:r>
          </w:p>
          <w:p w14:paraId="61E0400E">
            <w:pPr>
              <w:spacing w:line="360" w:lineRule="auto"/>
              <w:ind w:firstLine="482" w:firstLineChars="200"/>
              <w:rPr>
                <w:rFonts w:ascii="Times New Roman" w:hAnsi="Times New Roman" w:cs="Times New Roman"/>
                <w:color w:val="auto"/>
                <w:sz w:val="24"/>
                <w:szCs w:val="24"/>
                <w:highlight w:val="none"/>
              </w:rPr>
            </w:pPr>
            <w:r>
              <w:rPr>
                <w:rFonts w:hint="eastAsia" w:ascii="Times New Roman" w:hAnsi="Times New Roman" w:cs="Times New Roman"/>
                <w:b/>
                <w:bCs/>
                <w:color w:val="auto"/>
                <w:sz w:val="24"/>
                <w:szCs w:val="24"/>
                <w:highlight w:val="none"/>
                <w:lang w:val="en-US" w:eastAsia="zh-CN"/>
              </w:rPr>
              <w:t>产生情况：</w:t>
            </w:r>
            <w:r>
              <w:rPr>
                <w:rFonts w:hint="eastAsia" w:ascii="Times New Roman" w:hAnsi="Times New Roman" w:cs="Times New Roman"/>
                <w:color w:val="auto"/>
                <w:sz w:val="24"/>
                <w:szCs w:val="24"/>
                <w:highlight w:val="none"/>
                <w:lang w:val="en-US" w:eastAsia="zh-CN"/>
              </w:rPr>
              <w:t>柴油发电机在运行过程中会产生废矿物油</w:t>
            </w:r>
            <w:r>
              <w:rPr>
                <w:rFonts w:hint="eastAsia" w:ascii="Times New Roman" w:hAnsi="Times New Roman" w:cs="Times New Roman"/>
                <w:color w:val="auto"/>
                <w:sz w:val="24"/>
                <w:szCs w:val="24"/>
                <w:highlight w:val="none"/>
              </w:rPr>
              <w:t>，根据</w:t>
            </w:r>
            <w:r>
              <w:rPr>
                <w:rFonts w:hint="eastAsia" w:ascii="Times New Roman" w:hAnsi="Times New Roman" w:cs="Times New Roman"/>
                <w:color w:val="auto"/>
                <w:sz w:val="24"/>
                <w:szCs w:val="24"/>
                <w:highlight w:val="none"/>
                <w:lang w:val="en-US" w:eastAsia="zh-CN"/>
              </w:rPr>
              <w:t>学校</w:t>
            </w:r>
            <w:r>
              <w:rPr>
                <w:rFonts w:ascii="Times New Roman" w:hAnsi="Times New Roman" w:cs="Times New Roman"/>
                <w:color w:val="auto"/>
                <w:sz w:val="24"/>
                <w:szCs w:val="24"/>
                <w:highlight w:val="none"/>
              </w:rPr>
              <w:t>现状，其</w:t>
            </w:r>
            <w:r>
              <w:rPr>
                <w:rFonts w:hint="eastAsia" w:ascii="Times New Roman" w:hAnsi="Times New Roman" w:cs="Times New Roman"/>
                <w:color w:val="auto"/>
                <w:sz w:val="24"/>
                <w:szCs w:val="24"/>
                <w:highlight w:val="none"/>
              </w:rPr>
              <w:t>产生量约</w:t>
            </w:r>
            <w:r>
              <w:rPr>
                <w:rFonts w:ascii="Times New Roman" w:hAnsi="Times New Roman" w:cs="Times New Roman"/>
                <w:color w:val="auto"/>
                <w:sz w:val="24"/>
                <w:szCs w:val="24"/>
                <w:highlight w:val="none"/>
              </w:rPr>
              <w:t>0.0</w:t>
            </w:r>
            <w:r>
              <w:rPr>
                <w:rFonts w:hint="eastAsia" w:ascii="Times New Roman" w:hAnsi="Times New Roman" w:cs="Times New Roman"/>
                <w:color w:val="auto"/>
                <w:sz w:val="24"/>
                <w:szCs w:val="24"/>
                <w:highlight w:val="none"/>
                <w:lang w:val="en-US" w:eastAsia="zh-CN"/>
              </w:rPr>
              <w:t>1</w:t>
            </w:r>
            <w:r>
              <w:rPr>
                <w:rFonts w:ascii="Times New Roman" w:hAnsi="Times New Roman" w:cs="Times New Roman"/>
                <w:color w:val="auto"/>
                <w:sz w:val="24"/>
                <w:szCs w:val="24"/>
                <w:highlight w:val="none"/>
              </w:rPr>
              <w:t>t/a。</w:t>
            </w:r>
          </w:p>
          <w:p w14:paraId="477A4BD1">
            <w:pPr>
              <w:spacing w:line="360" w:lineRule="auto"/>
              <w:ind w:firstLine="482"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治理措施：</w:t>
            </w:r>
            <w:r>
              <w:rPr>
                <w:rFonts w:hint="eastAsia" w:ascii="Times New Roman" w:hAnsi="Times New Roman" w:cs="Times New Roman"/>
                <w:color w:val="auto"/>
                <w:sz w:val="24"/>
                <w:szCs w:val="24"/>
                <w:highlight w:val="none"/>
                <w:lang w:val="en-US" w:eastAsia="zh-CN"/>
              </w:rPr>
              <w:t>废矿物油</w:t>
            </w:r>
            <w:r>
              <w:rPr>
                <w:rFonts w:hint="eastAsia" w:ascii="Times New Roman" w:hAnsi="Times New Roman" w:cs="Times New Roman"/>
                <w:color w:val="auto"/>
                <w:sz w:val="24"/>
                <w:szCs w:val="24"/>
                <w:highlight w:val="none"/>
              </w:rPr>
              <w:t>暂存</w:t>
            </w:r>
            <w:r>
              <w:rPr>
                <w:rFonts w:hint="eastAsia" w:ascii="Times New Roman" w:hAnsi="Times New Roman" w:cs="Times New Roman"/>
                <w:color w:val="auto"/>
                <w:sz w:val="24"/>
                <w:szCs w:val="24"/>
                <w:highlight w:val="none"/>
                <w:lang w:val="en-US" w:eastAsia="zh-CN"/>
              </w:rPr>
              <w:t>在柴油发电机房</w:t>
            </w:r>
            <w:r>
              <w:rPr>
                <w:rFonts w:hint="eastAsia" w:ascii="Times New Roman" w:hAnsi="Times New Roman" w:cs="Times New Roman"/>
                <w:color w:val="auto"/>
                <w:sz w:val="24"/>
                <w:szCs w:val="24"/>
                <w:highlight w:val="none"/>
              </w:rPr>
              <w:t>内，</w:t>
            </w:r>
            <w:r>
              <w:rPr>
                <w:rFonts w:hint="eastAsia" w:ascii="Times New Roman" w:hAnsi="Times New Roman" w:cs="Times New Roman"/>
                <w:color w:val="auto"/>
                <w:sz w:val="24"/>
                <w:szCs w:val="24"/>
                <w:highlight w:val="none"/>
                <w:lang w:val="en-US" w:eastAsia="zh-CN"/>
              </w:rPr>
              <w:t>由环卫部门清运处置。</w:t>
            </w:r>
          </w:p>
          <w:p w14:paraId="57EA8905">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原有项目</w:t>
            </w:r>
            <w:r>
              <w:rPr>
                <w:rFonts w:hint="eastAsia" w:ascii="Times New Roman" w:hAnsi="Times New Roman" w:eastAsia="宋体" w:cs="Times New Roman"/>
                <w:color w:val="auto"/>
                <w:sz w:val="24"/>
                <w:szCs w:val="24"/>
              </w:rPr>
              <w:t>运行过程中产生的固体废物分为一般固废和危险废物，具体分类及产生、处置情况如下</w:t>
            </w:r>
            <w:r>
              <w:rPr>
                <w:rFonts w:hint="eastAsia" w:ascii="Times New Roman" w:hAnsi="Times New Roman" w:eastAsia="宋体" w:cs="Times New Roman"/>
                <w:color w:val="auto"/>
                <w:sz w:val="24"/>
                <w:szCs w:val="24"/>
                <w:lang w:eastAsia="zh-CN"/>
              </w:rPr>
              <w:t>：</w:t>
            </w:r>
          </w:p>
          <w:p w14:paraId="41B38730">
            <w:pPr>
              <w:pStyle w:val="114"/>
              <w:bidi w:val="0"/>
              <w:rPr>
                <w:rFonts w:hint="default"/>
                <w:color w:val="auto"/>
                <w:lang w:val="en-US" w:eastAsia="zh-CN"/>
              </w:rPr>
            </w:pPr>
            <w:r>
              <w:rPr>
                <w:rFonts w:hint="eastAsia"/>
                <w:color w:val="auto"/>
                <w:lang w:val="en-US" w:eastAsia="zh-CN"/>
              </w:rPr>
              <w:t>原有项目固体废物产生及处置措施</w:t>
            </w:r>
          </w:p>
          <w:tbl>
            <w:tblPr>
              <w:tblStyle w:val="4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722"/>
              <w:gridCol w:w="1587"/>
              <w:gridCol w:w="1431"/>
              <w:gridCol w:w="1138"/>
              <w:gridCol w:w="3706"/>
            </w:tblGrid>
            <w:tr w14:paraId="6DFCB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63" w:type="pct"/>
                  <w:gridSpan w:val="2"/>
                  <w:tcBorders>
                    <w:tl2br w:val="nil"/>
                    <w:tr2bl w:val="nil"/>
                  </w:tcBorders>
                  <w:vAlign w:val="center"/>
                </w:tcPr>
                <w:p w14:paraId="1AFA68A5">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类别</w:t>
                  </w:r>
                </w:p>
              </w:tc>
              <w:tc>
                <w:tcPr>
                  <w:tcW w:w="855" w:type="pct"/>
                  <w:tcBorders>
                    <w:tl2br w:val="nil"/>
                    <w:tr2bl w:val="nil"/>
                  </w:tcBorders>
                  <w:vAlign w:val="center"/>
                </w:tcPr>
                <w:p w14:paraId="3848F005">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固废名称</w:t>
                  </w:r>
                </w:p>
              </w:tc>
              <w:tc>
                <w:tcPr>
                  <w:tcW w:w="771" w:type="pct"/>
                  <w:tcBorders>
                    <w:tl2br w:val="nil"/>
                    <w:tr2bl w:val="nil"/>
                  </w:tcBorders>
                  <w:vAlign w:val="center"/>
                </w:tcPr>
                <w:p w14:paraId="40829B79">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固废代码</w:t>
                  </w:r>
                </w:p>
              </w:tc>
              <w:tc>
                <w:tcPr>
                  <w:tcW w:w="613" w:type="pct"/>
                  <w:tcBorders>
                    <w:tl2br w:val="nil"/>
                    <w:tr2bl w:val="nil"/>
                  </w:tcBorders>
                  <w:vAlign w:val="center"/>
                </w:tcPr>
                <w:p w14:paraId="085382CC">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产生量（</w:t>
                  </w:r>
                  <w:r>
                    <w:rPr>
                      <w:rFonts w:ascii="Times New Roman" w:hAnsi="Times New Roman" w:eastAsia="宋体" w:cs="Times New Roman"/>
                      <w:b/>
                      <w:bCs/>
                      <w:color w:val="auto"/>
                      <w:sz w:val="21"/>
                      <w:szCs w:val="21"/>
                    </w:rPr>
                    <w:t>t/a</w:t>
                  </w:r>
                  <w:r>
                    <w:rPr>
                      <w:rFonts w:hint="eastAsia" w:ascii="Times New Roman" w:hAnsi="Times New Roman" w:eastAsia="宋体" w:cs="Times New Roman"/>
                      <w:b/>
                      <w:bCs/>
                      <w:color w:val="auto"/>
                      <w:sz w:val="21"/>
                      <w:szCs w:val="21"/>
                    </w:rPr>
                    <w:t>）</w:t>
                  </w:r>
                </w:p>
              </w:tc>
              <w:tc>
                <w:tcPr>
                  <w:tcW w:w="1997" w:type="pct"/>
                  <w:tcBorders>
                    <w:tl2br w:val="nil"/>
                    <w:tr2bl w:val="nil"/>
                  </w:tcBorders>
                  <w:vAlign w:val="center"/>
                </w:tcPr>
                <w:p w14:paraId="012F014E">
                  <w:pPr>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处置措施</w:t>
                  </w:r>
                </w:p>
              </w:tc>
            </w:tr>
            <w:tr w14:paraId="79503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restart"/>
                  <w:tcBorders>
                    <w:tl2br w:val="nil"/>
                    <w:tr2bl w:val="nil"/>
                  </w:tcBorders>
                  <w:vAlign w:val="center"/>
                </w:tcPr>
                <w:p w14:paraId="3C0AC99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固体废物</w:t>
                  </w:r>
                </w:p>
              </w:tc>
              <w:tc>
                <w:tcPr>
                  <w:tcW w:w="388" w:type="pct"/>
                  <w:tcBorders>
                    <w:tl2br w:val="nil"/>
                    <w:tr2bl w:val="nil"/>
                  </w:tcBorders>
                  <w:vAlign w:val="center"/>
                </w:tcPr>
                <w:p w14:paraId="147D121C">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生活垃圾</w:t>
                  </w:r>
                </w:p>
              </w:tc>
              <w:tc>
                <w:tcPr>
                  <w:tcW w:w="855" w:type="pct"/>
                  <w:tcBorders>
                    <w:tl2br w:val="nil"/>
                    <w:tr2bl w:val="nil"/>
                  </w:tcBorders>
                  <w:vAlign w:val="center"/>
                </w:tcPr>
                <w:p w14:paraId="4EE02886">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生活垃圾</w:t>
                  </w:r>
                </w:p>
              </w:tc>
              <w:tc>
                <w:tcPr>
                  <w:tcW w:w="771" w:type="pct"/>
                  <w:tcBorders>
                    <w:tl2br w:val="nil"/>
                    <w:tr2bl w:val="nil"/>
                  </w:tcBorders>
                  <w:vAlign w:val="center"/>
                </w:tcPr>
                <w:p w14:paraId="5E4EEB8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SW64 900-099-S64</w:t>
                  </w:r>
                </w:p>
              </w:tc>
              <w:tc>
                <w:tcPr>
                  <w:tcW w:w="613" w:type="pct"/>
                  <w:tcBorders>
                    <w:tl2br w:val="nil"/>
                    <w:tr2bl w:val="nil"/>
                  </w:tcBorders>
                  <w:vAlign w:val="center"/>
                </w:tcPr>
                <w:p w14:paraId="15C52CF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w:t>
                  </w:r>
                </w:p>
              </w:tc>
              <w:tc>
                <w:tcPr>
                  <w:tcW w:w="1997" w:type="pct"/>
                  <w:tcBorders>
                    <w:tl2br w:val="nil"/>
                    <w:tr2bl w:val="nil"/>
                  </w:tcBorders>
                  <w:vAlign w:val="center"/>
                </w:tcPr>
                <w:p w14:paraId="3D453C0F">
                  <w:pPr>
                    <w:jc w:val="center"/>
                    <w:rPr>
                      <w:rFonts w:ascii="Times New Roman" w:hAnsi="Times New Roman" w:eastAsia="宋体" w:cs="Times New Roman"/>
                      <w:color w:val="auto"/>
                      <w:sz w:val="21"/>
                      <w:szCs w:val="21"/>
                    </w:rPr>
                  </w:pPr>
                  <w:r>
                    <w:rPr>
                      <w:rFonts w:ascii="Times New Roman" w:hAnsi="Times New Roman" w:cs="Times New Roman"/>
                      <w:color w:val="auto"/>
                      <w:sz w:val="21"/>
                      <w:szCs w:val="21"/>
                      <w:highlight w:val="none"/>
                    </w:rPr>
                    <w:t>市政环卫部门统一清运处置</w:t>
                  </w:r>
                </w:p>
              </w:tc>
            </w:tr>
            <w:tr w14:paraId="68A39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continue"/>
                  <w:tcBorders>
                    <w:tl2br w:val="nil"/>
                    <w:tr2bl w:val="nil"/>
                  </w:tcBorders>
                  <w:vAlign w:val="center"/>
                </w:tcPr>
                <w:p w14:paraId="7F652ED5">
                  <w:pPr>
                    <w:jc w:val="center"/>
                    <w:rPr>
                      <w:rFonts w:hint="eastAsia" w:ascii="Times New Roman" w:hAnsi="Times New Roman" w:eastAsia="宋体" w:cs="Times New Roman"/>
                      <w:color w:val="auto"/>
                      <w:sz w:val="21"/>
                      <w:szCs w:val="21"/>
                    </w:rPr>
                  </w:pPr>
                </w:p>
              </w:tc>
              <w:tc>
                <w:tcPr>
                  <w:tcW w:w="388" w:type="pct"/>
                  <w:vMerge w:val="restart"/>
                  <w:tcBorders>
                    <w:tl2br w:val="nil"/>
                    <w:tr2bl w:val="nil"/>
                  </w:tcBorders>
                  <w:vAlign w:val="center"/>
                </w:tcPr>
                <w:p w14:paraId="2C858FD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一般固废</w:t>
                  </w:r>
                </w:p>
              </w:tc>
              <w:tc>
                <w:tcPr>
                  <w:tcW w:w="855" w:type="pct"/>
                  <w:tcBorders>
                    <w:tl2br w:val="nil"/>
                    <w:tr2bl w:val="nil"/>
                  </w:tcBorders>
                  <w:vAlign w:val="center"/>
                </w:tcPr>
                <w:p w14:paraId="0F98945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食堂餐厨垃圾</w:t>
                  </w:r>
                </w:p>
              </w:tc>
              <w:tc>
                <w:tcPr>
                  <w:tcW w:w="771" w:type="pct"/>
                  <w:tcBorders>
                    <w:tl2br w:val="nil"/>
                    <w:tr2bl w:val="nil"/>
                  </w:tcBorders>
                  <w:vAlign w:val="center"/>
                </w:tcPr>
                <w:p w14:paraId="2957BB2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SW61 900-002-S61</w:t>
                  </w:r>
                </w:p>
              </w:tc>
              <w:tc>
                <w:tcPr>
                  <w:tcW w:w="613" w:type="pct"/>
                  <w:tcBorders>
                    <w:tl2br w:val="nil"/>
                    <w:tr2bl w:val="nil"/>
                  </w:tcBorders>
                  <w:vAlign w:val="center"/>
                </w:tcPr>
                <w:p w14:paraId="1EC2309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1997" w:type="pct"/>
                  <w:tcBorders>
                    <w:tl2br w:val="nil"/>
                    <w:tr2bl w:val="nil"/>
                  </w:tcBorders>
                  <w:vAlign w:val="center"/>
                </w:tcPr>
                <w:p w14:paraId="5F04F5A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定期由有资质单位回收处置</w:t>
                  </w:r>
                </w:p>
              </w:tc>
            </w:tr>
            <w:tr w14:paraId="2F3A1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74" w:type="pct"/>
                  <w:vMerge w:val="continue"/>
                  <w:tcBorders>
                    <w:tl2br w:val="nil"/>
                    <w:tr2bl w:val="nil"/>
                  </w:tcBorders>
                  <w:vAlign w:val="center"/>
                </w:tcPr>
                <w:p w14:paraId="4F9ACF9B">
                  <w:pPr>
                    <w:jc w:val="center"/>
                    <w:rPr>
                      <w:rFonts w:hint="eastAsia" w:ascii="Times New Roman" w:hAnsi="Times New Roman" w:eastAsia="宋体" w:cs="Times New Roman"/>
                      <w:color w:val="auto"/>
                      <w:sz w:val="21"/>
                      <w:szCs w:val="21"/>
                    </w:rPr>
                  </w:pPr>
                </w:p>
              </w:tc>
              <w:tc>
                <w:tcPr>
                  <w:tcW w:w="388" w:type="pct"/>
                  <w:vMerge w:val="continue"/>
                  <w:tcBorders>
                    <w:tl2br w:val="nil"/>
                    <w:tr2bl w:val="nil"/>
                  </w:tcBorders>
                  <w:vAlign w:val="center"/>
                </w:tcPr>
                <w:p w14:paraId="4E73BB27">
                  <w:pPr>
                    <w:jc w:val="center"/>
                    <w:rPr>
                      <w:rFonts w:hint="eastAsia" w:ascii="Times New Roman" w:hAnsi="Times New Roman" w:eastAsia="宋体" w:cs="Times New Roman"/>
                      <w:color w:val="auto"/>
                      <w:sz w:val="21"/>
                      <w:szCs w:val="21"/>
                      <w:lang w:val="en-US" w:eastAsia="zh-CN"/>
                    </w:rPr>
                  </w:pPr>
                </w:p>
              </w:tc>
              <w:tc>
                <w:tcPr>
                  <w:tcW w:w="855" w:type="pct"/>
                  <w:tcBorders>
                    <w:tl2br w:val="nil"/>
                    <w:tr2bl w:val="nil"/>
                  </w:tcBorders>
                  <w:vAlign w:val="center"/>
                </w:tcPr>
                <w:p w14:paraId="4A33CA28">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预处理池污泥</w:t>
                  </w:r>
                </w:p>
              </w:tc>
              <w:tc>
                <w:tcPr>
                  <w:tcW w:w="771" w:type="pct"/>
                  <w:tcBorders>
                    <w:tl2br w:val="nil"/>
                    <w:tr2bl w:val="nil"/>
                  </w:tcBorders>
                  <w:vAlign w:val="center"/>
                </w:tcPr>
                <w:p w14:paraId="2B3C785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SW91</w:t>
                  </w:r>
                </w:p>
                <w:p w14:paraId="66280838">
                  <w:pPr>
                    <w:pStyle w:val="49"/>
                    <w:rPr>
                      <w:rFonts w:hint="default"/>
                      <w:color w:val="auto"/>
                      <w:sz w:val="21"/>
                      <w:szCs w:val="21"/>
                      <w:lang w:val="en-US" w:eastAsia="zh-CN"/>
                    </w:rPr>
                  </w:pPr>
                  <w:r>
                    <w:rPr>
                      <w:rFonts w:hint="eastAsia" w:ascii="Times New Roman" w:eastAsia="宋体" w:cs="Times New Roman"/>
                      <w:color w:val="auto"/>
                      <w:sz w:val="21"/>
                      <w:szCs w:val="21"/>
                      <w:lang w:val="en-US" w:eastAsia="zh-CN"/>
                    </w:rPr>
                    <w:t>900-002-S91</w:t>
                  </w:r>
                </w:p>
              </w:tc>
              <w:tc>
                <w:tcPr>
                  <w:tcW w:w="613" w:type="pct"/>
                  <w:tcBorders>
                    <w:tl2br w:val="nil"/>
                    <w:tr2bl w:val="nil"/>
                  </w:tcBorders>
                  <w:vAlign w:val="center"/>
                </w:tcPr>
                <w:p w14:paraId="5943EEC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997" w:type="pct"/>
                  <w:tcBorders>
                    <w:tl2br w:val="nil"/>
                    <w:tr2bl w:val="nil"/>
                  </w:tcBorders>
                  <w:vAlign w:val="center"/>
                </w:tcPr>
                <w:p w14:paraId="57E2CD19">
                  <w:pPr>
                    <w:jc w:val="center"/>
                    <w:rPr>
                      <w:rFonts w:hint="default"/>
                      <w:color w:val="auto"/>
                      <w:sz w:val="21"/>
                      <w:szCs w:val="21"/>
                      <w:highlight w:val="none"/>
                      <w:lang w:val="en-US" w:eastAsia="zh-CN"/>
                    </w:rPr>
                  </w:pPr>
                  <w:r>
                    <w:rPr>
                      <w:rFonts w:hint="eastAsia"/>
                      <w:color w:val="auto"/>
                      <w:sz w:val="21"/>
                      <w:szCs w:val="21"/>
                      <w:highlight w:val="none"/>
                      <w:lang w:val="en-US" w:eastAsia="zh-CN"/>
                    </w:rPr>
                    <w:t>定期清掏</w:t>
                  </w:r>
                </w:p>
              </w:tc>
            </w:tr>
            <w:tr w14:paraId="3B9A4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74" w:type="pct"/>
                  <w:vMerge w:val="continue"/>
                  <w:tcBorders>
                    <w:tl2br w:val="nil"/>
                    <w:tr2bl w:val="nil"/>
                  </w:tcBorders>
                  <w:vAlign w:val="center"/>
                </w:tcPr>
                <w:p w14:paraId="58BA84FE">
                  <w:pPr>
                    <w:jc w:val="center"/>
                    <w:rPr>
                      <w:rFonts w:hint="eastAsia" w:ascii="Times New Roman" w:hAnsi="Times New Roman" w:eastAsia="宋体" w:cs="Times New Roman"/>
                      <w:color w:val="auto"/>
                      <w:sz w:val="21"/>
                      <w:szCs w:val="21"/>
                    </w:rPr>
                  </w:pPr>
                </w:p>
              </w:tc>
              <w:tc>
                <w:tcPr>
                  <w:tcW w:w="388" w:type="pct"/>
                  <w:vMerge w:val="continue"/>
                  <w:tcBorders>
                    <w:tl2br w:val="nil"/>
                    <w:tr2bl w:val="nil"/>
                  </w:tcBorders>
                  <w:vAlign w:val="center"/>
                </w:tcPr>
                <w:p w14:paraId="70A1F690">
                  <w:pPr>
                    <w:jc w:val="center"/>
                    <w:rPr>
                      <w:rFonts w:hint="eastAsia" w:ascii="Times New Roman" w:hAnsi="Times New Roman" w:eastAsia="宋体" w:cs="Times New Roman"/>
                      <w:color w:val="auto"/>
                      <w:sz w:val="21"/>
                      <w:szCs w:val="21"/>
                      <w:lang w:val="en-US" w:eastAsia="zh-CN"/>
                    </w:rPr>
                  </w:pPr>
                </w:p>
              </w:tc>
              <w:tc>
                <w:tcPr>
                  <w:tcW w:w="855" w:type="pct"/>
                  <w:tcBorders>
                    <w:tl2br w:val="nil"/>
                    <w:tr2bl w:val="nil"/>
                  </w:tcBorders>
                  <w:vAlign w:val="center"/>
                </w:tcPr>
                <w:p w14:paraId="6151A7E5">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实验室固体废物</w:t>
                  </w:r>
                </w:p>
              </w:tc>
              <w:tc>
                <w:tcPr>
                  <w:tcW w:w="771" w:type="pct"/>
                  <w:tcBorders>
                    <w:tl2br w:val="nil"/>
                    <w:tr2bl w:val="nil"/>
                  </w:tcBorders>
                  <w:vAlign w:val="center"/>
                </w:tcPr>
                <w:p w14:paraId="0C4D127F">
                  <w:pPr>
                    <w:pStyle w:val="49"/>
                    <w:jc w:val="center"/>
                    <w:rPr>
                      <w:rFonts w:hint="default" w:asci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SW92 900-001-S92</w:t>
                  </w:r>
                </w:p>
              </w:tc>
              <w:tc>
                <w:tcPr>
                  <w:tcW w:w="613" w:type="pct"/>
                  <w:tcBorders>
                    <w:tl2br w:val="nil"/>
                    <w:tr2bl w:val="nil"/>
                  </w:tcBorders>
                  <w:vAlign w:val="center"/>
                </w:tcPr>
                <w:p w14:paraId="2CAD83F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1997" w:type="pct"/>
                  <w:tcBorders>
                    <w:tl2br w:val="nil"/>
                    <w:tr2bl w:val="nil"/>
                  </w:tcBorders>
                  <w:vAlign w:val="center"/>
                </w:tcPr>
                <w:p w14:paraId="2665B70B">
                  <w:pPr>
                    <w:jc w:val="center"/>
                    <w:rPr>
                      <w:rFonts w:hint="eastAsia"/>
                      <w:color w:val="auto"/>
                      <w:sz w:val="21"/>
                      <w:szCs w:val="21"/>
                      <w:highlight w:val="none"/>
                      <w:lang w:val="en-US" w:eastAsia="zh-CN"/>
                    </w:rPr>
                  </w:pPr>
                  <w:r>
                    <w:rPr>
                      <w:rFonts w:ascii="Times New Roman" w:hAnsi="Times New Roman" w:cs="Times New Roman"/>
                      <w:color w:val="auto"/>
                      <w:sz w:val="21"/>
                      <w:szCs w:val="21"/>
                      <w:highlight w:val="none"/>
                    </w:rPr>
                    <w:t>市政环卫部门统一清运处置</w:t>
                  </w:r>
                </w:p>
              </w:tc>
            </w:tr>
            <w:tr w14:paraId="13E19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continue"/>
                  <w:tcBorders>
                    <w:tl2br w:val="nil"/>
                    <w:tr2bl w:val="nil"/>
                  </w:tcBorders>
                  <w:vAlign w:val="center"/>
                </w:tcPr>
                <w:p w14:paraId="35C481F0">
                  <w:pPr>
                    <w:jc w:val="center"/>
                    <w:rPr>
                      <w:rFonts w:ascii="Times New Roman" w:hAnsi="Times New Roman" w:eastAsia="宋体" w:cs="Times New Roman"/>
                      <w:color w:val="auto"/>
                      <w:sz w:val="21"/>
                      <w:szCs w:val="21"/>
                    </w:rPr>
                  </w:pPr>
                </w:p>
              </w:tc>
              <w:tc>
                <w:tcPr>
                  <w:tcW w:w="388" w:type="pct"/>
                  <w:vMerge w:val="restart"/>
                  <w:tcBorders>
                    <w:tl2br w:val="nil"/>
                    <w:tr2bl w:val="nil"/>
                  </w:tcBorders>
                  <w:vAlign w:val="center"/>
                </w:tcPr>
                <w:p w14:paraId="27A845F2">
                  <w:pPr>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危险废物</w:t>
                  </w:r>
                </w:p>
              </w:tc>
              <w:tc>
                <w:tcPr>
                  <w:tcW w:w="855" w:type="pct"/>
                  <w:tcBorders>
                    <w:tl2br w:val="nil"/>
                    <w:tr2bl w:val="nil"/>
                  </w:tcBorders>
                  <w:vAlign w:val="center"/>
                </w:tcPr>
                <w:p w14:paraId="2F8ED92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实验废液</w:t>
                  </w:r>
                </w:p>
              </w:tc>
              <w:tc>
                <w:tcPr>
                  <w:tcW w:w="771" w:type="pct"/>
                  <w:tcBorders>
                    <w:tl2br w:val="nil"/>
                    <w:tr2bl w:val="nil"/>
                  </w:tcBorders>
                  <w:vAlign w:val="center"/>
                </w:tcPr>
                <w:p w14:paraId="669C500F">
                  <w:pPr>
                    <w:pStyle w:val="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HW49 900-47-49</w:t>
                  </w:r>
                </w:p>
              </w:tc>
              <w:tc>
                <w:tcPr>
                  <w:tcW w:w="613" w:type="pct"/>
                  <w:tcBorders>
                    <w:tl2br w:val="nil"/>
                    <w:tr2bl w:val="nil"/>
                  </w:tcBorders>
                  <w:vAlign w:val="center"/>
                </w:tcPr>
                <w:p w14:paraId="56CB205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3.0134</w:t>
                  </w:r>
                </w:p>
              </w:tc>
              <w:tc>
                <w:tcPr>
                  <w:tcW w:w="1997" w:type="pct"/>
                  <w:tcBorders>
                    <w:tl2br w:val="nil"/>
                    <w:tr2bl w:val="nil"/>
                  </w:tcBorders>
                  <w:vAlign w:val="center"/>
                </w:tcPr>
                <w:p w14:paraId="20D4EE70">
                  <w:pPr>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原有项目化学实验产生的实验废液和实验器皿前三次清洗废水未作为危废进行收集，直接排入市政污水管网</w:t>
                  </w:r>
                </w:p>
              </w:tc>
            </w:tr>
            <w:tr w14:paraId="3D4F7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continue"/>
                  <w:tcBorders>
                    <w:tl2br w:val="nil"/>
                    <w:tr2bl w:val="nil"/>
                  </w:tcBorders>
                  <w:vAlign w:val="center"/>
                </w:tcPr>
                <w:p w14:paraId="7E05A09E">
                  <w:pPr>
                    <w:jc w:val="center"/>
                    <w:rPr>
                      <w:rFonts w:ascii="Times New Roman" w:hAnsi="Times New Roman" w:eastAsia="宋体" w:cs="Times New Roman"/>
                      <w:color w:val="auto"/>
                      <w:sz w:val="21"/>
                      <w:szCs w:val="21"/>
                    </w:rPr>
                  </w:pPr>
                </w:p>
              </w:tc>
              <w:tc>
                <w:tcPr>
                  <w:tcW w:w="388" w:type="pct"/>
                  <w:vMerge w:val="continue"/>
                  <w:tcBorders>
                    <w:tl2br w:val="nil"/>
                    <w:tr2bl w:val="nil"/>
                  </w:tcBorders>
                  <w:vAlign w:val="center"/>
                </w:tcPr>
                <w:p w14:paraId="42C5681F">
                  <w:pPr>
                    <w:jc w:val="center"/>
                    <w:rPr>
                      <w:rFonts w:ascii="Times New Roman" w:hAnsi="Times New Roman" w:eastAsia="宋体" w:cs="Times New Roman"/>
                      <w:color w:val="auto"/>
                      <w:sz w:val="21"/>
                      <w:szCs w:val="21"/>
                    </w:rPr>
                  </w:pPr>
                </w:p>
              </w:tc>
              <w:tc>
                <w:tcPr>
                  <w:tcW w:w="855" w:type="pct"/>
                  <w:tcBorders>
                    <w:tl2br w:val="nil"/>
                    <w:tr2bl w:val="nil"/>
                  </w:tcBorders>
                  <w:vAlign w:val="center"/>
                </w:tcPr>
                <w:p w14:paraId="2071E66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化学品废包装容器</w:t>
                  </w:r>
                </w:p>
              </w:tc>
              <w:tc>
                <w:tcPr>
                  <w:tcW w:w="771" w:type="pct"/>
                  <w:tcBorders>
                    <w:tl2br w:val="nil"/>
                    <w:tr2bl w:val="nil"/>
                  </w:tcBorders>
                  <w:vAlign w:val="center"/>
                </w:tcPr>
                <w:p w14:paraId="622D91D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HW49 900-47-49</w:t>
                  </w:r>
                </w:p>
              </w:tc>
              <w:tc>
                <w:tcPr>
                  <w:tcW w:w="613" w:type="pct"/>
                  <w:tcBorders>
                    <w:tl2br w:val="nil"/>
                    <w:tr2bl w:val="nil"/>
                  </w:tcBorders>
                  <w:vAlign w:val="center"/>
                </w:tcPr>
                <w:p w14:paraId="2948B06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1997" w:type="pct"/>
                  <w:tcBorders>
                    <w:tl2br w:val="nil"/>
                    <w:tr2bl w:val="nil"/>
                  </w:tcBorders>
                  <w:vAlign w:val="center"/>
                </w:tcPr>
                <w:p w14:paraId="4D5FAF01">
                  <w:pPr>
                    <w:jc w:val="center"/>
                    <w:rPr>
                      <w:rFonts w:ascii="Times New Roman" w:hAnsi="Times New Roman" w:eastAsia="宋体" w:cs="Times New Roman"/>
                      <w:color w:val="auto"/>
                      <w:sz w:val="21"/>
                      <w:szCs w:val="21"/>
                    </w:rPr>
                  </w:pPr>
                  <w:r>
                    <w:rPr>
                      <w:rFonts w:hint="eastAsia" w:ascii="Times New Roman" w:hAnsi="Times New Roman" w:cs="Times New Roman"/>
                      <w:b w:val="0"/>
                      <w:bCs w:val="0"/>
                      <w:color w:val="auto"/>
                      <w:sz w:val="21"/>
                      <w:szCs w:val="21"/>
                      <w:highlight w:val="none"/>
                      <w:lang w:val="en-US" w:eastAsia="zh-CN"/>
                    </w:rPr>
                    <w:t>原有项目化学品废包装容器送至马尔康市中学危废暂存间，定期由有危废处理资质单位运输处置。</w:t>
                  </w:r>
                </w:p>
              </w:tc>
            </w:tr>
            <w:tr w14:paraId="3B1F1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Merge w:val="continue"/>
                  <w:tcBorders>
                    <w:tl2br w:val="nil"/>
                    <w:tr2bl w:val="nil"/>
                  </w:tcBorders>
                  <w:vAlign w:val="center"/>
                </w:tcPr>
                <w:p w14:paraId="107DFFF9">
                  <w:pPr>
                    <w:jc w:val="center"/>
                    <w:rPr>
                      <w:rFonts w:ascii="Times New Roman" w:hAnsi="Times New Roman" w:eastAsia="宋体" w:cs="Times New Roman"/>
                      <w:color w:val="auto"/>
                      <w:sz w:val="21"/>
                      <w:szCs w:val="21"/>
                    </w:rPr>
                  </w:pPr>
                </w:p>
              </w:tc>
              <w:tc>
                <w:tcPr>
                  <w:tcW w:w="388" w:type="pct"/>
                  <w:vMerge w:val="continue"/>
                  <w:tcBorders>
                    <w:tl2br w:val="nil"/>
                    <w:tr2bl w:val="nil"/>
                  </w:tcBorders>
                  <w:vAlign w:val="center"/>
                </w:tcPr>
                <w:p w14:paraId="64AE29FC">
                  <w:pPr>
                    <w:jc w:val="center"/>
                    <w:rPr>
                      <w:rFonts w:ascii="Times New Roman" w:hAnsi="Times New Roman" w:eastAsia="宋体" w:cs="Times New Roman"/>
                      <w:color w:val="auto"/>
                      <w:sz w:val="21"/>
                      <w:szCs w:val="21"/>
                    </w:rPr>
                  </w:pPr>
                </w:p>
              </w:tc>
              <w:tc>
                <w:tcPr>
                  <w:tcW w:w="855" w:type="pct"/>
                  <w:tcBorders>
                    <w:tl2br w:val="nil"/>
                    <w:tr2bl w:val="nil"/>
                  </w:tcBorders>
                  <w:vAlign w:val="center"/>
                </w:tcPr>
                <w:p w14:paraId="3D0667C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废矿物油</w:t>
                  </w:r>
                </w:p>
              </w:tc>
              <w:tc>
                <w:tcPr>
                  <w:tcW w:w="771" w:type="pct"/>
                  <w:tcBorders>
                    <w:tl2br w:val="nil"/>
                    <w:tr2bl w:val="nil"/>
                  </w:tcBorders>
                  <w:vAlign w:val="center"/>
                </w:tcPr>
                <w:p w14:paraId="0440F31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HW08 900-249-08</w:t>
                  </w:r>
                </w:p>
              </w:tc>
              <w:tc>
                <w:tcPr>
                  <w:tcW w:w="613" w:type="pct"/>
                  <w:tcBorders>
                    <w:tl2br w:val="nil"/>
                    <w:tr2bl w:val="nil"/>
                  </w:tcBorders>
                  <w:vAlign w:val="center"/>
                </w:tcPr>
                <w:p w14:paraId="7203A9F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c>
                <w:tcPr>
                  <w:tcW w:w="1997" w:type="pct"/>
                  <w:tcBorders>
                    <w:tl2br w:val="nil"/>
                    <w:tr2bl w:val="nil"/>
                  </w:tcBorders>
                  <w:vAlign w:val="center"/>
                </w:tcPr>
                <w:p w14:paraId="0AAA3085">
                  <w:pPr>
                    <w:jc w:val="center"/>
                    <w:rPr>
                      <w:rFonts w:ascii="Times New Roman" w:hAnsi="Times New Roman" w:eastAsia="宋体" w:cs="Times New Roman"/>
                      <w:color w:val="auto"/>
                      <w:sz w:val="21"/>
                      <w:szCs w:val="21"/>
                    </w:rPr>
                  </w:pPr>
                  <w:r>
                    <w:rPr>
                      <w:rFonts w:hint="eastAsia" w:ascii="Times New Roman" w:hAnsi="Times New Roman" w:cs="Times New Roman"/>
                      <w:color w:val="auto"/>
                      <w:sz w:val="21"/>
                      <w:szCs w:val="21"/>
                      <w:highlight w:val="none"/>
                      <w:lang w:val="en-US" w:eastAsia="zh-CN"/>
                    </w:rPr>
                    <w:t>废矿物油</w:t>
                  </w:r>
                  <w:r>
                    <w:rPr>
                      <w:rFonts w:hint="eastAsia" w:ascii="Times New Roman" w:hAnsi="Times New Roman" w:cs="Times New Roman"/>
                      <w:color w:val="auto"/>
                      <w:sz w:val="21"/>
                      <w:szCs w:val="21"/>
                      <w:highlight w:val="none"/>
                    </w:rPr>
                    <w:t>暂存</w:t>
                  </w:r>
                  <w:r>
                    <w:rPr>
                      <w:rFonts w:hint="eastAsia" w:ascii="Times New Roman" w:hAnsi="Times New Roman" w:cs="Times New Roman"/>
                      <w:color w:val="auto"/>
                      <w:sz w:val="21"/>
                      <w:szCs w:val="21"/>
                      <w:highlight w:val="none"/>
                      <w:lang w:val="en-US" w:eastAsia="zh-CN"/>
                    </w:rPr>
                    <w:t>在柴油发电机房</w:t>
                  </w:r>
                  <w:r>
                    <w:rPr>
                      <w:rFonts w:hint="eastAsia" w:ascii="Times New Roman" w:hAnsi="Times New Roman" w:cs="Times New Roman"/>
                      <w:color w:val="auto"/>
                      <w:sz w:val="21"/>
                      <w:szCs w:val="21"/>
                      <w:highlight w:val="none"/>
                    </w:rPr>
                    <w:t>内，</w:t>
                  </w:r>
                  <w:r>
                    <w:rPr>
                      <w:rFonts w:hint="eastAsia" w:ascii="Times New Roman" w:hAnsi="Times New Roman" w:cs="Times New Roman"/>
                      <w:color w:val="auto"/>
                      <w:sz w:val="21"/>
                      <w:szCs w:val="21"/>
                      <w:highlight w:val="none"/>
                      <w:lang w:val="en-US" w:eastAsia="zh-CN"/>
                    </w:rPr>
                    <w:t>由环卫部门清运处置</w:t>
                  </w:r>
                </w:p>
              </w:tc>
            </w:tr>
          </w:tbl>
          <w:p w14:paraId="48D5BE46">
            <w:pPr>
              <w:spacing w:line="360" w:lineRule="auto"/>
              <w:ind w:firstLine="482" w:firstLineChars="200"/>
              <w:rPr>
                <w:rFonts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5</w:t>
            </w:r>
            <w:r>
              <w:rPr>
                <w:rFonts w:hint="eastAsia" w:ascii="Times New Roman" w:hAnsi="Times New Roman" w:cs="Times New Roman"/>
                <w:b/>
                <w:bCs/>
                <w:color w:val="auto"/>
                <w:sz w:val="24"/>
                <w:szCs w:val="24"/>
              </w:rPr>
              <w:t>、地下水防渗落实情况</w:t>
            </w:r>
          </w:p>
          <w:p w14:paraId="36829A4B">
            <w:pPr>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本次评价根据《环境影响评价技术导则 地下水环境》（HJ610-2016）防渗分区原则，将</w:t>
            </w:r>
            <w:r>
              <w:rPr>
                <w:rFonts w:hint="eastAsia" w:ascii="Times New Roman" w:hAnsi="Times New Roman" w:cs="Times New Roman"/>
                <w:color w:val="auto"/>
                <w:sz w:val="24"/>
                <w:szCs w:val="24"/>
                <w:lang w:val="en-US" w:eastAsia="zh-CN"/>
              </w:rPr>
              <w:t>原有项目划分</w:t>
            </w:r>
            <w:r>
              <w:rPr>
                <w:rFonts w:hint="eastAsia" w:ascii="Times New Roman" w:hAnsi="Times New Roman" w:cs="Times New Roman"/>
                <w:color w:val="auto"/>
                <w:sz w:val="24"/>
                <w:szCs w:val="24"/>
              </w:rPr>
              <w:t>为般防渗区和简单防渗区，具体分区及防渗落实情况如下：</w:t>
            </w:r>
          </w:p>
          <w:p w14:paraId="1122DDDE">
            <w:pPr>
              <w:pStyle w:val="114"/>
              <w:bidi w:val="0"/>
              <w:rPr>
                <w:color w:val="auto"/>
              </w:rPr>
            </w:pPr>
            <w:r>
              <w:rPr>
                <w:rFonts w:hint="eastAsia"/>
                <w:color w:val="auto"/>
              </w:rPr>
              <w:t>现有工程地下水分区防渗表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3800"/>
              <w:gridCol w:w="4029"/>
            </w:tblGrid>
            <w:tr w14:paraId="7B9C7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tblHeader/>
                <w:jc w:val="center"/>
              </w:trPr>
              <w:tc>
                <w:tcPr>
                  <w:tcW w:w="784" w:type="pct"/>
                  <w:tcBorders>
                    <w:tl2br w:val="nil"/>
                    <w:tr2bl w:val="nil"/>
                  </w:tcBorders>
                  <w:vAlign w:val="center"/>
                </w:tcPr>
                <w:p w14:paraId="0D40F4A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防渗</w:t>
                  </w:r>
                  <w:r>
                    <w:rPr>
                      <w:rFonts w:ascii="Times New Roman" w:hAnsi="Times New Roman" w:eastAsia="宋体" w:cs="Times New Roman"/>
                      <w:b/>
                      <w:bCs/>
                      <w:color w:val="auto"/>
                      <w:szCs w:val="21"/>
                    </w:rPr>
                    <w:t>分区</w:t>
                  </w:r>
                </w:p>
              </w:tc>
              <w:tc>
                <w:tcPr>
                  <w:tcW w:w="2046" w:type="pct"/>
                  <w:tcBorders>
                    <w:tl2br w:val="nil"/>
                    <w:tr2bl w:val="nil"/>
                  </w:tcBorders>
                  <w:vAlign w:val="center"/>
                </w:tcPr>
                <w:p w14:paraId="245CF0E3">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工程区域</w:t>
                  </w:r>
                </w:p>
              </w:tc>
              <w:tc>
                <w:tcPr>
                  <w:tcW w:w="2169" w:type="pct"/>
                  <w:tcBorders>
                    <w:tl2br w:val="nil"/>
                    <w:tr2bl w:val="nil"/>
                  </w:tcBorders>
                  <w:vAlign w:val="center"/>
                </w:tcPr>
                <w:p w14:paraId="3A0CCE55">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防渗要求</w:t>
                  </w:r>
                </w:p>
              </w:tc>
            </w:tr>
            <w:tr w14:paraId="79FE8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784" w:type="pct"/>
                  <w:tcBorders>
                    <w:tl2br w:val="nil"/>
                    <w:tr2bl w:val="nil"/>
                  </w:tcBorders>
                  <w:vAlign w:val="center"/>
                </w:tcPr>
                <w:p w14:paraId="0B126D5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一般防渗区</w:t>
                  </w:r>
                </w:p>
              </w:tc>
              <w:tc>
                <w:tcPr>
                  <w:tcW w:w="2046" w:type="pct"/>
                  <w:tcBorders>
                    <w:tl2br w:val="nil"/>
                    <w:tr2bl w:val="nil"/>
                  </w:tcBorders>
                  <w:vAlign w:val="center"/>
                </w:tcPr>
                <w:p w14:paraId="098601DC">
                  <w:pPr>
                    <w:jc w:val="center"/>
                    <w:rPr>
                      <w:rFonts w:ascii="Times New Roman" w:hAnsi="Times New Roman" w:eastAsia="宋体" w:cs="Calibri"/>
                      <w:color w:val="auto"/>
                      <w:szCs w:val="21"/>
                    </w:rPr>
                  </w:pPr>
                  <w:r>
                    <w:rPr>
                      <w:rFonts w:hint="eastAsia" w:ascii="Times New Roman" w:hAnsi="Times New Roman" w:eastAsia="宋体" w:cs="Times New Roman"/>
                      <w:color w:val="auto"/>
                      <w:szCs w:val="21"/>
                      <w:lang w:val="en-US" w:eastAsia="zh-CN"/>
                    </w:rPr>
                    <w:t>预处理池</w:t>
                  </w:r>
                </w:p>
              </w:tc>
              <w:tc>
                <w:tcPr>
                  <w:tcW w:w="2169" w:type="pct"/>
                  <w:tcBorders>
                    <w:tl2br w:val="nil"/>
                    <w:tr2bl w:val="nil"/>
                  </w:tcBorders>
                  <w:vAlign w:val="center"/>
                </w:tcPr>
                <w:p w14:paraId="3412C93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等效黏土防渗层Mb≥1.5m， K≤10</w:t>
                  </w:r>
                  <w:r>
                    <w:rPr>
                      <w:rFonts w:ascii="Times New Roman" w:hAnsi="Times New Roman" w:eastAsia="宋体" w:cs="Times New Roman"/>
                      <w:color w:val="auto"/>
                      <w:szCs w:val="21"/>
                      <w:vertAlign w:val="superscript"/>
                    </w:rPr>
                    <w:t>-7</w:t>
                  </w:r>
                  <w:r>
                    <w:rPr>
                      <w:rFonts w:ascii="Times New Roman" w:hAnsi="Times New Roman" w:eastAsia="宋体" w:cs="Times New Roman"/>
                      <w:color w:val="auto"/>
                      <w:szCs w:val="21"/>
                    </w:rPr>
                    <w:t>cm/s</w:t>
                  </w:r>
                  <w:r>
                    <w:rPr>
                      <w:rFonts w:hint="eastAsia" w:ascii="Times New Roman" w:hAnsi="Times New Roman" w:eastAsia="宋体" w:cs="Times New Roman"/>
                      <w:color w:val="auto"/>
                      <w:szCs w:val="21"/>
                    </w:rPr>
                    <w:t>。</w:t>
                  </w:r>
                </w:p>
              </w:tc>
            </w:tr>
            <w:tr w14:paraId="0470E3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4" w:type="pct"/>
                  <w:tcBorders>
                    <w:tl2br w:val="nil"/>
                    <w:tr2bl w:val="nil"/>
                  </w:tcBorders>
                  <w:vAlign w:val="center"/>
                </w:tcPr>
                <w:p w14:paraId="28796DE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简单防渗区</w:t>
                  </w:r>
                </w:p>
              </w:tc>
              <w:tc>
                <w:tcPr>
                  <w:tcW w:w="2046" w:type="pct"/>
                  <w:tcBorders>
                    <w:tl2br w:val="nil"/>
                    <w:tr2bl w:val="nil"/>
                  </w:tcBorders>
                  <w:vAlign w:val="center"/>
                </w:tcPr>
                <w:p w14:paraId="49F5C709">
                  <w:pPr>
                    <w:jc w:val="center"/>
                    <w:rPr>
                      <w:rFonts w:hint="default" w:ascii="Times New Roman" w:hAnsi="Times New Roman" w:eastAsia="宋体" w:cs="Calibri"/>
                      <w:color w:val="auto"/>
                      <w:szCs w:val="21"/>
                      <w:lang w:val="en-US"/>
                    </w:rPr>
                  </w:pPr>
                  <w:r>
                    <w:rPr>
                      <w:rFonts w:hint="eastAsia" w:ascii="Times New Roman" w:hAnsi="Times New Roman" w:eastAsia="宋体" w:cs="Calibri"/>
                      <w:color w:val="auto"/>
                      <w:szCs w:val="21"/>
                      <w:lang w:val="en-US" w:eastAsia="zh-CN"/>
                    </w:rPr>
                    <w:t>教学楼、综合楼、礼堂、宿舍楼等</w:t>
                  </w:r>
                </w:p>
              </w:tc>
              <w:tc>
                <w:tcPr>
                  <w:tcW w:w="2169" w:type="pct"/>
                  <w:tcBorders>
                    <w:tl2br w:val="nil"/>
                    <w:tr2bl w:val="nil"/>
                  </w:tcBorders>
                  <w:vAlign w:val="center"/>
                </w:tcPr>
                <w:p w14:paraId="33D0DC69">
                  <w:pPr>
                    <w:jc w:val="center"/>
                    <w:rPr>
                      <w:rFonts w:ascii="Times New Roman" w:hAnsi="Times New Roman" w:eastAsia="宋体" w:cs="Calibri"/>
                      <w:color w:val="auto"/>
                      <w:szCs w:val="21"/>
                    </w:rPr>
                  </w:pPr>
                  <w:r>
                    <w:rPr>
                      <w:rFonts w:ascii="Times New Roman" w:hAnsi="Times New Roman" w:eastAsia="宋体" w:cs="Calibri"/>
                      <w:color w:val="auto"/>
                      <w:szCs w:val="21"/>
                    </w:rPr>
                    <w:t>一般地面硬化</w:t>
                  </w:r>
                  <w:r>
                    <w:rPr>
                      <w:rFonts w:hint="eastAsia" w:ascii="Times New Roman" w:hAnsi="Times New Roman" w:eastAsia="宋体" w:cs="Calibri"/>
                      <w:color w:val="auto"/>
                      <w:szCs w:val="21"/>
                    </w:rPr>
                    <w:t>。</w:t>
                  </w:r>
                </w:p>
              </w:tc>
            </w:tr>
          </w:tbl>
          <w:p w14:paraId="44D25301">
            <w:pPr>
              <w:pStyle w:val="114"/>
              <w:bidi w:val="0"/>
              <w:rPr>
                <w:color w:val="auto"/>
              </w:rPr>
            </w:pPr>
            <w:r>
              <w:rPr>
                <w:rFonts w:hint="eastAsia"/>
                <w:color w:val="auto"/>
              </w:rPr>
              <w:t>现有工程分区防渗措施落实情况</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6163"/>
              <w:gridCol w:w="1649"/>
            </w:tblGrid>
            <w:tr w14:paraId="3677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7" w:type="pct"/>
                  <w:tcBorders>
                    <w:top w:val="single" w:color="auto" w:sz="12" w:space="0"/>
                  </w:tcBorders>
                  <w:vAlign w:val="center"/>
                </w:tcPr>
                <w:p w14:paraId="49F8E15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分区情况</w:t>
                  </w:r>
                </w:p>
              </w:tc>
              <w:tc>
                <w:tcPr>
                  <w:tcW w:w="3323" w:type="pct"/>
                  <w:tcBorders>
                    <w:top w:val="single" w:color="auto" w:sz="12" w:space="0"/>
                  </w:tcBorders>
                </w:tcPr>
                <w:p w14:paraId="1CA18C5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防渗措施落实情况</w:t>
                  </w:r>
                </w:p>
              </w:tc>
              <w:tc>
                <w:tcPr>
                  <w:tcW w:w="889" w:type="pct"/>
                  <w:tcBorders>
                    <w:top w:val="single" w:color="auto" w:sz="12" w:space="0"/>
                    <w:right w:val="nil"/>
                  </w:tcBorders>
                </w:tcPr>
                <w:p w14:paraId="23572AE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是否满足要求</w:t>
                  </w:r>
                </w:p>
              </w:tc>
            </w:tr>
            <w:tr w14:paraId="0B9A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pct"/>
                  <w:tcBorders>
                    <w:left w:val="nil"/>
                  </w:tcBorders>
                  <w:vAlign w:val="center"/>
                </w:tcPr>
                <w:p w14:paraId="0C716F0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一般防渗区</w:t>
                  </w:r>
                </w:p>
              </w:tc>
              <w:tc>
                <w:tcPr>
                  <w:tcW w:w="3323" w:type="pct"/>
                  <w:vAlign w:val="center"/>
                </w:tcPr>
                <w:p w14:paraId="6B92ED9B">
                  <w:pPr>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预处理池池底、池壁已采用20cm厚P4等级混凝土进行防渗，渗透系数K≤0.78x10</w:t>
                  </w:r>
                  <w:r>
                    <w:rPr>
                      <w:rFonts w:hint="eastAsia" w:ascii="Times New Roman" w:hAnsi="Times New Roman" w:eastAsia="宋体" w:cs="Times New Roman"/>
                      <w:color w:val="auto"/>
                      <w:szCs w:val="21"/>
                      <w:vertAlign w:val="superscript"/>
                      <w:lang w:val="en-US" w:eastAsia="zh-CN"/>
                    </w:rPr>
                    <w:t>-8</w:t>
                  </w:r>
                  <w:r>
                    <w:rPr>
                      <w:rFonts w:hint="eastAsia" w:ascii="Times New Roman" w:hAnsi="Times New Roman" w:eastAsia="宋体" w:cs="Times New Roman"/>
                      <w:color w:val="auto"/>
                      <w:szCs w:val="21"/>
                      <w:lang w:val="en-US" w:eastAsia="zh-CN"/>
                    </w:rPr>
                    <w:t>cm/s。</w:t>
                  </w:r>
                </w:p>
              </w:tc>
              <w:tc>
                <w:tcPr>
                  <w:tcW w:w="889" w:type="pct"/>
                  <w:tcBorders>
                    <w:right w:val="nil"/>
                  </w:tcBorders>
                  <w:vAlign w:val="center"/>
                </w:tcPr>
                <w:p w14:paraId="4A5450D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是</w:t>
                  </w:r>
                </w:p>
              </w:tc>
            </w:tr>
            <w:tr w14:paraId="5C5C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pct"/>
                  <w:tcBorders>
                    <w:left w:val="nil"/>
                    <w:bottom w:val="single" w:color="auto" w:sz="12" w:space="0"/>
                  </w:tcBorders>
                  <w:vAlign w:val="center"/>
                </w:tcPr>
                <w:p w14:paraId="638CB23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简单防渗区</w:t>
                  </w:r>
                </w:p>
              </w:tc>
              <w:tc>
                <w:tcPr>
                  <w:tcW w:w="3323" w:type="pct"/>
                  <w:tcBorders>
                    <w:bottom w:val="single" w:color="auto" w:sz="12" w:space="0"/>
                  </w:tcBorders>
                  <w:vAlign w:val="center"/>
                </w:tcPr>
                <w:p w14:paraId="66AA428A">
                  <w:pPr>
                    <w:jc w:val="center"/>
                    <w:rPr>
                      <w:rFonts w:ascii="Times New Roman" w:hAnsi="Times New Roman" w:eastAsia="宋体" w:cs="Times New Roman"/>
                      <w:color w:val="auto"/>
                      <w:szCs w:val="21"/>
                    </w:rPr>
                  </w:pPr>
                  <w:r>
                    <w:rPr>
                      <w:rFonts w:hint="eastAsia" w:ascii="Times New Roman" w:hAnsi="Times New Roman" w:eastAsia="宋体" w:cs="Calibri"/>
                      <w:color w:val="auto"/>
                      <w:szCs w:val="21"/>
                      <w:lang w:val="en-US" w:eastAsia="zh-CN"/>
                    </w:rPr>
                    <w:t>教学楼、综合楼、礼堂、宿舍楼等</w:t>
                  </w:r>
                  <w:r>
                    <w:rPr>
                      <w:rFonts w:hint="eastAsia" w:ascii="Times New Roman" w:hAnsi="Times New Roman" w:eastAsia="宋体" w:cs="Times New Roman"/>
                      <w:color w:val="auto"/>
                      <w:szCs w:val="21"/>
                    </w:rPr>
                    <w:t>混凝土硬化。</w:t>
                  </w:r>
                </w:p>
              </w:tc>
              <w:tc>
                <w:tcPr>
                  <w:tcW w:w="889" w:type="pct"/>
                  <w:tcBorders>
                    <w:bottom w:val="single" w:color="auto" w:sz="12" w:space="0"/>
                    <w:right w:val="nil"/>
                  </w:tcBorders>
                  <w:vAlign w:val="center"/>
                </w:tcPr>
                <w:p w14:paraId="110CBC2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是</w:t>
                  </w:r>
                </w:p>
              </w:tc>
            </w:tr>
          </w:tbl>
          <w:p w14:paraId="2A17576E">
            <w:pPr>
              <w:spacing w:line="360" w:lineRule="auto"/>
              <w:rPr>
                <w:rFonts w:hint="default"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四、总量指标</w:t>
            </w:r>
          </w:p>
          <w:p w14:paraId="1601D2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本次评价对</w:t>
            </w:r>
            <w:r>
              <w:rPr>
                <w:rFonts w:hint="default" w:ascii="Times New Roman" w:hAnsi="Times New Roman" w:eastAsia="宋体" w:cs="Times New Roman"/>
                <w:b w:val="0"/>
                <w:bCs w:val="0"/>
                <w:color w:val="auto"/>
                <w:sz w:val="24"/>
                <w:szCs w:val="24"/>
                <w:highlight w:val="none"/>
                <w:lang w:val="en-US" w:eastAsia="zh-CN"/>
              </w:rPr>
              <w:t>原有项目</w:t>
            </w:r>
            <w:r>
              <w:rPr>
                <w:rFonts w:hint="eastAsia" w:ascii="Times New Roman" w:hAnsi="Times New Roman" w:eastAsia="宋体" w:cs="Times New Roman"/>
                <w:b w:val="0"/>
                <w:bCs w:val="0"/>
                <w:color w:val="auto"/>
                <w:sz w:val="24"/>
                <w:szCs w:val="24"/>
                <w:highlight w:val="none"/>
                <w:lang w:val="en-US" w:eastAsia="zh-CN"/>
              </w:rPr>
              <w:t>废水</w:t>
            </w:r>
            <w:r>
              <w:rPr>
                <w:rFonts w:hint="default" w:ascii="Times New Roman" w:hAnsi="Times New Roman" w:eastAsia="宋体" w:cs="Times New Roman"/>
                <w:b w:val="0"/>
                <w:bCs w:val="0"/>
                <w:color w:val="auto"/>
                <w:sz w:val="24"/>
                <w:szCs w:val="24"/>
                <w:highlight w:val="none"/>
                <w:lang w:val="en-US" w:eastAsia="zh-CN"/>
              </w:rPr>
              <w:t>总量按照废水排放量</w:t>
            </w:r>
            <w:r>
              <w:rPr>
                <w:rFonts w:hint="eastAsia" w:ascii="Times New Roman" w:hAnsi="Times New Roman" w:eastAsia="宋体" w:cs="Times New Roman"/>
                <w:b w:val="0"/>
                <w:bCs w:val="0"/>
                <w:color w:val="auto"/>
                <w:sz w:val="24"/>
                <w:szCs w:val="24"/>
                <w:highlight w:val="none"/>
                <w:lang w:val="en-US" w:eastAsia="zh-CN"/>
              </w:rPr>
              <w:t>，排放标准按照《城镇污水处理厂污染物排放标准》（GB18918-2002）一级A标</w:t>
            </w:r>
            <w:r>
              <w:rPr>
                <w:rFonts w:hint="default" w:ascii="Times New Roman" w:hAnsi="Times New Roman" w:eastAsia="宋体" w:cs="Times New Roman"/>
                <w:b w:val="0"/>
                <w:bCs w:val="0"/>
                <w:color w:val="auto"/>
                <w:sz w:val="24"/>
                <w:szCs w:val="24"/>
                <w:highlight w:val="none"/>
                <w:lang w:val="en-US" w:eastAsia="zh-CN"/>
              </w:rPr>
              <w:t>进行总量核算。</w:t>
            </w:r>
          </w:p>
          <w:p w14:paraId="274F3D3E">
            <w:pPr>
              <w:pStyle w:val="114"/>
              <w:bidi w:val="0"/>
              <w:rPr>
                <w:color w:val="auto"/>
              </w:rPr>
            </w:pPr>
            <w:r>
              <w:rPr>
                <w:rFonts w:hint="eastAsia"/>
                <w:color w:val="auto"/>
                <w:lang w:val="en-US" w:eastAsia="zh-CN"/>
              </w:rPr>
              <w:t>原有项目环评总量控制指标一览表</w:t>
            </w:r>
          </w:p>
          <w:tbl>
            <w:tblPr>
              <w:tblStyle w:val="41"/>
              <w:tblW w:w="92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269"/>
              <w:gridCol w:w="2086"/>
              <w:gridCol w:w="2608"/>
            </w:tblGrid>
            <w:tr w14:paraId="12308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1" w:type="dxa"/>
                  <w:tcBorders>
                    <w:tl2br w:val="nil"/>
                    <w:tr2bl w:val="nil"/>
                  </w:tcBorders>
                  <w:vAlign w:val="center"/>
                </w:tcPr>
                <w:p w14:paraId="78BDB329">
                  <w:pPr>
                    <w:jc w:val="center"/>
                    <w:rPr>
                      <w:rFonts w:hint="default" w:ascii="Times New Roman" w:hAnsi="Times New Roman" w:cs="Times New Roman" w:eastAsiaTheme="minorEastAsia"/>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类型</w:t>
                  </w:r>
                </w:p>
              </w:tc>
              <w:tc>
                <w:tcPr>
                  <w:tcW w:w="2269" w:type="dxa"/>
                  <w:tcBorders>
                    <w:tl2br w:val="nil"/>
                    <w:tr2bl w:val="nil"/>
                  </w:tcBorders>
                  <w:vAlign w:val="center"/>
                </w:tcPr>
                <w:p w14:paraId="11BB7221">
                  <w:pPr>
                    <w:jc w:val="center"/>
                    <w:rPr>
                      <w:rFonts w:hint="eastAsia"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污染物名称</w:t>
                  </w:r>
                </w:p>
              </w:tc>
              <w:tc>
                <w:tcPr>
                  <w:tcW w:w="2086" w:type="dxa"/>
                  <w:tcBorders>
                    <w:tl2br w:val="nil"/>
                    <w:tr2bl w:val="nil"/>
                  </w:tcBorders>
                  <w:vAlign w:val="center"/>
                </w:tcPr>
                <w:p w14:paraId="51E3DC57">
                  <w:pPr>
                    <w:jc w:val="center"/>
                    <w:rPr>
                      <w:rFonts w:hint="default" w:ascii="Times New Roman" w:hAnsi="Times New Roman" w:cs="Times New Roman" w:eastAsiaTheme="minorEastAsia"/>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单位</w:t>
                  </w:r>
                </w:p>
              </w:tc>
              <w:tc>
                <w:tcPr>
                  <w:tcW w:w="2608" w:type="dxa"/>
                  <w:tcBorders>
                    <w:tl2br w:val="nil"/>
                    <w:tr2bl w:val="nil"/>
                  </w:tcBorders>
                  <w:vAlign w:val="center"/>
                </w:tcPr>
                <w:p w14:paraId="0D1AD017">
                  <w:pPr>
                    <w:jc w:val="center"/>
                    <w:rPr>
                      <w:rFonts w:hint="default" w:ascii="Times New Roman" w:hAnsi="Times New Roman" w:cs="Times New Roman" w:eastAsiaTheme="minorEastAsia"/>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污水处理厂排口排放量</w:t>
                  </w:r>
                </w:p>
              </w:tc>
            </w:tr>
            <w:tr w14:paraId="73C05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1" w:type="dxa"/>
                  <w:vMerge w:val="restart"/>
                  <w:tcBorders>
                    <w:tl2br w:val="nil"/>
                    <w:tr2bl w:val="nil"/>
                  </w:tcBorders>
                  <w:vAlign w:val="center"/>
                </w:tcPr>
                <w:p w14:paraId="3BACF95F">
                  <w:pPr>
                    <w:jc w:val="center"/>
                    <w:rPr>
                      <w:rFonts w:hint="eastAsia"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废水</w:t>
                  </w:r>
                </w:p>
              </w:tc>
              <w:tc>
                <w:tcPr>
                  <w:tcW w:w="2269" w:type="dxa"/>
                  <w:tcBorders>
                    <w:tl2br w:val="nil"/>
                    <w:tr2bl w:val="nil"/>
                  </w:tcBorders>
                  <w:vAlign w:val="center"/>
                </w:tcPr>
                <w:p w14:paraId="1E292ED2">
                  <w:pPr>
                    <w:jc w:val="center"/>
                    <w:rPr>
                      <w:rFonts w:hint="eastAsia"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废水量</w:t>
                  </w:r>
                </w:p>
              </w:tc>
              <w:tc>
                <w:tcPr>
                  <w:tcW w:w="2086" w:type="dxa"/>
                  <w:tcBorders>
                    <w:tl2br w:val="nil"/>
                    <w:tr2bl w:val="nil"/>
                  </w:tcBorders>
                  <w:vAlign w:val="center"/>
                </w:tcPr>
                <w:p w14:paraId="7B1099BD">
                  <w:pPr>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w:t>
                  </w:r>
                </w:p>
              </w:tc>
              <w:tc>
                <w:tcPr>
                  <w:tcW w:w="2608" w:type="dxa"/>
                  <w:tcBorders>
                    <w:tl2br w:val="nil"/>
                    <w:tr2bl w:val="nil"/>
                  </w:tcBorders>
                  <w:vAlign w:val="center"/>
                </w:tcPr>
                <w:p w14:paraId="6035FAE1">
                  <w:pPr>
                    <w:jc w:val="center"/>
                    <w:rPr>
                      <w:rFonts w:hint="default"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19759.4234</w:t>
                  </w:r>
                </w:p>
              </w:tc>
            </w:tr>
            <w:tr w14:paraId="2206C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1" w:type="dxa"/>
                  <w:vMerge w:val="continue"/>
                  <w:tcBorders>
                    <w:tl2br w:val="nil"/>
                    <w:tr2bl w:val="nil"/>
                  </w:tcBorders>
                  <w:vAlign w:val="center"/>
                </w:tcPr>
                <w:p w14:paraId="1DD25DF1">
                  <w:pPr>
                    <w:jc w:val="center"/>
                    <w:rPr>
                      <w:rFonts w:ascii="Times New Roman" w:hAnsi="Times New Roman" w:cs="Times New Roman"/>
                      <w:bCs/>
                      <w:color w:val="auto"/>
                      <w:szCs w:val="21"/>
                      <w:highlight w:val="none"/>
                    </w:rPr>
                  </w:pPr>
                </w:p>
              </w:tc>
              <w:tc>
                <w:tcPr>
                  <w:tcW w:w="2269" w:type="dxa"/>
                  <w:tcBorders>
                    <w:tl2br w:val="nil"/>
                    <w:tr2bl w:val="nil"/>
                  </w:tcBorders>
                  <w:vAlign w:val="center"/>
                </w:tcPr>
                <w:p w14:paraId="23F4238F">
                  <w:pPr>
                    <w:jc w:val="center"/>
                    <w:rPr>
                      <w:rFonts w:hint="default"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COD</w:t>
                  </w:r>
                </w:p>
              </w:tc>
              <w:tc>
                <w:tcPr>
                  <w:tcW w:w="2086" w:type="dxa"/>
                  <w:tcBorders>
                    <w:tl2br w:val="nil"/>
                    <w:tr2bl w:val="nil"/>
                  </w:tcBorders>
                  <w:vAlign w:val="center"/>
                </w:tcPr>
                <w:p w14:paraId="02003480">
                  <w:pPr>
                    <w:jc w:val="center"/>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cs="Times New Roman"/>
                      <w:bCs/>
                      <w:color w:val="auto"/>
                      <w:szCs w:val="21"/>
                      <w:highlight w:val="none"/>
                      <w:lang w:val="en-US" w:eastAsia="zh-CN"/>
                    </w:rPr>
                    <w:t>t/a</w:t>
                  </w:r>
                </w:p>
              </w:tc>
              <w:tc>
                <w:tcPr>
                  <w:tcW w:w="2608" w:type="dxa"/>
                  <w:tcBorders>
                    <w:tl2br w:val="nil"/>
                    <w:tr2bl w:val="nil"/>
                  </w:tcBorders>
                  <w:vAlign w:val="center"/>
                </w:tcPr>
                <w:p w14:paraId="0452A822">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0.9880</w:t>
                  </w:r>
                </w:p>
              </w:tc>
            </w:tr>
            <w:tr w14:paraId="73D9A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1" w:type="dxa"/>
                  <w:vMerge w:val="continue"/>
                  <w:tcBorders>
                    <w:tl2br w:val="nil"/>
                    <w:tr2bl w:val="nil"/>
                  </w:tcBorders>
                  <w:vAlign w:val="center"/>
                </w:tcPr>
                <w:p w14:paraId="76878EAA">
                  <w:pPr>
                    <w:jc w:val="center"/>
                    <w:rPr>
                      <w:rFonts w:ascii="Times New Roman" w:hAnsi="Times New Roman" w:cs="Times New Roman"/>
                      <w:bCs/>
                      <w:color w:val="auto"/>
                      <w:szCs w:val="21"/>
                      <w:highlight w:val="none"/>
                    </w:rPr>
                  </w:pPr>
                </w:p>
              </w:tc>
              <w:tc>
                <w:tcPr>
                  <w:tcW w:w="2269" w:type="dxa"/>
                  <w:tcBorders>
                    <w:tl2br w:val="nil"/>
                    <w:tr2bl w:val="nil"/>
                  </w:tcBorders>
                  <w:vAlign w:val="center"/>
                </w:tcPr>
                <w:p w14:paraId="68AC39B5">
                  <w:pPr>
                    <w:jc w:val="center"/>
                    <w:rPr>
                      <w:rFonts w:hint="default"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氨氮</w:t>
                  </w:r>
                </w:p>
              </w:tc>
              <w:tc>
                <w:tcPr>
                  <w:tcW w:w="2086" w:type="dxa"/>
                  <w:tcBorders>
                    <w:tl2br w:val="nil"/>
                    <w:tr2bl w:val="nil"/>
                  </w:tcBorders>
                  <w:vAlign w:val="center"/>
                </w:tcPr>
                <w:p w14:paraId="249CF6C3">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t/a</w:t>
                  </w:r>
                </w:p>
              </w:tc>
              <w:tc>
                <w:tcPr>
                  <w:tcW w:w="2608" w:type="dxa"/>
                  <w:tcBorders>
                    <w:tl2br w:val="nil"/>
                    <w:tr2bl w:val="nil"/>
                  </w:tcBorders>
                  <w:vAlign w:val="center"/>
                </w:tcPr>
                <w:p w14:paraId="1BCAD9C7">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0.0988</w:t>
                  </w:r>
                </w:p>
              </w:tc>
            </w:tr>
            <w:tr w14:paraId="44E72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1" w:type="dxa"/>
                  <w:vMerge w:val="continue"/>
                  <w:tcBorders>
                    <w:tl2br w:val="nil"/>
                    <w:tr2bl w:val="nil"/>
                  </w:tcBorders>
                  <w:vAlign w:val="center"/>
                </w:tcPr>
                <w:p w14:paraId="06B5AF8E">
                  <w:pPr>
                    <w:jc w:val="center"/>
                    <w:rPr>
                      <w:rFonts w:ascii="Times New Roman" w:hAnsi="Times New Roman" w:cs="Times New Roman"/>
                      <w:bCs/>
                      <w:color w:val="auto"/>
                      <w:szCs w:val="21"/>
                      <w:highlight w:val="none"/>
                    </w:rPr>
                  </w:pPr>
                </w:p>
              </w:tc>
              <w:tc>
                <w:tcPr>
                  <w:tcW w:w="2269" w:type="dxa"/>
                  <w:tcBorders>
                    <w:tl2br w:val="nil"/>
                    <w:tr2bl w:val="nil"/>
                  </w:tcBorders>
                  <w:vAlign w:val="center"/>
                </w:tcPr>
                <w:p w14:paraId="72FC4C79">
                  <w:pPr>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TP</w:t>
                  </w:r>
                </w:p>
              </w:tc>
              <w:tc>
                <w:tcPr>
                  <w:tcW w:w="2086" w:type="dxa"/>
                  <w:tcBorders>
                    <w:tl2br w:val="nil"/>
                    <w:tr2bl w:val="nil"/>
                  </w:tcBorders>
                  <w:vAlign w:val="center"/>
                </w:tcPr>
                <w:p w14:paraId="2A4A48FD">
                  <w:pPr>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t/a</w:t>
                  </w:r>
                </w:p>
              </w:tc>
              <w:tc>
                <w:tcPr>
                  <w:tcW w:w="2608" w:type="dxa"/>
                  <w:tcBorders>
                    <w:tl2br w:val="nil"/>
                    <w:tr2bl w:val="nil"/>
                  </w:tcBorders>
                  <w:vAlign w:val="center"/>
                </w:tcPr>
                <w:p w14:paraId="16B2870A">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0.0099</w:t>
                  </w:r>
                </w:p>
              </w:tc>
            </w:tr>
          </w:tbl>
          <w:p w14:paraId="7278D2F3">
            <w:pPr>
              <w:spacing w:line="360" w:lineRule="auto"/>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五</w:t>
            </w:r>
            <w:r>
              <w:rPr>
                <w:rFonts w:hint="eastAsia" w:ascii="Times New Roman" w:hAnsi="Times New Roman" w:cs="Times New Roman"/>
                <w:b/>
                <w:bCs/>
                <w:color w:val="auto"/>
                <w:sz w:val="24"/>
                <w:szCs w:val="24"/>
                <w:highlight w:val="none"/>
              </w:rPr>
              <w:t>、</w:t>
            </w:r>
            <w:r>
              <w:rPr>
                <w:rFonts w:hint="eastAsia" w:ascii="Times New Roman" w:hAnsi="Times New Roman" w:cs="Times New Roman"/>
                <w:b/>
                <w:bCs/>
                <w:color w:val="auto"/>
                <w:sz w:val="24"/>
                <w:szCs w:val="24"/>
                <w:highlight w:val="none"/>
                <w:lang w:val="en-US" w:eastAsia="zh-CN"/>
              </w:rPr>
              <w:t>原有项目</w:t>
            </w:r>
            <w:r>
              <w:rPr>
                <w:rFonts w:hint="eastAsia" w:ascii="Times New Roman" w:hAnsi="Times New Roman" w:cs="Times New Roman"/>
                <w:b/>
                <w:bCs/>
                <w:color w:val="auto"/>
                <w:sz w:val="24"/>
                <w:szCs w:val="24"/>
                <w:highlight w:val="none"/>
              </w:rPr>
              <w:t>存在的主要环境问题及整改措施</w:t>
            </w:r>
          </w:p>
          <w:p w14:paraId="3E754C53">
            <w:pPr>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原有项目</w:t>
            </w:r>
            <w:r>
              <w:rPr>
                <w:rFonts w:hint="eastAsia" w:ascii="Times New Roman" w:hAnsi="Times New Roman" w:cs="Times New Roman"/>
                <w:color w:val="auto"/>
                <w:sz w:val="24"/>
                <w:szCs w:val="24"/>
              </w:rPr>
              <w:t>存在问题及整改措施汇总见下表：</w:t>
            </w:r>
          </w:p>
          <w:p w14:paraId="71AED40D">
            <w:pPr>
              <w:pStyle w:val="114"/>
              <w:bidi w:val="0"/>
              <w:rPr>
                <w:color w:val="auto"/>
              </w:rPr>
            </w:pPr>
            <w:r>
              <w:rPr>
                <w:rFonts w:hint="eastAsia"/>
                <w:color w:val="auto"/>
                <w:lang w:val="en-US" w:eastAsia="zh-CN"/>
              </w:rPr>
              <w:t>原有项目</w:t>
            </w:r>
            <w:r>
              <w:rPr>
                <w:rFonts w:hint="eastAsia"/>
                <w:color w:val="auto"/>
              </w:rPr>
              <w:t>存在问题及整改措施汇总表</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1346"/>
              <w:gridCol w:w="2921"/>
              <w:gridCol w:w="4083"/>
            </w:tblGrid>
            <w:tr w14:paraId="0281A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pct"/>
                  <w:gridSpan w:val="2"/>
                  <w:tcBorders>
                    <w:tl2br w:val="nil"/>
                    <w:tr2bl w:val="nil"/>
                  </w:tcBorders>
                  <w:vAlign w:val="center"/>
                </w:tcPr>
                <w:p w14:paraId="29CC6C7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整改类别</w:t>
                  </w:r>
                </w:p>
              </w:tc>
              <w:tc>
                <w:tcPr>
                  <w:tcW w:w="1574" w:type="pct"/>
                  <w:tcBorders>
                    <w:tl2br w:val="nil"/>
                    <w:tr2bl w:val="nil"/>
                  </w:tcBorders>
                  <w:vAlign w:val="center"/>
                </w:tcPr>
                <w:p w14:paraId="7140F2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整改项目</w:t>
                  </w:r>
                </w:p>
              </w:tc>
              <w:tc>
                <w:tcPr>
                  <w:tcW w:w="2200" w:type="pct"/>
                  <w:tcBorders>
                    <w:tl2br w:val="nil"/>
                    <w:tr2bl w:val="nil"/>
                  </w:tcBorders>
                  <w:vAlign w:val="center"/>
                </w:tcPr>
                <w:p w14:paraId="3376870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整改方案</w:t>
                  </w:r>
                </w:p>
              </w:tc>
            </w:tr>
            <w:tr w14:paraId="5D8C4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pct"/>
                  <w:vMerge w:val="restart"/>
                  <w:tcBorders>
                    <w:tl2br w:val="nil"/>
                    <w:tr2bl w:val="nil"/>
                  </w:tcBorders>
                  <w:vAlign w:val="center"/>
                </w:tcPr>
                <w:p w14:paraId="1F43A2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废气</w:t>
                  </w:r>
                </w:p>
              </w:tc>
              <w:tc>
                <w:tcPr>
                  <w:tcW w:w="725" w:type="pct"/>
                  <w:tcBorders>
                    <w:tl2br w:val="nil"/>
                    <w:tr2bl w:val="nil"/>
                  </w:tcBorders>
                  <w:vAlign w:val="center"/>
                </w:tcPr>
                <w:p w14:paraId="47A563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实验室废气</w:t>
                  </w:r>
                </w:p>
              </w:tc>
              <w:tc>
                <w:tcPr>
                  <w:tcW w:w="1574" w:type="pct"/>
                  <w:tcBorders>
                    <w:tl2br w:val="nil"/>
                    <w:tr2bl w:val="nil"/>
                  </w:tcBorders>
                  <w:vAlign w:val="center"/>
                </w:tcPr>
                <w:p w14:paraId="7EF844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highlight w:val="none"/>
                      <w:lang w:val="en-US" w:eastAsia="zh-CN"/>
                    </w:rPr>
                    <w:t>原有项目实验室废气无废气收集设置。</w:t>
                  </w:r>
                </w:p>
              </w:tc>
              <w:tc>
                <w:tcPr>
                  <w:tcW w:w="2200" w:type="pct"/>
                  <w:tcBorders>
                    <w:tl2br w:val="nil"/>
                    <w:tr2bl w:val="nil"/>
                  </w:tcBorders>
                  <w:vAlign w:val="center"/>
                </w:tcPr>
                <w:p w14:paraId="3656F9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实验楼新建后</w:t>
                  </w:r>
                  <w:r>
                    <w:rPr>
                      <w:rFonts w:hint="eastAsia" w:ascii="Times New Roman" w:hAnsi="Times New Roman" w:cs="Times New Roman"/>
                      <w:bCs/>
                      <w:color w:val="auto"/>
                      <w:sz w:val="21"/>
                      <w:szCs w:val="21"/>
                      <w:highlight w:val="none"/>
                      <w:lang w:val="en-US" w:eastAsia="zh-CN"/>
                    </w:rPr>
                    <w:t>化学药品及仪器室内设置有药品柜，药品柜设有通风系统。化学实验配液由老师配制，在实验准备室设置通风橱1处，在通风橱内进行试剂配置，配置过程中产生的实验废气经收集后排出室外。学生操作实验台上方设置万向集气罩，实验操作产生的废气经集气罩收集后排出室外。</w:t>
                  </w:r>
                </w:p>
              </w:tc>
            </w:tr>
            <w:tr w14:paraId="6C533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pct"/>
                  <w:vMerge w:val="continue"/>
                  <w:tcBorders>
                    <w:tl2br w:val="nil"/>
                    <w:tr2bl w:val="nil"/>
                  </w:tcBorders>
                  <w:vAlign w:val="center"/>
                </w:tcPr>
                <w:p w14:paraId="6203BD9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p>
              </w:tc>
              <w:tc>
                <w:tcPr>
                  <w:tcW w:w="725" w:type="pct"/>
                  <w:tcBorders>
                    <w:tl2br w:val="nil"/>
                    <w:tr2bl w:val="nil"/>
                  </w:tcBorders>
                  <w:vAlign w:val="center"/>
                </w:tcPr>
                <w:p w14:paraId="46C62E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食堂油烟</w:t>
                  </w:r>
                </w:p>
              </w:tc>
              <w:tc>
                <w:tcPr>
                  <w:tcW w:w="1574" w:type="pct"/>
                  <w:tcBorders>
                    <w:tl2br w:val="nil"/>
                    <w:tr2bl w:val="nil"/>
                  </w:tcBorders>
                  <w:vAlign w:val="center"/>
                </w:tcPr>
                <w:p w14:paraId="4D66DC9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灶台顶部设置有集气罩，油烟废气经烟道室外排放</w:t>
                  </w:r>
                </w:p>
              </w:tc>
              <w:tc>
                <w:tcPr>
                  <w:tcW w:w="2200" w:type="pct"/>
                  <w:tcBorders>
                    <w:tl2br w:val="nil"/>
                    <w:tr2bl w:val="nil"/>
                  </w:tcBorders>
                  <w:vAlign w:val="center"/>
                </w:tcPr>
                <w:p w14:paraId="7BB31B3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中华人民共和国大气污染防治法》第八十一条明确规定，所有排放油烟的餐饮服务业经营者必须安装油烟净化设施并保持正常使用，或采取其他净化措施确保达标排放。学校食堂作为集中供餐的餐饮服务场所，属于法定适用范围，无豁免情形。</w:t>
                  </w:r>
                </w:p>
                <w:p w14:paraId="795AF3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本次环评要求食堂设置油烟净化器，食堂油烟经油烟净化器处理后排放。</w:t>
                  </w:r>
                </w:p>
              </w:tc>
            </w:tr>
            <w:tr w14:paraId="1BD4E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pct"/>
                  <w:vMerge w:val="restart"/>
                  <w:tcBorders>
                    <w:tl2br w:val="nil"/>
                    <w:tr2bl w:val="nil"/>
                  </w:tcBorders>
                  <w:vAlign w:val="center"/>
                </w:tcPr>
                <w:p w14:paraId="609EB8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废水</w:t>
                  </w:r>
                </w:p>
              </w:tc>
              <w:tc>
                <w:tcPr>
                  <w:tcW w:w="725" w:type="pct"/>
                  <w:tcBorders>
                    <w:tl2br w:val="nil"/>
                    <w:tr2bl w:val="nil"/>
                  </w:tcBorders>
                  <w:vAlign w:val="center"/>
                </w:tcPr>
                <w:p w14:paraId="384B8B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实验室废水</w:t>
                  </w:r>
                </w:p>
              </w:tc>
              <w:tc>
                <w:tcPr>
                  <w:tcW w:w="1574" w:type="pct"/>
                  <w:tcBorders>
                    <w:tl2br w:val="nil"/>
                    <w:tr2bl w:val="nil"/>
                  </w:tcBorders>
                  <w:vAlign w:val="center"/>
                </w:tcPr>
                <w:p w14:paraId="2F1935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rPr>
                  </w:pPr>
                  <w:r>
                    <w:rPr>
                      <w:rFonts w:hint="eastAsia" w:ascii="Times New Roman" w:hAnsi="Times New Roman" w:cs="Times New Roman"/>
                      <w:bCs/>
                      <w:color w:val="auto"/>
                      <w:sz w:val="21"/>
                      <w:szCs w:val="21"/>
                      <w:highlight w:val="none"/>
                      <w:lang w:val="en-US" w:eastAsia="zh-CN"/>
                    </w:rPr>
                    <w:t>四次及以后清洗废水和实验辅助废水排入预处理池处理后排入市政污水管网</w:t>
                  </w:r>
                </w:p>
              </w:tc>
              <w:tc>
                <w:tcPr>
                  <w:tcW w:w="2200" w:type="pct"/>
                  <w:tcBorders>
                    <w:tl2br w:val="nil"/>
                    <w:tr2bl w:val="nil"/>
                  </w:tcBorders>
                  <w:vAlign w:val="center"/>
                </w:tcPr>
                <w:p w14:paraId="72C3D91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auto"/>
                      <w:sz w:val="21"/>
                      <w:szCs w:val="21"/>
                    </w:rPr>
                  </w:pPr>
                  <w:r>
                    <w:rPr>
                      <w:rFonts w:hint="eastAsia" w:ascii="Times New Roman" w:hAnsi="Times New Roman" w:cs="Times New Roman"/>
                      <w:bCs/>
                      <w:color w:val="auto"/>
                      <w:sz w:val="21"/>
                      <w:szCs w:val="21"/>
                      <w:highlight w:val="none"/>
                      <w:lang w:val="en-US" w:eastAsia="zh-CN"/>
                    </w:rPr>
                    <w:t>四次及以后清洗废水和实验辅助废水进入酸碱中和池中和后，依托已建预处理处理后排入市政污水管网。</w:t>
                  </w:r>
                </w:p>
              </w:tc>
            </w:tr>
            <w:tr w14:paraId="521C2E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pct"/>
                  <w:vMerge w:val="continue"/>
                  <w:tcBorders>
                    <w:tl2br w:val="nil"/>
                    <w:tr2bl w:val="nil"/>
                  </w:tcBorders>
                  <w:vAlign w:val="center"/>
                </w:tcPr>
                <w:p w14:paraId="2E4166C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p>
              </w:tc>
              <w:tc>
                <w:tcPr>
                  <w:tcW w:w="725" w:type="pct"/>
                  <w:tcBorders>
                    <w:tl2br w:val="nil"/>
                    <w:tr2bl w:val="nil"/>
                  </w:tcBorders>
                  <w:vAlign w:val="center"/>
                </w:tcPr>
                <w:p w14:paraId="1F9F6C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食堂废水</w:t>
                  </w:r>
                </w:p>
              </w:tc>
              <w:tc>
                <w:tcPr>
                  <w:tcW w:w="1574" w:type="pct"/>
                  <w:tcBorders>
                    <w:tl2br w:val="nil"/>
                    <w:tr2bl w:val="nil"/>
                  </w:tcBorders>
                  <w:vAlign w:val="center"/>
                </w:tcPr>
                <w:p w14:paraId="549D67E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排入预处理池处理后排入市政污水管网</w:t>
                  </w:r>
                </w:p>
              </w:tc>
              <w:tc>
                <w:tcPr>
                  <w:tcW w:w="2200" w:type="pct"/>
                  <w:tcBorders>
                    <w:tl2br w:val="nil"/>
                    <w:tr2bl w:val="nil"/>
                  </w:tcBorders>
                  <w:vAlign w:val="center"/>
                </w:tcPr>
                <w:p w14:paraId="6FAD16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设置隔油池1座，食堂废水经隔油池处理后排入预处理池处理。</w:t>
                  </w:r>
                </w:p>
              </w:tc>
            </w:tr>
            <w:tr w14:paraId="49544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pct"/>
                  <w:tcBorders>
                    <w:tl2br w:val="nil"/>
                    <w:tr2bl w:val="nil"/>
                  </w:tcBorders>
                  <w:vAlign w:val="center"/>
                </w:tcPr>
                <w:p w14:paraId="38ADE0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一般固废</w:t>
                  </w:r>
                </w:p>
              </w:tc>
              <w:tc>
                <w:tcPr>
                  <w:tcW w:w="725" w:type="pct"/>
                  <w:tcBorders>
                    <w:tl2br w:val="nil"/>
                    <w:tr2bl w:val="nil"/>
                  </w:tcBorders>
                  <w:vAlign w:val="center"/>
                </w:tcPr>
                <w:p w14:paraId="6E0719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预处理池污泥</w:t>
                  </w:r>
                </w:p>
              </w:tc>
              <w:tc>
                <w:tcPr>
                  <w:tcW w:w="1574" w:type="pct"/>
                  <w:tcBorders>
                    <w:tl2br w:val="nil"/>
                    <w:tr2bl w:val="nil"/>
                  </w:tcBorders>
                  <w:vAlign w:val="center"/>
                </w:tcPr>
                <w:p w14:paraId="54B5C2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无清掏协议</w:t>
                  </w:r>
                </w:p>
              </w:tc>
              <w:tc>
                <w:tcPr>
                  <w:tcW w:w="2200" w:type="pct"/>
                  <w:tcBorders>
                    <w:tl2br w:val="nil"/>
                    <w:tr2bl w:val="nil"/>
                  </w:tcBorders>
                  <w:vAlign w:val="center"/>
                </w:tcPr>
                <w:p w14:paraId="1AF2E8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与有资质单位签订清掏协议</w:t>
                  </w:r>
                </w:p>
              </w:tc>
            </w:tr>
            <w:tr w14:paraId="4F120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pct"/>
                  <w:vMerge w:val="restart"/>
                  <w:tcBorders>
                    <w:tl2br w:val="nil"/>
                    <w:tr2bl w:val="nil"/>
                  </w:tcBorders>
                  <w:vAlign w:val="center"/>
                </w:tcPr>
                <w:p w14:paraId="19118D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危险废物</w:t>
                  </w:r>
                </w:p>
              </w:tc>
              <w:tc>
                <w:tcPr>
                  <w:tcW w:w="725" w:type="pct"/>
                  <w:tcBorders>
                    <w:tl2br w:val="nil"/>
                    <w:tr2bl w:val="nil"/>
                  </w:tcBorders>
                  <w:vAlign w:val="center"/>
                </w:tcPr>
                <w:p w14:paraId="237DED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实验废液</w:t>
                  </w:r>
                </w:p>
              </w:tc>
              <w:tc>
                <w:tcPr>
                  <w:tcW w:w="1574" w:type="pct"/>
                  <w:tcBorders>
                    <w:tl2br w:val="nil"/>
                    <w:tr2bl w:val="nil"/>
                  </w:tcBorders>
                  <w:vAlign w:val="center"/>
                </w:tcPr>
                <w:p w14:paraId="0AEFE32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rPr>
                  </w:pPr>
                  <w:r>
                    <w:rPr>
                      <w:rFonts w:hint="eastAsia" w:ascii="Times New Roman" w:hAnsi="Times New Roman" w:cs="Times New Roman"/>
                      <w:b w:val="0"/>
                      <w:bCs w:val="0"/>
                      <w:color w:val="auto"/>
                      <w:sz w:val="21"/>
                      <w:szCs w:val="21"/>
                      <w:highlight w:val="none"/>
                      <w:lang w:val="en-US" w:eastAsia="zh-CN"/>
                    </w:rPr>
                    <w:t>原有项目</w:t>
                  </w:r>
                  <w:r>
                    <w:rPr>
                      <w:rFonts w:hint="eastAsia"/>
                      <w:b w:val="0"/>
                      <w:bCs w:val="0"/>
                      <w:color w:val="auto"/>
                      <w:sz w:val="21"/>
                      <w:szCs w:val="21"/>
                      <w:highlight w:val="none"/>
                      <w:lang w:val="en-US" w:eastAsia="zh-CN"/>
                    </w:rPr>
                    <w:t>化学实验产生的实验废液和实验器皿前三次清洗废水未作为危废进行收集，直接排入市政污水管网</w:t>
                  </w:r>
                  <w:r>
                    <w:rPr>
                      <w:rFonts w:hint="eastAsia" w:ascii="Times New Roman" w:hAnsi="Times New Roman" w:cs="Times New Roman"/>
                      <w:b w:val="0"/>
                      <w:bCs w:val="0"/>
                      <w:color w:val="auto"/>
                      <w:sz w:val="21"/>
                      <w:szCs w:val="21"/>
                      <w:highlight w:val="none"/>
                      <w:lang w:val="en-US" w:eastAsia="zh-CN"/>
                    </w:rPr>
                    <w:t>。</w:t>
                  </w:r>
                </w:p>
              </w:tc>
              <w:tc>
                <w:tcPr>
                  <w:tcW w:w="2200" w:type="pct"/>
                  <w:vMerge w:val="restart"/>
                  <w:tcBorders>
                    <w:tl2br w:val="nil"/>
                    <w:tr2bl w:val="nil"/>
                  </w:tcBorders>
                  <w:vAlign w:val="center"/>
                </w:tcPr>
                <w:p w14:paraId="4D4E5A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bCs/>
                      <w:color w:val="auto"/>
                      <w:sz w:val="21"/>
                      <w:szCs w:val="21"/>
                      <w:highlight w:val="none"/>
                      <w:lang w:val="en-US" w:eastAsia="zh-CN"/>
                    </w:rPr>
                    <w:t>在实验楼2楼实验准备室内设置1间危废暂存间，面积约2m</w:t>
                  </w:r>
                  <w:r>
                    <w:rPr>
                      <w:rFonts w:hint="eastAsia" w:ascii="Times New Roman" w:hAnsi="Times New Roman" w:cs="Times New Roman"/>
                      <w:bCs/>
                      <w:color w:val="auto"/>
                      <w:sz w:val="21"/>
                      <w:szCs w:val="21"/>
                      <w:highlight w:val="none"/>
                      <w:vertAlign w:val="superscript"/>
                      <w:lang w:val="en-US" w:eastAsia="zh-CN"/>
                    </w:rPr>
                    <w:t>2</w:t>
                  </w:r>
                  <w:r>
                    <w:rPr>
                      <w:rFonts w:hint="eastAsia" w:ascii="Times New Roman" w:hAnsi="Times New Roman" w:cs="Times New Roman"/>
                      <w:bCs/>
                      <w:color w:val="auto"/>
                      <w:sz w:val="21"/>
                      <w:szCs w:val="21"/>
                      <w:highlight w:val="none"/>
                      <w:lang w:val="en-US" w:eastAsia="zh-CN"/>
                    </w:rPr>
                    <w:t>，用于暂存教学实验产生的危险废物，设置防渗托盘进行防渗处理，同时设置标识标牌，建立危险废物台账，危险废物暂存在危废暂存间内，签订危废协议，定期交有危废处置单位运输处置。</w:t>
                  </w:r>
                </w:p>
              </w:tc>
            </w:tr>
            <w:tr w14:paraId="03E28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pct"/>
                  <w:vMerge w:val="continue"/>
                  <w:tcBorders>
                    <w:tl2br w:val="nil"/>
                    <w:tr2bl w:val="nil"/>
                  </w:tcBorders>
                  <w:vAlign w:val="center"/>
                </w:tcPr>
                <w:p w14:paraId="48406A7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p>
              </w:tc>
              <w:tc>
                <w:tcPr>
                  <w:tcW w:w="725" w:type="pct"/>
                  <w:tcBorders>
                    <w:tl2br w:val="nil"/>
                    <w:tr2bl w:val="nil"/>
                  </w:tcBorders>
                  <w:vAlign w:val="center"/>
                </w:tcPr>
                <w:p w14:paraId="2D9F57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化学品废包装容器</w:t>
                  </w:r>
                </w:p>
              </w:tc>
              <w:tc>
                <w:tcPr>
                  <w:tcW w:w="1574" w:type="pct"/>
                  <w:tcBorders>
                    <w:tl2br w:val="nil"/>
                    <w:tr2bl w:val="nil"/>
                  </w:tcBorders>
                  <w:vAlign w:val="center"/>
                </w:tcPr>
                <w:p w14:paraId="0546AB9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rPr>
                  </w:pPr>
                  <w:r>
                    <w:rPr>
                      <w:rFonts w:hint="eastAsia" w:ascii="Times New Roman" w:hAnsi="Times New Roman" w:cs="Times New Roman"/>
                      <w:b w:val="0"/>
                      <w:bCs w:val="0"/>
                      <w:color w:val="auto"/>
                      <w:sz w:val="21"/>
                      <w:szCs w:val="21"/>
                      <w:highlight w:val="none"/>
                      <w:lang w:val="en-US" w:eastAsia="zh-CN"/>
                    </w:rPr>
                    <w:t>化学品废包装容器送至马尔康市中学危废暂存间，定期由有危废处理资质单位运输处置。</w:t>
                  </w:r>
                </w:p>
              </w:tc>
              <w:tc>
                <w:tcPr>
                  <w:tcW w:w="2200" w:type="pct"/>
                  <w:vMerge w:val="continue"/>
                  <w:tcBorders>
                    <w:tl2br w:val="nil"/>
                    <w:tr2bl w:val="nil"/>
                  </w:tcBorders>
                  <w:vAlign w:val="center"/>
                </w:tcPr>
                <w:p w14:paraId="679FC0D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p>
              </w:tc>
            </w:tr>
            <w:tr w14:paraId="0D60C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pct"/>
                  <w:vMerge w:val="continue"/>
                  <w:tcBorders>
                    <w:tl2br w:val="nil"/>
                    <w:tr2bl w:val="nil"/>
                  </w:tcBorders>
                  <w:vAlign w:val="center"/>
                </w:tcPr>
                <w:p w14:paraId="68D9754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p>
              </w:tc>
              <w:tc>
                <w:tcPr>
                  <w:tcW w:w="725" w:type="pct"/>
                  <w:tcBorders>
                    <w:tl2br w:val="nil"/>
                    <w:tr2bl w:val="nil"/>
                  </w:tcBorders>
                  <w:shd w:val="clear" w:color="auto" w:fill="auto"/>
                  <w:vAlign w:val="center"/>
                </w:tcPr>
                <w:p w14:paraId="4D06B9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废矿物油</w:t>
                  </w:r>
                </w:p>
              </w:tc>
              <w:tc>
                <w:tcPr>
                  <w:tcW w:w="1574" w:type="pct"/>
                  <w:tcBorders>
                    <w:tl2br w:val="nil"/>
                    <w:tr2bl w:val="nil"/>
                  </w:tcBorders>
                  <w:shd w:val="clear" w:color="auto" w:fill="auto"/>
                  <w:vAlign w:val="center"/>
                </w:tcPr>
                <w:p w14:paraId="3A65FF4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废矿物油</w:t>
                  </w:r>
                  <w:r>
                    <w:rPr>
                      <w:rFonts w:hint="eastAsia" w:ascii="Times New Roman" w:hAnsi="Times New Roman" w:cs="Times New Roman"/>
                      <w:color w:val="auto"/>
                      <w:sz w:val="21"/>
                      <w:szCs w:val="21"/>
                      <w:highlight w:val="none"/>
                    </w:rPr>
                    <w:t>暂存</w:t>
                  </w:r>
                  <w:r>
                    <w:rPr>
                      <w:rFonts w:hint="eastAsia" w:ascii="Times New Roman" w:hAnsi="Times New Roman" w:cs="Times New Roman"/>
                      <w:color w:val="auto"/>
                      <w:sz w:val="21"/>
                      <w:szCs w:val="21"/>
                      <w:highlight w:val="none"/>
                      <w:lang w:val="en-US" w:eastAsia="zh-CN"/>
                    </w:rPr>
                    <w:t>在柴油发电机房</w:t>
                  </w:r>
                  <w:r>
                    <w:rPr>
                      <w:rFonts w:hint="eastAsia" w:ascii="Times New Roman" w:hAnsi="Times New Roman" w:cs="Times New Roman"/>
                      <w:color w:val="auto"/>
                      <w:sz w:val="21"/>
                      <w:szCs w:val="21"/>
                      <w:highlight w:val="none"/>
                    </w:rPr>
                    <w:t>内，</w:t>
                  </w:r>
                  <w:r>
                    <w:rPr>
                      <w:rFonts w:hint="eastAsia" w:ascii="Times New Roman" w:hAnsi="Times New Roman" w:cs="Times New Roman"/>
                      <w:color w:val="auto"/>
                      <w:sz w:val="21"/>
                      <w:szCs w:val="21"/>
                      <w:highlight w:val="none"/>
                      <w:lang w:val="en-US" w:eastAsia="zh-CN"/>
                    </w:rPr>
                    <w:t>由环卫部门清运处置</w:t>
                  </w:r>
                </w:p>
              </w:tc>
              <w:tc>
                <w:tcPr>
                  <w:tcW w:w="2200" w:type="pct"/>
                  <w:vMerge w:val="continue"/>
                  <w:tcBorders>
                    <w:tl2br w:val="nil"/>
                    <w:tr2bl w:val="nil"/>
                  </w:tcBorders>
                  <w:shd w:val="clear" w:color="auto" w:fill="auto"/>
                  <w:vAlign w:val="center"/>
                </w:tcPr>
                <w:p w14:paraId="76EB1AD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color w:val="auto"/>
                      <w:kern w:val="2"/>
                      <w:sz w:val="21"/>
                      <w:szCs w:val="21"/>
                      <w:lang w:val="en-US" w:eastAsia="zh-CN" w:bidi="ar-SA"/>
                    </w:rPr>
                  </w:pPr>
                </w:p>
              </w:tc>
            </w:tr>
            <w:tr w14:paraId="19971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pct"/>
                  <w:tcBorders>
                    <w:tl2br w:val="nil"/>
                    <w:tr2bl w:val="nil"/>
                  </w:tcBorders>
                  <w:vAlign w:val="center"/>
                </w:tcPr>
                <w:p w14:paraId="46A867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25" w:type="pct"/>
                  <w:tcBorders>
                    <w:tl2br w:val="nil"/>
                    <w:tr2bl w:val="nil"/>
                  </w:tcBorders>
                  <w:shd w:val="clear" w:color="auto" w:fill="auto"/>
                  <w:vAlign w:val="center"/>
                </w:tcPr>
                <w:p w14:paraId="0C4EF6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标识标牌设置</w:t>
                  </w:r>
                </w:p>
              </w:tc>
              <w:tc>
                <w:tcPr>
                  <w:tcW w:w="1574" w:type="pct"/>
                  <w:tcBorders>
                    <w:tl2br w:val="nil"/>
                    <w:tr2bl w:val="nil"/>
                  </w:tcBorders>
                  <w:shd w:val="clear" w:color="auto" w:fill="auto"/>
                  <w:vAlign w:val="center"/>
                </w:tcPr>
                <w:p w14:paraId="359AA5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废水、废气排放口未按照《环境保护图形标志-排放口（源）》（GB15562.1-1995）和《排污口规范化整治要求（试行）》（环监〔1996〕470号）设置标识标牌。</w:t>
                  </w:r>
                </w:p>
              </w:tc>
              <w:tc>
                <w:tcPr>
                  <w:tcW w:w="2200" w:type="pct"/>
                  <w:tcBorders>
                    <w:tl2br w:val="nil"/>
                    <w:tr2bl w:val="nil"/>
                  </w:tcBorders>
                  <w:shd w:val="clear" w:color="auto" w:fill="auto"/>
                  <w:vAlign w:val="center"/>
                </w:tcPr>
                <w:p w14:paraId="60FA81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本次环评提出“以新代老”措施，要求建设单位规范排污口，设置标识标牌。</w:t>
                  </w:r>
                </w:p>
              </w:tc>
            </w:tr>
          </w:tbl>
          <w:p w14:paraId="366C4803">
            <w:pPr>
              <w:spacing w:line="360" w:lineRule="auto"/>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六</w:t>
            </w:r>
            <w:r>
              <w:rPr>
                <w:rFonts w:hint="eastAsia" w:ascii="Times New Roman" w:hAnsi="Times New Roman" w:cs="Times New Roman"/>
                <w:b/>
                <w:color w:val="auto"/>
                <w:sz w:val="24"/>
                <w:szCs w:val="24"/>
                <w:highlight w:val="none"/>
              </w:rPr>
              <w:t>、污染物排放“三本账”计算</w:t>
            </w:r>
          </w:p>
          <w:p w14:paraId="1659C0B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本项目建成后，主要污染物扩建前后“三本账”情况详见下表</w:t>
            </w:r>
            <w:r>
              <w:rPr>
                <w:rFonts w:hint="eastAsia"/>
                <w:color w:val="auto"/>
                <w:sz w:val="24"/>
                <w:highlight w:val="none"/>
              </w:rPr>
              <w:t>所示</w:t>
            </w:r>
            <w:r>
              <w:rPr>
                <w:rFonts w:hint="eastAsia" w:ascii="宋体" w:hAnsi="宋体" w:cs="宋体"/>
                <w:color w:val="auto"/>
                <w:sz w:val="24"/>
                <w:highlight w:val="none"/>
              </w:rPr>
              <w:t>。</w:t>
            </w:r>
          </w:p>
          <w:p w14:paraId="7C85CA61">
            <w:pPr>
              <w:pStyle w:val="114"/>
              <w:bidi w:val="0"/>
              <w:rPr>
                <w:color w:val="auto"/>
              </w:rPr>
            </w:pPr>
            <w:r>
              <w:rPr>
                <w:rFonts w:hint="eastAsia"/>
                <w:color w:val="auto"/>
              </w:rPr>
              <w:t>项目扩建前后主要污染物排放“三本账”计算表</w:t>
            </w:r>
            <w:r>
              <w:rPr>
                <w:color w:val="auto"/>
              </w:rPr>
              <w:t xml:space="preserve">  </w:t>
            </w:r>
            <w:r>
              <w:rPr>
                <w:rFonts w:hint="eastAsia"/>
                <w:color w:val="auto"/>
              </w:rPr>
              <w:t>单位：</w:t>
            </w:r>
            <w:r>
              <w:rPr>
                <w:color w:val="auto"/>
              </w:rPr>
              <w:t>t/a</w:t>
            </w:r>
          </w:p>
          <w:tbl>
            <w:tblPr>
              <w:tblStyle w:val="41"/>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1273"/>
              <w:gridCol w:w="1218"/>
              <w:gridCol w:w="1067"/>
              <w:gridCol w:w="1294"/>
              <w:gridCol w:w="1004"/>
              <w:gridCol w:w="1305"/>
              <w:gridCol w:w="1229"/>
            </w:tblGrid>
            <w:tr w14:paraId="7750D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tcBorders>
                    <w:tl2br w:val="nil"/>
                    <w:tr2bl w:val="nil"/>
                  </w:tcBorders>
                  <w:vAlign w:val="center"/>
                </w:tcPr>
                <w:p w14:paraId="290E4C99">
                  <w:pPr>
                    <w:jc w:val="right"/>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项目</w:t>
                  </w:r>
                </w:p>
                <w:p w14:paraId="3C284120">
                  <w:pPr>
                    <w:jc w:val="left"/>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分类</w:t>
                  </w:r>
                </w:p>
              </w:tc>
              <w:tc>
                <w:tcPr>
                  <w:tcW w:w="686" w:type="pct"/>
                  <w:tcBorders>
                    <w:tl2br w:val="nil"/>
                    <w:tr2bl w:val="nil"/>
                  </w:tcBorders>
                  <w:vAlign w:val="center"/>
                </w:tcPr>
                <w:p w14:paraId="2DE34CAF">
                  <w:pPr>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污染物名称</w:t>
                  </w:r>
                </w:p>
              </w:tc>
              <w:tc>
                <w:tcPr>
                  <w:tcW w:w="656" w:type="pct"/>
                  <w:tcBorders>
                    <w:tl2br w:val="nil"/>
                    <w:tr2bl w:val="nil"/>
                  </w:tcBorders>
                  <w:vAlign w:val="center"/>
                </w:tcPr>
                <w:p w14:paraId="3F3A9655">
                  <w:pPr>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原有项目</w:t>
                  </w:r>
                  <w:r>
                    <w:rPr>
                      <w:rFonts w:hint="eastAsia" w:ascii="Times New Roman" w:hAnsi="Times New Roman" w:cs="Times New Roman"/>
                      <w:b/>
                      <w:bCs/>
                      <w:color w:val="auto"/>
                      <w:sz w:val="21"/>
                      <w:szCs w:val="21"/>
                      <w:highlight w:val="none"/>
                    </w:rPr>
                    <w:t>排放量（固体废物产生量）</w:t>
                  </w:r>
                </w:p>
              </w:tc>
              <w:tc>
                <w:tcPr>
                  <w:tcW w:w="575" w:type="pct"/>
                  <w:tcBorders>
                    <w:tl2br w:val="nil"/>
                    <w:tr2bl w:val="nil"/>
                  </w:tcBorders>
                  <w:vAlign w:val="center"/>
                </w:tcPr>
                <w:p w14:paraId="1A99B409">
                  <w:pPr>
                    <w:jc w:val="center"/>
                    <w:rPr>
                      <w:rFonts w:hint="default"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原有项目许可排放量</w:t>
                  </w:r>
                </w:p>
              </w:tc>
              <w:tc>
                <w:tcPr>
                  <w:tcW w:w="697" w:type="pct"/>
                  <w:tcBorders>
                    <w:tl2br w:val="nil"/>
                    <w:tr2bl w:val="nil"/>
                  </w:tcBorders>
                  <w:vAlign w:val="center"/>
                </w:tcPr>
                <w:p w14:paraId="1FEAB95A">
                  <w:pPr>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本项目排放量（固体废物产生量）</w:t>
                  </w:r>
                </w:p>
              </w:tc>
              <w:tc>
                <w:tcPr>
                  <w:tcW w:w="541" w:type="pct"/>
                  <w:tcBorders>
                    <w:tl2br w:val="nil"/>
                    <w:tr2bl w:val="nil"/>
                  </w:tcBorders>
                  <w:vAlign w:val="center"/>
                </w:tcPr>
                <w:p w14:paraId="75F71706">
                  <w:pPr>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以新带老削减量</w:t>
                  </w:r>
                </w:p>
              </w:tc>
              <w:tc>
                <w:tcPr>
                  <w:tcW w:w="703" w:type="pct"/>
                  <w:tcBorders>
                    <w:tl2br w:val="nil"/>
                    <w:tr2bl w:val="nil"/>
                  </w:tcBorders>
                  <w:vAlign w:val="center"/>
                </w:tcPr>
                <w:p w14:paraId="164E101C">
                  <w:pPr>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本项目建成后全厂排放能量（固体废物产生量）</w:t>
                  </w:r>
                </w:p>
              </w:tc>
              <w:tc>
                <w:tcPr>
                  <w:tcW w:w="662" w:type="pct"/>
                  <w:tcBorders>
                    <w:tl2br w:val="nil"/>
                    <w:tr2bl w:val="nil"/>
                  </w:tcBorders>
                  <w:vAlign w:val="center"/>
                </w:tcPr>
                <w:p w14:paraId="2E6DF285">
                  <w:pPr>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变化量</w:t>
                  </w:r>
                </w:p>
              </w:tc>
            </w:tr>
            <w:tr w14:paraId="396F5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vMerge w:val="restart"/>
                  <w:tcBorders>
                    <w:tl2br w:val="nil"/>
                    <w:tr2bl w:val="nil"/>
                  </w:tcBorders>
                  <w:vAlign w:val="center"/>
                </w:tcPr>
                <w:p w14:paraId="53C937CB">
                  <w:pPr>
                    <w:jc w:val="center"/>
                    <w:rPr>
                      <w:rFonts w:ascii="Times New Roman" w:hAnsi="Times New Roman" w:cs="Times New Roman"/>
                      <w:color w:val="auto"/>
                      <w:sz w:val="21"/>
                      <w:szCs w:val="21"/>
                      <w:highlight w:val="none"/>
                    </w:rPr>
                  </w:pPr>
                  <w:r>
                    <w:rPr>
                      <w:rFonts w:hint="eastAsia" w:ascii="Times New Roman" w:hAnsi="Times New Roman" w:cs="Times New Roman"/>
                      <w:bCs/>
                      <w:color w:val="auto"/>
                      <w:sz w:val="21"/>
                      <w:szCs w:val="21"/>
                      <w:highlight w:val="none"/>
                    </w:rPr>
                    <w:t>废气</w:t>
                  </w:r>
                </w:p>
              </w:tc>
              <w:tc>
                <w:tcPr>
                  <w:tcW w:w="686" w:type="pct"/>
                  <w:tcBorders>
                    <w:tl2br w:val="nil"/>
                    <w:tr2bl w:val="nil"/>
                  </w:tcBorders>
                  <w:vAlign w:val="center"/>
                </w:tcPr>
                <w:p w14:paraId="29043C30">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HCl</w:t>
                  </w:r>
                </w:p>
              </w:tc>
              <w:tc>
                <w:tcPr>
                  <w:tcW w:w="656" w:type="pct"/>
                  <w:tcBorders>
                    <w:tl2br w:val="nil"/>
                    <w:tr2bl w:val="nil"/>
                  </w:tcBorders>
                  <w:vAlign w:val="center"/>
                </w:tcPr>
                <w:p w14:paraId="21772AD7">
                  <w:pPr>
                    <w:widowControl/>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0.0004kg/a</w:t>
                  </w:r>
                </w:p>
              </w:tc>
              <w:tc>
                <w:tcPr>
                  <w:tcW w:w="575" w:type="pct"/>
                  <w:tcBorders>
                    <w:tl2br w:val="nil"/>
                    <w:tr2bl w:val="nil"/>
                  </w:tcBorders>
                  <w:vAlign w:val="center"/>
                </w:tcPr>
                <w:p w14:paraId="7A5042B0">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697" w:type="pct"/>
                  <w:tcBorders>
                    <w:tl2br w:val="nil"/>
                    <w:tr2bl w:val="nil"/>
                  </w:tcBorders>
                  <w:vAlign w:val="center"/>
                </w:tcPr>
                <w:p w14:paraId="451F8B13">
                  <w:pPr>
                    <w:widowControl/>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0.0004kg/a</w:t>
                  </w:r>
                </w:p>
              </w:tc>
              <w:tc>
                <w:tcPr>
                  <w:tcW w:w="541" w:type="pct"/>
                  <w:tcBorders>
                    <w:tl2br w:val="nil"/>
                    <w:tr2bl w:val="nil"/>
                  </w:tcBorders>
                  <w:vAlign w:val="center"/>
                </w:tcPr>
                <w:p w14:paraId="073C0281">
                  <w:pPr>
                    <w:widowControl/>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c>
                <w:tcPr>
                  <w:tcW w:w="703" w:type="pct"/>
                  <w:tcBorders>
                    <w:tl2br w:val="nil"/>
                    <w:tr2bl w:val="nil"/>
                  </w:tcBorders>
                  <w:vAlign w:val="center"/>
                </w:tcPr>
                <w:p w14:paraId="063DE750">
                  <w:pPr>
                    <w:widowControl/>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0.0004kg/a</w:t>
                  </w:r>
                </w:p>
              </w:tc>
              <w:tc>
                <w:tcPr>
                  <w:tcW w:w="662" w:type="pct"/>
                  <w:tcBorders>
                    <w:tl2br w:val="nil"/>
                    <w:tr2bl w:val="nil"/>
                  </w:tcBorders>
                  <w:vAlign w:val="center"/>
                </w:tcPr>
                <w:p w14:paraId="55F149EE">
                  <w:pPr>
                    <w:widowControl/>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37EE0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vMerge w:val="continue"/>
                  <w:tcBorders>
                    <w:tl2br w:val="nil"/>
                    <w:tr2bl w:val="nil"/>
                  </w:tcBorders>
                  <w:vAlign w:val="center"/>
                </w:tcPr>
                <w:p w14:paraId="66CBE73D">
                  <w:pPr>
                    <w:spacing w:line="300" w:lineRule="exact"/>
                    <w:ind w:firstLine="420"/>
                    <w:jc w:val="center"/>
                    <w:rPr>
                      <w:rFonts w:ascii="Times New Roman" w:hAnsi="Times New Roman" w:cs="Times New Roman"/>
                      <w:color w:val="auto"/>
                      <w:sz w:val="21"/>
                      <w:szCs w:val="21"/>
                      <w:highlight w:val="none"/>
                    </w:rPr>
                  </w:pPr>
                </w:p>
              </w:tc>
              <w:tc>
                <w:tcPr>
                  <w:tcW w:w="686" w:type="pct"/>
                  <w:tcBorders>
                    <w:tl2br w:val="nil"/>
                    <w:tr2bl w:val="nil"/>
                  </w:tcBorders>
                  <w:vAlign w:val="center"/>
                </w:tcPr>
                <w:p w14:paraId="595872A4">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VOCs</w:t>
                  </w:r>
                </w:p>
              </w:tc>
              <w:tc>
                <w:tcPr>
                  <w:tcW w:w="656" w:type="pct"/>
                  <w:tcBorders>
                    <w:tl2br w:val="nil"/>
                    <w:tr2bl w:val="nil"/>
                  </w:tcBorders>
                  <w:vAlign w:val="center"/>
                </w:tcPr>
                <w:p w14:paraId="200057E6">
                  <w:pPr>
                    <w:widowControl/>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0.0006kg/a</w:t>
                  </w:r>
                </w:p>
              </w:tc>
              <w:tc>
                <w:tcPr>
                  <w:tcW w:w="575" w:type="pct"/>
                  <w:tcBorders>
                    <w:tl2br w:val="nil"/>
                    <w:tr2bl w:val="nil"/>
                  </w:tcBorders>
                  <w:vAlign w:val="center"/>
                </w:tcPr>
                <w:p w14:paraId="7BD24CBC">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697" w:type="pct"/>
                  <w:tcBorders>
                    <w:tl2br w:val="nil"/>
                    <w:tr2bl w:val="nil"/>
                  </w:tcBorders>
                  <w:vAlign w:val="center"/>
                </w:tcPr>
                <w:p w14:paraId="35FCDE23">
                  <w:pPr>
                    <w:widowControl/>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0.0006kg/a</w:t>
                  </w:r>
                </w:p>
              </w:tc>
              <w:tc>
                <w:tcPr>
                  <w:tcW w:w="541" w:type="pct"/>
                  <w:tcBorders>
                    <w:tl2br w:val="nil"/>
                    <w:tr2bl w:val="nil"/>
                  </w:tcBorders>
                  <w:vAlign w:val="center"/>
                </w:tcPr>
                <w:p w14:paraId="34BD7D6B">
                  <w:pPr>
                    <w:widowControl/>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c>
                <w:tcPr>
                  <w:tcW w:w="703" w:type="pct"/>
                  <w:tcBorders>
                    <w:tl2br w:val="nil"/>
                    <w:tr2bl w:val="nil"/>
                  </w:tcBorders>
                  <w:vAlign w:val="center"/>
                </w:tcPr>
                <w:p w14:paraId="6DF3A235">
                  <w:pPr>
                    <w:widowControl/>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0.0006kg/a</w:t>
                  </w:r>
                </w:p>
              </w:tc>
              <w:tc>
                <w:tcPr>
                  <w:tcW w:w="662" w:type="pct"/>
                  <w:tcBorders>
                    <w:tl2br w:val="nil"/>
                    <w:tr2bl w:val="nil"/>
                  </w:tcBorders>
                  <w:vAlign w:val="center"/>
                </w:tcPr>
                <w:p w14:paraId="487CC012">
                  <w:pPr>
                    <w:widowControl/>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68BFF1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76" w:type="pct"/>
                  <w:vMerge w:val="restart"/>
                  <w:tcBorders>
                    <w:tl2br w:val="nil"/>
                    <w:tr2bl w:val="nil"/>
                  </w:tcBorders>
                  <w:vAlign w:val="center"/>
                </w:tcPr>
                <w:p w14:paraId="6DE4C0B2">
                  <w:pPr>
                    <w:jc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废水</w:t>
                  </w:r>
                </w:p>
              </w:tc>
              <w:tc>
                <w:tcPr>
                  <w:tcW w:w="686" w:type="pct"/>
                  <w:tcBorders>
                    <w:tl2br w:val="nil"/>
                    <w:tr2bl w:val="nil"/>
                  </w:tcBorders>
                  <w:vAlign w:val="center"/>
                </w:tcPr>
                <w:p w14:paraId="6703F807">
                  <w:pPr>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废水量</w:t>
                  </w:r>
                </w:p>
              </w:tc>
              <w:tc>
                <w:tcPr>
                  <w:tcW w:w="656" w:type="pct"/>
                  <w:tcBorders>
                    <w:tl2br w:val="nil"/>
                    <w:tr2bl w:val="nil"/>
                  </w:tcBorders>
                  <w:vAlign w:val="center"/>
                </w:tcPr>
                <w:p w14:paraId="1013B527">
                  <w:pPr>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19759.4234</w:t>
                  </w:r>
                </w:p>
              </w:tc>
              <w:tc>
                <w:tcPr>
                  <w:tcW w:w="575" w:type="pct"/>
                  <w:tcBorders>
                    <w:tl2br w:val="nil"/>
                    <w:tr2bl w:val="nil"/>
                  </w:tcBorders>
                  <w:vAlign w:val="center"/>
                </w:tcPr>
                <w:p w14:paraId="0BD9B044">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697" w:type="pct"/>
                  <w:tcBorders>
                    <w:tl2br w:val="nil"/>
                    <w:tr2bl w:val="nil"/>
                  </w:tcBorders>
                  <w:vAlign w:val="center"/>
                </w:tcPr>
                <w:p w14:paraId="75090B21">
                  <w:pPr>
                    <w:widowControl/>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6.81</w:t>
                  </w:r>
                </w:p>
              </w:tc>
              <w:tc>
                <w:tcPr>
                  <w:tcW w:w="541" w:type="pct"/>
                  <w:tcBorders>
                    <w:tl2br w:val="nil"/>
                    <w:tr2bl w:val="nil"/>
                  </w:tcBorders>
                  <w:vAlign w:val="center"/>
                </w:tcPr>
                <w:p w14:paraId="426C58D3">
                  <w:pPr>
                    <w:widowControl/>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3.1034</w:t>
                  </w:r>
                </w:p>
              </w:tc>
              <w:tc>
                <w:tcPr>
                  <w:tcW w:w="703" w:type="pct"/>
                  <w:tcBorders>
                    <w:tl2br w:val="nil"/>
                    <w:tr2bl w:val="nil"/>
                  </w:tcBorders>
                  <w:vAlign w:val="center"/>
                </w:tcPr>
                <w:p w14:paraId="06AB60CC">
                  <w:pPr>
                    <w:jc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19756.41</w:t>
                  </w:r>
                </w:p>
              </w:tc>
              <w:tc>
                <w:tcPr>
                  <w:tcW w:w="662" w:type="pct"/>
                  <w:tcBorders>
                    <w:tl2br w:val="nil"/>
                    <w:tr2bl w:val="nil"/>
                  </w:tcBorders>
                  <w:vAlign w:val="center"/>
                </w:tcPr>
                <w:p w14:paraId="40A0CF6B">
                  <w:pPr>
                    <w:widowControl/>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-3.1034</w:t>
                  </w:r>
                </w:p>
              </w:tc>
            </w:tr>
            <w:tr w14:paraId="3094E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vMerge w:val="continue"/>
                  <w:tcBorders>
                    <w:tl2br w:val="nil"/>
                    <w:tr2bl w:val="nil"/>
                  </w:tcBorders>
                  <w:vAlign w:val="center"/>
                </w:tcPr>
                <w:p w14:paraId="48C99009">
                  <w:pPr>
                    <w:jc w:val="center"/>
                    <w:rPr>
                      <w:rFonts w:ascii="Times New Roman" w:hAnsi="Times New Roman" w:cs="Times New Roman"/>
                      <w:bCs/>
                      <w:color w:val="auto"/>
                      <w:sz w:val="21"/>
                      <w:szCs w:val="21"/>
                      <w:highlight w:val="none"/>
                    </w:rPr>
                  </w:pPr>
                </w:p>
              </w:tc>
              <w:tc>
                <w:tcPr>
                  <w:tcW w:w="686" w:type="pct"/>
                  <w:tcBorders>
                    <w:tl2br w:val="nil"/>
                    <w:tr2bl w:val="nil"/>
                  </w:tcBorders>
                  <w:vAlign w:val="center"/>
                </w:tcPr>
                <w:p w14:paraId="418257E5">
                  <w:pPr>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COD</w:t>
                  </w:r>
                </w:p>
              </w:tc>
              <w:tc>
                <w:tcPr>
                  <w:tcW w:w="656" w:type="pct"/>
                  <w:tcBorders>
                    <w:tl2br w:val="nil"/>
                    <w:tr2bl w:val="nil"/>
                  </w:tcBorders>
                  <w:vAlign w:val="center"/>
                </w:tcPr>
                <w:p w14:paraId="399A313B">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0.9880</w:t>
                  </w:r>
                </w:p>
              </w:tc>
              <w:tc>
                <w:tcPr>
                  <w:tcW w:w="575" w:type="pct"/>
                  <w:tcBorders>
                    <w:tl2br w:val="nil"/>
                    <w:tr2bl w:val="nil"/>
                  </w:tcBorders>
                  <w:vAlign w:val="center"/>
                </w:tcPr>
                <w:p w14:paraId="183BA615">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697" w:type="pct"/>
                  <w:tcBorders>
                    <w:tl2br w:val="nil"/>
                    <w:tr2bl w:val="nil"/>
                  </w:tcBorders>
                  <w:vAlign w:val="center"/>
                </w:tcPr>
                <w:p w14:paraId="1BBC2963">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0.000341</w:t>
                  </w:r>
                </w:p>
              </w:tc>
              <w:tc>
                <w:tcPr>
                  <w:tcW w:w="541" w:type="pct"/>
                  <w:tcBorders>
                    <w:tl2br w:val="nil"/>
                    <w:tr2bl w:val="nil"/>
                  </w:tcBorders>
                  <w:vAlign w:val="center"/>
                </w:tcPr>
                <w:p w14:paraId="64AB02C6">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0.000155</w:t>
                  </w:r>
                </w:p>
              </w:tc>
              <w:tc>
                <w:tcPr>
                  <w:tcW w:w="703" w:type="pct"/>
                  <w:tcBorders>
                    <w:tl2br w:val="nil"/>
                    <w:tr2bl w:val="nil"/>
                  </w:tcBorders>
                  <w:vAlign w:val="center"/>
                </w:tcPr>
                <w:p w14:paraId="3BFDD210">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0.9878</w:t>
                  </w:r>
                </w:p>
              </w:tc>
              <w:tc>
                <w:tcPr>
                  <w:tcW w:w="662" w:type="pct"/>
                  <w:tcBorders>
                    <w:tl2br w:val="nil"/>
                    <w:tr2bl w:val="nil"/>
                  </w:tcBorders>
                  <w:vAlign w:val="center"/>
                </w:tcPr>
                <w:p w14:paraId="562BA1D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0.000155</w:t>
                  </w:r>
                </w:p>
              </w:tc>
            </w:tr>
            <w:tr w14:paraId="6F07D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vMerge w:val="continue"/>
                  <w:tcBorders>
                    <w:tl2br w:val="nil"/>
                    <w:tr2bl w:val="nil"/>
                  </w:tcBorders>
                  <w:vAlign w:val="center"/>
                </w:tcPr>
                <w:p w14:paraId="68FCF03D">
                  <w:pPr>
                    <w:jc w:val="center"/>
                    <w:rPr>
                      <w:rFonts w:ascii="Times New Roman" w:hAnsi="Times New Roman" w:cs="Times New Roman"/>
                      <w:bCs/>
                      <w:color w:val="auto"/>
                      <w:sz w:val="21"/>
                      <w:szCs w:val="21"/>
                      <w:highlight w:val="none"/>
                    </w:rPr>
                  </w:pPr>
                </w:p>
              </w:tc>
              <w:tc>
                <w:tcPr>
                  <w:tcW w:w="686" w:type="pct"/>
                  <w:tcBorders>
                    <w:tl2br w:val="nil"/>
                    <w:tr2bl w:val="nil"/>
                  </w:tcBorders>
                  <w:vAlign w:val="center"/>
                </w:tcPr>
                <w:p w14:paraId="141C7B66">
                  <w:pPr>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NH</w:t>
                  </w:r>
                  <w:r>
                    <w:rPr>
                      <w:rFonts w:ascii="Times New Roman" w:hAnsi="Times New Roman" w:cs="Times New Roman"/>
                      <w:bCs/>
                      <w:color w:val="auto"/>
                      <w:sz w:val="21"/>
                      <w:szCs w:val="21"/>
                      <w:highlight w:val="none"/>
                      <w:vertAlign w:val="subscript"/>
                    </w:rPr>
                    <w:t>3</w:t>
                  </w:r>
                  <w:r>
                    <w:rPr>
                      <w:rFonts w:ascii="Times New Roman" w:hAnsi="Times New Roman" w:cs="Times New Roman"/>
                      <w:bCs/>
                      <w:color w:val="auto"/>
                      <w:sz w:val="21"/>
                      <w:szCs w:val="21"/>
                      <w:highlight w:val="none"/>
                    </w:rPr>
                    <w:t>-N</w:t>
                  </w:r>
                </w:p>
              </w:tc>
              <w:tc>
                <w:tcPr>
                  <w:tcW w:w="656" w:type="pct"/>
                  <w:tcBorders>
                    <w:tl2br w:val="nil"/>
                    <w:tr2bl w:val="nil"/>
                  </w:tcBorders>
                  <w:vAlign w:val="center"/>
                </w:tcPr>
                <w:p w14:paraId="4857C4F6">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0.0988</w:t>
                  </w:r>
                </w:p>
              </w:tc>
              <w:tc>
                <w:tcPr>
                  <w:tcW w:w="575" w:type="pct"/>
                  <w:tcBorders>
                    <w:tl2br w:val="nil"/>
                    <w:tr2bl w:val="nil"/>
                  </w:tcBorders>
                  <w:vAlign w:val="center"/>
                </w:tcPr>
                <w:p w14:paraId="0A5D48CA">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697" w:type="pct"/>
                  <w:tcBorders>
                    <w:tl2br w:val="nil"/>
                    <w:tr2bl w:val="nil"/>
                  </w:tcBorders>
                  <w:vAlign w:val="center"/>
                </w:tcPr>
                <w:p w14:paraId="6EBB1275">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0.000034</w:t>
                  </w:r>
                </w:p>
              </w:tc>
              <w:tc>
                <w:tcPr>
                  <w:tcW w:w="541" w:type="pct"/>
                  <w:tcBorders>
                    <w:tl2br w:val="nil"/>
                    <w:tr2bl w:val="nil"/>
                  </w:tcBorders>
                  <w:vAlign w:val="center"/>
                </w:tcPr>
                <w:p w14:paraId="5EE27173">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0.000016</w:t>
                  </w:r>
                </w:p>
              </w:tc>
              <w:tc>
                <w:tcPr>
                  <w:tcW w:w="703" w:type="pct"/>
                  <w:tcBorders>
                    <w:tl2br w:val="nil"/>
                    <w:tr2bl w:val="nil"/>
                  </w:tcBorders>
                  <w:vAlign w:val="center"/>
                </w:tcPr>
                <w:p w14:paraId="28FD49AE">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0.0988</w:t>
                  </w:r>
                </w:p>
              </w:tc>
              <w:tc>
                <w:tcPr>
                  <w:tcW w:w="662" w:type="pct"/>
                  <w:tcBorders>
                    <w:tl2br w:val="nil"/>
                    <w:tr2bl w:val="nil"/>
                  </w:tcBorders>
                  <w:vAlign w:val="center"/>
                </w:tcPr>
                <w:p w14:paraId="3DEDF7D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0.000016</w:t>
                  </w:r>
                </w:p>
              </w:tc>
            </w:tr>
            <w:tr w14:paraId="443C2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vMerge w:val="continue"/>
                  <w:tcBorders>
                    <w:tl2br w:val="nil"/>
                    <w:tr2bl w:val="nil"/>
                  </w:tcBorders>
                  <w:vAlign w:val="center"/>
                </w:tcPr>
                <w:p w14:paraId="0A4D3C99">
                  <w:pPr>
                    <w:jc w:val="center"/>
                    <w:rPr>
                      <w:rFonts w:ascii="Times New Roman" w:hAnsi="Times New Roman" w:cs="Times New Roman"/>
                      <w:bCs/>
                      <w:color w:val="auto"/>
                      <w:sz w:val="21"/>
                      <w:szCs w:val="21"/>
                      <w:highlight w:val="none"/>
                    </w:rPr>
                  </w:pPr>
                </w:p>
              </w:tc>
              <w:tc>
                <w:tcPr>
                  <w:tcW w:w="686" w:type="pct"/>
                  <w:tcBorders>
                    <w:tl2br w:val="nil"/>
                    <w:tr2bl w:val="nil"/>
                  </w:tcBorders>
                  <w:vAlign w:val="center"/>
                </w:tcPr>
                <w:p w14:paraId="3498D0E5">
                  <w:pPr>
                    <w:jc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TP</w:t>
                  </w:r>
                </w:p>
              </w:tc>
              <w:tc>
                <w:tcPr>
                  <w:tcW w:w="656" w:type="pct"/>
                  <w:tcBorders>
                    <w:tl2br w:val="nil"/>
                    <w:tr2bl w:val="nil"/>
                  </w:tcBorders>
                  <w:vAlign w:val="center"/>
                </w:tcPr>
                <w:p w14:paraId="64FCD802">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0.0099</w:t>
                  </w:r>
                </w:p>
              </w:tc>
              <w:tc>
                <w:tcPr>
                  <w:tcW w:w="575" w:type="pct"/>
                  <w:tcBorders>
                    <w:tl2br w:val="nil"/>
                    <w:tr2bl w:val="nil"/>
                  </w:tcBorders>
                  <w:vAlign w:val="center"/>
                </w:tcPr>
                <w:p w14:paraId="7303A695">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697" w:type="pct"/>
                  <w:tcBorders>
                    <w:tl2br w:val="nil"/>
                    <w:tr2bl w:val="nil"/>
                  </w:tcBorders>
                  <w:vAlign w:val="center"/>
                </w:tcPr>
                <w:p w14:paraId="3DBE5939">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0.000003</w:t>
                  </w:r>
                </w:p>
              </w:tc>
              <w:tc>
                <w:tcPr>
                  <w:tcW w:w="541" w:type="pct"/>
                  <w:tcBorders>
                    <w:tl2br w:val="nil"/>
                    <w:tr2bl w:val="nil"/>
                  </w:tcBorders>
                  <w:vAlign w:val="center"/>
                </w:tcPr>
                <w:p w14:paraId="240E83FF">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0.000002</w:t>
                  </w:r>
                </w:p>
              </w:tc>
              <w:tc>
                <w:tcPr>
                  <w:tcW w:w="703" w:type="pct"/>
                  <w:tcBorders>
                    <w:tl2br w:val="nil"/>
                    <w:tr2bl w:val="nil"/>
                  </w:tcBorders>
                  <w:vAlign w:val="center"/>
                </w:tcPr>
                <w:p w14:paraId="3A29F315">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0.0099</w:t>
                  </w:r>
                </w:p>
              </w:tc>
              <w:tc>
                <w:tcPr>
                  <w:tcW w:w="662" w:type="pct"/>
                  <w:tcBorders>
                    <w:tl2br w:val="nil"/>
                    <w:tr2bl w:val="nil"/>
                  </w:tcBorders>
                  <w:vAlign w:val="center"/>
                </w:tcPr>
                <w:p w14:paraId="01DA897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0.000002</w:t>
                  </w:r>
                </w:p>
              </w:tc>
            </w:tr>
            <w:tr w14:paraId="7CBA6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vMerge w:val="restart"/>
                  <w:tcBorders>
                    <w:tl2br w:val="nil"/>
                    <w:tr2bl w:val="nil"/>
                  </w:tcBorders>
                  <w:vAlign w:val="center"/>
                </w:tcPr>
                <w:p w14:paraId="24174937">
                  <w:pPr>
                    <w:jc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一般工业固体废物</w:t>
                  </w:r>
                </w:p>
              </w:tc>
              <w:tc>
                <w:tcPr>
                  <w:tcW w:w="686" w:type="pct"/>
                  <w:tcBorders>
                    <w:tl2br w:val="nil"/>
                    <w:tr2bl w:val="nil"/>
                  </w:tcBorders>
                  <w:vAlign w:val="center"/>
                </w:tcPr>
                <w:p w14:paraId="4A81685E">
                  <w:pPr>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生活垃圾</w:t>
                  </w:r>
                </w:p>
              </w:tc>
              <w:tc>
                <w:tcPr>
                  <w:tcW w:w="656" w:type="pct"/>
                  <w:tcBorders>
                    <w:tl2br w:val="nil"/>
                    <w:tr2bl w:val="nil"/>
                  </w:tcBorders>
                  <w:vAlign w:val="center"/>
                </w:tcPr>
                <w:p w14:paraId="1981D0D4">
                  <w:pPr>
                    <w:jc w:val="center"/>
                    <w:rPr>
                      <w:rFonts w:ascii="Times New Roman" w:hAnsi="Times New Roman" w:cs="Times New Roman"/>
                      <w:bCs/>
                      <w:color w:val="auto"/>
                      <w:sz w:val="21"/>
                      <w:szCs w:val="21"/>
                      <w:highlight w:val="none"/>
                    </w:rPr>
                  </w:pPr>
                  <w:r>
                    <w:rPr>
                      <w:rFonts w:hint="eastAsia" w:ascii="Times New Roman" w:hAnsi="Times New Roman" w:eastAsia="宋体" w:cs="Times New Roman"/>
                      <w:color w:val="auto"/>
                      <w:szCs w:val="21"/>
                      <w:lang w:val="en-US" w:eastAsia="zh-CN"/>
                    </w:rPr>
                    <w:t>76</w:t>
                  </w:r>
                </w:p>
              </w:tc>
              <w:tc>
                <w:tcPr>
                  <w:tcW w:w="575" w:type="pct"/>
                  <w:tcBorders>
                    <w:tl2br w:val="nil"/>
                    <w:tr2bl w:val="nil"/>
                  </w:tcBorders>
                  <w:vAlign w:val="center"/>
                </w:tcPr>
                <w:p w14:paraId="2E93C8B5">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697" w:type="pct"/>
                  <w:tcBorders>
                    <w:tl2br w:val="nil"/>
                    <w:tr2bl w:val="nil"/>
                  </w:tcBorders>
                  <w:vAlign w:val="center"/>
                </w:tcPr>
                <w:p w14:paraId="54B6542B">
                  <w:pPr>
                    <w:widowControl/>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c>
                <w:tcPr>
                  <w:tcW w:w="541" w:type="pct"/>
                  <w:tcBorders>
                    <w:tl2br w:val="nil"/>
                    <w:tr2bl w:val="nil"/>
                  </w:tcBorders>
                  <w:vAlign w:val="center"/>
                </w:tcPr>
                <w:p w14:paraId="6CCC56E6">
                  <w:pPr>
                    <w:widowControl/>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c>
                <w:tcPr>
                  <w:tcW w:w="703" w:type="pct"/>
                  <w:tcBorders>
                    <w:tl2br w:val="nil"/>
                    <w:tr2bl w:val="nil"/>
                  </w:tcBorders>
                  <w:vAlign w:val="center"/>
                </w:tcPr>
                <w:p w14:paraId="05D62FD0">
                  <w:pPr>
                    <w:jc w:val="center"/>
                    <w:rPr>
                      <w:rFonts w:ascii="Times New Roman" w:hAnsi="Times New Roman" w:cs="Times New Roman"/>
                      <w:bCs/>
                      <w:color w:val="auto"/>
                      <w:sz w:val="21"/>
                      <w:szCs w:val="21"/>
                      <w:highlight w:val="none"/>
                    </w:rPr>
                  </w:pPr>
                  <w:r>
                    <w:rPr>
                      <w:rFonts w:hint="eastAsia" w:ascii="Times New Roman" w:hAnsi="Times New Roman" w:eastAsia="宋体" w:cs="Times New Roman"/>
                      <w:color w:val="auto"/>
                      <w:szCs w:val="21"/>
                      <w:lang w:val="en-US" w:eastAsia="zh-CN"/>
                    </w:rPr>
                    <w:t>76</w:t>
                  </w:r>
                </w:p>
              </w:tc>
              <w:tc>
                <w:tcPr>
                  <w:tcW w:w="662" w:type="pct"/>
                  <w:tcBorders>
                    <w:tl2br w:val="nil"/>
                    <w:tr2bl w:val="nil"/>
                  </w:tcBorders>
                  <w:vAlign w:val="center"/>
                </w:tcPr>
                <w:p w14:paraId="0A1FC804">
                  <w:pPr>
                    <w:widowControl/>
                    <w:jc w:val="center"/>
                    <w:textAlignment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473F1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vMerge w:val="continue"/>
                  <w:tcBorders>
                    <w:tl2br w:val="nil"/>
                    <w:tr2bl w:val="nil"/>
                  </w:tcBorders>
                  <w:vAlign w:val="center"/>
                </w:tcPr>
                <w:p w14:paraId="3E7DF1C4">
                  <w:pPr>
                    <w:jc w:val="center"/>
                    <w:rPr>
                      <w:rFonts w:ascii="Times New Roman" w:hAnsi="Times New Roman" w:cs="Times New Roman"/>
                      <w:bCs/>
                      <w:color w:val="auto"/>
                      <w:sz w:val="21"/>
                      <w:szCs w:val="21"/>
                      <w:highlight w:val="none"/>
                    </w:rPr>
                  </w:pPr>
                </w:p>
              </w:tc>
              <w:tc>
                <w:tcPr>
                  <w:tcW w:w="686" w:type="pct"/>
                  <w:tcBorders>
                    <w:tl2br w:val="nil"/>
                    <w:tr2bl w:val="nil"/>
                  </w:tcBorders>
                  <w:vAlign w:val="center"/>
                </w:tcPr>
                <w:p w14:paraId="28D874FF">
                  <w:pPr>
                    <w:jc w:val="center"/>
                    <w:rPr>
                      <w:rFonts w:hint="eastAsia" w:ascii="Times New Roman" w:hAnsi="Times New Roman" w:cs="Times New Roman" w:eastAsiaTheme="minorEastAsia"/>
                      <w:bCs/>
                      <w:color w:val="auto"/>
                      <w:sz w:val="21"/>
                      <w:szCs w:val="21"/>
                      <w:highlight w:val="none"/>
                      <w:lang w:eastAsia="zh-CN"/>
                    </w:rPr>
                  </w:pPr>
                  <w:r>
                    <w:rPr>
                      <w:rFonts w:hint="eastAsia" w:ascii="Times New Roman" w:hAnsi="Times New Roman" w:eastAsia="宋体" w:cs="Times New Roman"/>
                      <w:color w:val="auto"/>
                      <w:szCs w:val="21"/>
                      <w:lang w:val="en-US" w:eastAsia="zh-CN"/>
                    </w:rPr>
                    <w:t>食堂餐厨垃圾</w:t>
                  </w:r>
                </w:p>
              </w:tc>
              <w:tc>
                <w:tcPr>
                  <w:tcW w:w="656" w:type="pct"/>
                  <w:tcBorders>
                    <w:tl2br w:val="nil"/>
                    <w:tr2bl w:val="nil"/>
                  </w:tcBorders>
                  <w:vAlign w:val="center"/>
                </w:tcPr>
                <w:p w14:paraId="0B84BEF1">
                  <w:pPr>
                    <w:jc w:val="center"/>
                    <w:rPr>
                      <w:rFonts w:ascii="Times New Roman" w:hAnsi="Times New Roman" w:cs="Times New Roman"/>
                      <w:bCs/>
                      <w:color w:val="auto"/>
                      <w:sz w:val="21"/>
                      <w:szCs w:val="21"/>
                      <w:highlight w:val="none"/>
                    </w:rPr>
                  </w:pPr>
                  <w:r>
                    <w:rPr>
                      <w:rFonts w:hint="eastAsia" w:ascii="Times New Roman" w:hAnsi="Times New Roman" w:eastAsia="宋体" w:cs="Times New Roman"/>
                      <w:color w:val="auto"/>
                      <w:szCs w:val="21"/>
                      <w:lang w:val="en-US" w:eastAsia="zh-CN"/>
                    </w:rPr>
                    <w:t>15</w:t>
                  </w:r>
                </w:p>
              </w:tc>
              <w:tc>
                <w:tcPr>
                  <w:tcW w:w="575" w:type="pct"/>
                  <w:tcBorders>
                    <w:tl2br w:val="nil"/>
                    <w:tr2bl w:val="nil"/>
                  </w:tcBorders>
                  <w:vAlign w:val="center"/>
                </w:tcPr>
                <w:p w14:paraId="37F5F174">
                  <w:pPr>
                    <w:widowControl/>
                    <w:jc w:val="center"/>
                    <w:textAlignment w:val="center"/>
                    <w:rPr>
                      <w:rFonts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w:t>
                  </w:r>
                </w:p>
              </w:tc>
              <w:tc>
                <w:tcPr>
                  <w:tcW w:w="697" w:type="pct"/>
                  <w:tcBorders>
                    <w:tl2br w:val="nil"/>
                    <w:tr2bl w:val="nil"/>
                  </w:tcBorders>
                  <w:vAlign w:val="center"/>
                </w:tcPr>
                <w:p w14:paraId="5B1B2F1D">
                  <w:pPr>
                    <w:widowControl/>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c>
                <w:tcPr>
                  <w:tcW w:w="541" w:type="pct"/>
                  <w:tcBorders>
                    <w:tl2br w:val="nil"/>
                    <w:tr2bl w:val="nil"/>
                  </w:tcBorders>
                  <w:vAlign w:val="center"/>
                </w:tcPr>
                <w:p w14:paraId="486944EE">
                  <w:pPr>
                    <w:widowControl/>
                    <w:jc w:val="center"/>
                    <w:textAlignment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c>
                <w:tcPr>
                  <w:tcW w:w="703" w:type="pct"/>
                  <w:tcBorders>
                    <w:tl2br w:val="nil"/>
                    <w:tr2bl w:val="nil"/>
                  </w:tcBorders>
                  <w:vAlign w:val="center"/>
                </w:tcPr>
                <w:p w14:paraId="07844D62">
                  <w:pPr>
                    <w:jc w:val="center"/>
                    <w:rPr>
                      <w:rFonts w:ascii="Times New Roman" w:hAnsi="Times New Roman" w:cs="Times New Roman"/>
                      <w:bCs/>
                      <w:color w:val="auto"/>
                      <w:sz w:val="21"/>
                      <w:szCs w:val="21"/>
                      <w:highlight w:val="none"/>
                    </w:rPr>
                  </w:pPr>
                  <w:r>
                    <w:rPr>
                      <w:rFonts w:hint="eastAsia" w:ascii="Times New Roman" w:hAnsi="Times New Roman" w:eastAsia="宋体" w:cs="Times New Roman"/>
                      <w:color w:val="auto"/>
                      <w:szCs w:val="21"/>
                      <w:lang w:val="en-US" w:eastAsia="zh-CN"/>
                    </w:rPr>
                    <w:t>15</w:t>
                  </w:r>
                </w:p>
              </w:tc>
              <w:tc>
                <w:tcPr>
                  <w:tcW w:w="662" w:type="pct"/>
                  <w:tcBorders>
                    <w:tl2br w:val="nil"/>
                    <w:tr2bl w:val="nil"/>
                  </w:tcBorders>
                  <w:vAlign w:val="center"/>
                </w:tcPr>
                <w:p w14:paraId="65CAAA84">
                  <w:pPr>
                    <w:widowControl/>
                    <w:jc w:val="center"/>
                    <w:textAlignment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4162E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vMerge w:val="continue"/>
                  <w:tcBorders>
                    <w:tl2br w:val="nil"/>
                    <w:tr2bl w:val="nil"/>
                  </w:tcBorders>
                  <w:vAlign w:val="center"/>
                </w:tcPr>
                <w:p w14:paraId="6590A366">
                  <w:pPr>
                    <w:jc w:val="center"/>
                    <w:rPr>
                      <w:rFonts w:ascii="Times New Roman" w:hAnsi="Times New Roman" w:cs="Times New Roman"/>
                      <w:bCs/>
                      <w:color w:val="auto"/>
                      <w:sz w:val="21"/>
                      <w:szCs w:val="21"/>
                      <w:highlight w:val="none"/>
                    </w:rPr>
                  </w:pPr>
                </w:p>
              </w:tc>
              <w:tc>
                <w:tcPr>
                  <w:tcW w:w="686" w:type="pct"/>
                  <w:tcBorders>
                    <w:tl2br w:val="nil"/>
                    <w:tr2bl w:val="nil"/>
                  </w:tcBorders>
                  <w:vAlign w:val="center"/>
                </w:tcPr>
                <w:p w14:paraId="5075A3FC">
                  <w:pPr>
                    <w:jc w:val="center"/>
                    <w:rPr>
                      <w:rFonts w:hint="eastAsia" w:ascii="Times New Roman" w:hAnsi="Times New Roman" w:cs="Times New Roman"/>
                      <w:bCs/>
                      <w:color w:val="auto"/>
                      <w:sz w:val="21"/>
                      <w:szCs w:val="21"/>
                      <w:highlight w:val="none"/>
                      <w:lang w:eastAsia="zh-CN"/>
                    </w:rPr>
                  </w:pPr>
                  <w:r>
                    <w:rPr>
                      <w:rFonts w:hint="eastAsia" w:ascii="Times New Roman" w:hAnsi="Times New Roman" w:cs="Times New Roman"/>
                      <w:color w:val="auto"/>
                      <w:szCs w:val="21"/>
                      <w:highlight w:val="none"/>
                      <w:lang w:val="en-US" w:eastAsia="zh-CN"/>
                    </w:rPr>
                    <w:t>预处理池污泥</w:t>
                  </w:r>
                </w:p>
              </w:tc>
              <w:tc>
                <w:tcPr>
                  <w:tcW w:w="656" w:type="pct"/>
                  <w:tcBorders>
                    <w:tl2br w:val="nil"/>
                    <w:tr2bl w:val="nil"/>
                  </w:tcBorders>
                  <w:vAlign w:val="center"/>
                </w:tcPr>
                <w:p w14:paraId="55915C6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lang w:val="en-US" w:eastAsia="zh-CN"/>
                    </w:rPr>
                    <w:t>1</w:t>
                  </w:r>
                </w:p>
              </w:tc>
              <w:tc>
                <w:tcPr>
                  <w:tcW w:w="575" w:type="pct"/>
                  <w:tcBorders>
                    <w:tl2br w:val="nil"/>
                    <w:tr2bl w:val="nil"/>
                  </w:tcBorders>
                  <w:vAlign w:val="center"/>
                </w:tcPr>
                <w:p w14:paraId="5CA82C70">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697" w:type="pct"/>
                  <w:tcBorders>
                    <w:tl2br w:val="nil"/>
                    <w:tr2bl w:val="nil"/>
                  </w:tcBorders>
                  <w:vAlign w:val="center"/>
                </w:tcPr>
                <w:p w14:paraId="10E11AF5">
                  <w:pPr>
                    <w:widowControl/>
                    <w:jc w:val="center"/>
                    <w:textAlignment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c>
                <w:tcPr>
                  <w:tcW w:w="541" w:type="pct"/>
                  <w:tcBorders>
                    <w:tl2br w:val="nil"/>
                    <w:tr2bl w:val="nil"/>
                  </w:tcBorders>
                  <w:vAlign w:val="center"/>
                </w:tcPr>
                <w:p w14:paraId="3BBA268D">
                  <w:pPr>
                    <w:widowControl/>
                    <w:jc w:val="center"/>
                    <w:textAlignment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c>
                <w:tcPr>
                  <w:tcW w:w="703" w:type="pct"/>
                  <w:tcBorders>
                    <w:tl2br w:val="nil"/>
                    <w:tr2bl w:val="nil"/>
                  </w:tcBorders>
                  <w:vAlign w:val="center"/>
                </w:tcPr>
                <w:p w14:paraId="0CFE1C2C">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Cs w:val="21"/>
                      <w:lang w:val="en-US" w:eastAsia="zh-CN"/>
                    </w:rPr>
                    <w:t>1</w:t>
                  </w:r>
                </w:p>
              </w:tc>
              <w:tc>
                <w:tcPr>
                  <w:tcW w:w="662" w:type="pct"/>
                  <w:tcBorders>
                    <w:tl2br w:val="nil"/>
                    <w:tr2bl w:val="nil"/>
                  </w:tcBorders>
                  <w:vAlign w:val="center"/>
                </w:tcPr>
                <w:p w14:paraId="345E32B8">
                  <w:pPr>
                    <w:widowControl/>
                    <w:jc w:val="center"/>
                    <w:textAlignment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6DEA6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vMerge w:val="continue"/>
                  <w:tcBorders>
                    <w:tl2br w:val="nil"/>
                    <w:tr2bl w:val="nil"/>
                  </w:tcBorders>
                  <w:vAlign w:val="center"/>
                </w:tcPr>
                <w:p w14:paraId="25F30DED">
                  <w:pPr>
                    <w:jc w:val="center"/>
                    <w:rPr>
                      <w:rFonts w:ascii="Times New Roman" w:hAnsi="Times New Roman" w:cs="Times New Roman"/>
                      <w:bCs/>
                      <w:color w:val="auto"/>
                      <w:sz w:val="21"/>
                      <w:szCs w:val="21"/>
                      <w:highlight w:val="none"/>
                    </w:rPr>
                  </w:pPr>
                </w:p>
              </w:tc>
              <w:tc>
                <w:tcPr>
                  <w:tcW w:w="686" w:type="pct"/>
                  <w:tcBorders>
                    <w:tl2br w:val="nil"/>
                    <w:tr2bl w:val="nil"/>
                  </w:tcBorders>
                  <w:vAlign w:val="center"/>
                </w:tcPr>
                <w:p w14:paraId="1FDF96A2">
                  <w:pPr>
                    <w:jc w:val="center"/>
                    <w:rPr>
                      <w:rFonts w:hint="eastAsia" w:ascii="Times New Roman" w:hAnsi="Times New Roman" w:cs="Times New Roman"/>
                      <w:bCs/>
                      <w:color w:val="auto"/>
                      <w:sz w:val="21"/>
                      <w:szCs w:val="21"/>
                      <w:highlight w:val="none"/>
                      <w:lang w:eastAsia="zh-CN"/>
                    </w:rPr>
                  </w:pPr>
                  <w:r>
                    <w:rPr>
                      <w:rFonts w:hint="eastAsia" w:ascii="Times New Roman" w:hAnsi="Times New Roman" w:cs="Times New Roman"/>
                      <w:color w:val="auto"/>
                      <w:szCs w:val="21"/>
                      <w:highlight w:val="none"/>
                      <w:lang w:val="en-US" w:eastAsia="zh-CN"/>
                    </w:rPr>
                    <w:t>实验室固体废物</w:t>
                  </w:r>
                </w:p>
              </w:tc>
              <w:tc>
                <w:tcPr>
                  <w:tcW w:w="656" w:type="pct"/>
                  <w:tcBorders>
                    <w:tl2br w:val="nil"/>
                    <w:tr2bl w:val="nil"/>
                  </w:tcBorders>
                  <w:vAlign w:val="center"/>
                </w:tcPr>
                <w:p w14:paraId="2C24793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lang w:val="en-US" w:eastAsia="zh-CN"/>
                    </w:rPr>
                    <w:t>0.05</w:t>
                  </w:r>
                </w:p>
              </w:tc>
              <w:tc>
                <w:tcPr>
                  <w:tcW w:w="575" w:type="pct"/>
                  <w:tcBorders>
                    <w:tl2br w:val="nil"/>
                    <w:tr2bl w:val="nil"/>
                  </w:tcBorders>
                  <w:vAlign w:val="center"/>
                </w:tcPr>
                <w:p w14:paraId="0808254D">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697" w:type="pct"/>
                  <w:tcBorders>
                    <w:tl2br w:val="nil"/>
                    <w:tr2bl w:val="nil"/>
                  </w:tcBorders>
                  <w:vAlign w:val="center"/>
                </w:tcPr>
                <w:p w14:paraId="48708A7B">
                  <w:pPr>
                    <w:widowControl/>
                    <w:jc w:val="center"/>
                    <w:textAlignment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0.05</w:t>
                  </w:r>
                </w:p>
              </w:tc>
              <w:tc>
                <w:tcPr>
                  <w:tcW w:w="541" w:type="pct"/>
                  <w:tcBorders>
                    <w:tl2br w:val="nil"/>
                    <w:tr2bl w:val="nil"/>
                  </w:tcBorders>
                  <w:vAlign w:val="center"/>
                </w:tcPr>
                <w:p w14:paraId="021514F2">
                  <w:pPr>
                    <w:widowControl/>
                    <w:jc w:val="center"/>
                    <w:textAlignment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c>
                <w:tcPr>
                  <w:tcW w:w="703" w:type="pct"/>
                  <w:tcBorders>
                    <w:tl2br w:val="nil"/>
                    <w:tr2bl w:val="nil"/>
                  </w:tcBorders>
                  <w:vAlign w:val="center"/>
                </w:tcPr>
                <w:p w14:paraId="1407196B">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0.05</w:t>
                  </w:r>
                </w:p>
              </w:tc>
              <w:tc>
                <w:tcPr>
                  <w:tcW w:w="662" w:type="pct"/>
                  <w:tcBorders>
                    <w:tl2br w:val="nil"/>
                    <w:tr2bl w:val="nil"/>
                  </w:tcBorders>
                  <w:vAlign w:val="center"/>
                </w:tcPr>
                <w:p w14:paraId="1229FAC7">
                  <w:pPr>
                    <w:widowControl/>
                    <w:jc w:val="center"/>
                    <w:textAlignment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2D1B5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vMerge w:val="restart"/>
                  <w:tcBorders>
                    <w:tl2br w:val="nil"/>
                    <w:tr2bl w:val="nil"/>
                  </w:tcBorders>
                  <w:vAlign w:val="center"/>
                </w:tcPr>
                <w:p w14:paraId="0AD033EE">
                  <w:pPr>
                    <w:jc w:val="center"/>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危险废物</w:t>
                  </w:r>
                </w:p>
              </w:tc>
              <w:tc>
                <w:tcPr>
                  <w:tcW w:w="686" w:type="pct"/>
                  <w:tcBorders>
                    <w:tl2br w:val="nil"/>
                    <w:tr2bl w:val="nil"/>
                  </w:tcBorders>
                  <w:vAlign w:val="center"/>
                </w:tcPr>
                <w:p w14:paraId="1264DFF2">
                  <w:pPr>
                    <w:jc w:val="center"/>
                    <w:rPr>
                      <w:rFonts w:ascii="Times New Roman" w:hAnsi="Times New Roman" w:cs="Times New Roman"/>
                      <w:bCs/>
                      <w:color w:val="auto"/>
                      <w:sz w:val="21"/>
                      <w:szCs w:val="21"/>
                      <w:highlight w:val="none"/>
                    </w:rPr>
                  </w:pPr>
                  <w:r>
                    <w:rPr>
                      <w:rFonts w:hint="eastAsia" w:ascii="Times New Roman" w:hAnsi="Times New Roman" w:eastAsia="宋体" w:cs="Times New Roman"/>
                      <w:color w:val="auto"/>
                      <w:sz w:val="21"/>
                      <w:szCs w:val="21"/>
                      <w:lang w:val="en-US" w:eastAsia="zh-CN"/>
                    </w:rPr>
                    <w:t>实验废液</w:t>
                  </w:r>
                </w:p>
              </w:tc>
              <w:tc>
                <w:tcPr>
                  <w:tcW w:w="656" w:type="pct"/>
                  <w:tcBorders>
                    <w:tl2br w:val="nil"/>
                    <w:tr2bl w:val="nil"/>
                  </w:tcBorders>
                  <w:vAlign w:val="center"/>
                </w:tcPr>
                <w:p w14:paraId="0962EA29">
                  <w:pPr>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3.0134</w:t>
                  </w:r>
                </w:p>
              </w:tc>
              <w:tc>
                <w:tcPr>
                  <w:tcW w:w="575" w:type="pct"/>
                  <w:tcBorders>
                    <w:tl2br w:val="nil"/>
                    <w:tr2bl w:val="nil"/>
                  </w:tcBorders>
                  <w:vAlign w:val="center"/>
                </w:tcPr>
                <w:p w14:paraId="3BB18593">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697" w:type="pct"/>
                  <w:tcBorders>
                    <w:tl2br w:val="nil"/>
                    <w:tr2bl w:val="nil"/>
                  </w:tcBorders>
                  <w:vAlign w:val="center"/>
                </w:tcPr>
                <w:p w14:paraId="7C6A97A2">
                  <w:pPr>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3.0134</w:t>
                  </w:r>
                </w:p>
              </w:tc>
              <w:tc>
                <w:tcPr>
                  <w:tcW w:w="541" w:type="pct"/>
                  <w:tcBorders>
                    <w:tl2br w:val="nil"/>
                    <w:tr2bl w:val="nil"/>
                  </w:tcBorders>
                  <w:vAlign w:val="center"/>
                </w:tcPr>
                <w:p w14:paraId="324374DB">
                  <w:pPr>
                    <w:widowControl/>
                    <w:jc w:val="center"/>
                    <w:textAlignment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c>
                <w:tcPr>
                  <w:tcW w:w="703" w:type="pct"/>
                  <w:tcBorders>
                    <w:tl2br w:val="nil"/>
                    <w:tr2bl w:val="nil"/>
                  </w:tcBorders>
                  <w:vAlign w:val="center"/>
                </w:tcPr>
                <w:p w14:paraId="5C5026FA">
                  <w:pPr>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3.0134</w:t>
                  </w:r>
                </w:p>
              </w:tc>
              <w:tc>
                <w:tcPr>
                  <w:tcW w:w="662" w:type="pct"/>
                  <w:tcBorders>
                    <w:tl2br w:val="nil"/>
                    <w:tr2bl w:val="nil"/>
                  </w:tcBorders>
                  <w:vAlign w:val="center"/>
                </w:tcPr>
                <w:p w14:paraId="1A46ED26">
                  <w:pPr>
                    <w:widowControl/>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w:t>
                  </w:r>
                </w:p>
              </w:tc>
            </w:tr>
            <w:tr w14:paraId="66F88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vMerge w:val="continue"/>
                  <w:tcBorders>
                    <w:tl2br w:val="nil"/>
                    <w:tr2bl w:val="nil"/>
                  </w:tcBorders>
                  <w:vAlign w:val="center"/>
                </w:tcPr>
                <w:p w14:paraId="649EB7B7">
                  <w:pPr>
                    <w:spacing w:line="300" w:lineRule="exact"/>
                    <w:ind w:firstLine="420"/>
                    <w:jc w:val="center"/>
                    <w:rPr>
                      <w:rFonts w:ascii="Times New Roman" w:hAnsi="Times New Roman" w:cs="Times New Roman"/>
                      <w:color w:val="auto"/>
                      <w:sz w:val="21"/>
                      <w:szCs w:val="21"/>
                      <w:highlight w:val="none"/>
                    </w:rPr>
                  </w:pPr>
                </w:p>
              </w:tc>
              <w:tc>
                <w:tcPr>
                  <w:tcW w:w="686" w:type="pct"/>
                  <w:tcBorders>
                    <w:tl2br w:val="nil"/>
                    <w:tr2bl w:val="nil"/>
                  </w:tcBorders>
                  <w:vAlign w:val="center"/>
                </w:tcPr>
                <w:p w14:paraId="7D06E47B">
                  <w:pPr>
                    <w:jc w:val="center"/>
                    <w:rPr>
                      <w:rFonts w:ascii="Times New Roman" w:hAnsi="Times New Roman" w:cs="Times New Roman"/>
                      <w:bCs/>
                      <w:color w:val="auto"/>
                      <w:sz w:val="21"/>
                      <w:szCs w:val="21"/>
                      <w:highlight w:val="none"/>
                    </w:rPr>
                  </w:pPr>
                  <w:r>
                    <w:rPr>
                      <w:rFonts w:hint="default" w:ascii="Times New Roman" w:hAnsi="Times New Roman" w:eastAsia="宋体" w:cs="Times New Roman"/>
                      <w:color w:val="auto"/>
                      <w:szCs w:val="21"/>
                      <w:lang w:val="en-US" w:eastAsia="zh-CN"/>
                    </w:rPr>
                    <w:t>化学品废包装容器</w:t>
                  </w:r>
                </w:p>
              </w:tc>
              <w:tc>
                <w:tcPr>
                  <w:tcW w:w="656" w:type="pct"/>
                  <w:tcBorders>
                    <w:tl2br w:val="nil"/>
                    <w:tr2bl w:val="nil"/>
                  </w:tcBorders>
                  <w:vAlign w:val="center"/>
                </w:tcPr>
                <w:p w14:paraId="5451B5A2">
                  <w:pPr>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0.1</w:t>
                  </w:r>
                </w:p>
              </w:tc>
              <w:tc>
                <w:tcPr>
                  <w:tcW w:w="575" w:type="pct"/>
                  <w:tcBorders>
                    <w:tl2br w:val="nil"/>
                    <w:tr2bl w:val="nil"/>
                  </w:tcBorders>
                  <w:vAlign w:val="center"/>
                </w:tcPr>
                <w:p w14:paraId="590FB888">
                  <w:pPr>
                    <w:widowControl/>
                    <w:jc w:val="center"/>
                    <w:textAlignment w:val="center"/>
                    <w:rPr>
                      <w:rFonts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w:t>
                  </w:r>
                </w:p>
              </w:tc>
              <w:tc>
                <w:tcPr>
                  <w:tcW w:w="697" w:type="pct"/>
                  <w:tcBorders>
                    <w:tl2br w:val="nil"/>
                    <w:tr2bl w:val="nil"/>
                  </w:tcBorders>
                  <w:vAlign w:val="center"/>
                </w:tcPr>
                <w:p w14:paraId="128639AD">
                  <w:pPr>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0.1</w:t>
                  </w:r>
                </w:p>
              </w:tc>
              <w:tc>
                <w:tcPr>
                  <w:tcW w:w="541" w:type="pct"/>
                  <w:tcBorders>
                    <w:tl2br w:val="nil"/>
                    <w:tr2bl w:val="nil"/>
                  </w:tcBorders>
                  <w:vAlign w:val="center"/>
                </w:tcPr>
                <w:p w14:paraId="40E2A460">
                  <w:pPr>
                    <w:widowControl/>
                    <w:jc w:val="center"/>
                    <w:textAlignment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c>
                <w:tcPr>
                  <w:tcW w:w="703" w:type="pct"/>
                  <w:tcBorders>
                    <w:tl2br w:val="nil"/>
                    <w:tr2bl w:val="nil"/>
                  </w:tcBorders>
                  <w:vAlign w:val="center"/>
                </w:tcPr>
                <w:p w14:paraId="261C6400">
                  <w:pPr>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0.1</w:t>
                  </w:r>
                </w:p>
              </w:tc>
              <w:tc>
                <w:tcPr>
                  <w:tcW w:w="662" w:type="pct"/>
                  <w:tcBorders>
                    <w:tl2br w:val="nil"/>
                    <w:tr2bl w:val="nil"/>
                  </w:tcBorders>
                  <w:vAlign w:val="center"/>
                </w:tcPr>
                <w:p w14:paraId="72A830F8">
                  <w:pPr>
                    <w:widowControl/>
                    <w:jc w:val="center"/>
                    <w:textAlignment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305EF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vMerge w:val="continue"/>
                  <w:tcBorders>
                    <w:tl2br w:val="nil"/>
                    <w:tr2bl w:val="nil"/>
                  </w:tcBorders>
                  <w:vAlign w:val="center"/>
                </w:tcPr>
                <w:p w14:paraId="030B6ECA">
                  <w:pPr>
                    <w:spacing w:line="300" w:lineRule="exact"/>
                    <w:ind w:firstLine="420"/>
                    <w:jc w:val="center"/>
                    <w:rPr>
                      <w:rFonts w:ascii="Times New Roman" w:hAnsi="Times New Roman" w:cs="Times New Roman"/>
                      <w:color w:val="auto"/>
                      <w:sz w:val="21"/>
                      <w:szCs w:val="21"/>
                      <w:highlight w:val="none"/>
                    </w:rPr>
                  </w:pPr>
                </w:p>
              </w:tc>
              <w:tc>
                <w:tcPr>
                  <w:tcW w:w="686" w:type="pct"/>
                  <w:tcBorders>
                    <w:tl2br w:val="nil"/>
                    <w:tr2bl w:val="nil"/>
                  </w:tcBorders>
                  <w:vAlign w:val="center"/>
                </w:tcPr>
                <w:p w14:paraId="20D5780E">
                  <w:pPr>
                    <w:jc w:val="center"/>
                    <w:rPr>
                      <w:rFonts w:ascii="Times New Roman" w:hAnsi="Times New Roman" w:cs="Times New Roman"/>
                      <w:bCs/>
                      <w:color w:val="auto"/>
                      <w:sz w:val="21"/>
                      <w:szCs w:val="21"/>
                      <w:highlight w:val="none"/>
                    </w:rPr>
                  </w:pPr>
                  <w:r>
                    <w:rPr>
                      <w:rFonts w:hint="eastAsia" w:ascii="Times New Roman" w:hAnsi="Times New Roman" w:eastAsia="宋体" w:cs="Times New Roman"/>
                      <w:color w:val="auto"/>
                      <w:szCs w:val="21"/>
                      <w:lang w:val="en-US" w:eastAsia="zh-CN"/>
                    </w:rPr>
                    <w:t>废矿物油</w:t>
                  </w:r>
                </w:p>
              </w:tc>
              <w:tc>
                <w:tcPr>
                  <w:tcW w:w="656" w:type="pct"/>
                  <w:tcBorders>
                    <w:tl2br w:val="nil"/>
                    <w:tr2bl w:val="nil"/>
                  </w:tcBorders>
                  <w:vAlign w:val="center"/>
                </w:tcPr>
                <w:p w14:paraId="671CFC2B">
                  <w:pPr>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0.01</w:t>
                  </w:r>
                </w:p>
              </w:tc>
              <w:tc>
                <w:tcPr>
                  <w:tcW w:w="575" w:type="pct"/>
                  <w:tcBorders>
                    <w:tl2br w:val="nil"/>
                    <w:tr2bl w:val="nil"/>
                  </w:tcBorders>
                  <w:vAlign w:val="center"/>
                </w:tcPr>
                <w:p w14:paraId="61101B3D">
                  <w:pPr>
                    <w:widowControl/>
                    <w:jc w:val="center"/>
                    <w:textAlignment w:val="center"/>
                    <w:rPr>
                      <w:rFonts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w:t>
                  </w:r>
                </w:p>
              </w:tc>
              <w:tc>
                <w:tcPr>
                  <w:tcW w:w="697" w:type="pct"/>
                  <w:tcBorders>
                    <w:tl2br w:val="nil"/>
                    <w:tr2bl w:val="nil"/>
                  </w:tcBorders>
                  <w:vAlign w:val="center"/>
                </w:tcPr>
                <w:p w14:paraId="5DABBFB5">
                  <w:pPr>
                    <w:widowControl/>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c>
                <w:tcPr>
                  <w:tcW w:w="541" w:type="pct"/>
                  <w:tcBorders>
                    <w:tl2br w:val="nil"/>
                    <w:tr2bl w:val="nil"/>
                  </w:tcBorders>
                  <w:vAlign w:val="center"/>
                </w:tcPr>
                <w:p w14:paraId="2A701079">
                  <w:pPr>
                    <w:widowControl/>
                    <w:jc w:val="center"/>
                    <w:textAlignment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c>
                <w:tcPr>
                  <w:tcW w:w="703" w:type="pct"/>
                  <w:tcBorders>
                    <w:tl2br w:val="nil"/>
                    <w:tr2bl w:val="nil"/>
                  </w:tcBorders>
                  <w:vAlign w:val="center"/>
                </w:tcPr>
                <w:p w14:paraId="53418629">
                  <w:pPr>
                    <w:jc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0.01</w:t>
                  </w:r>
                </w:p>
              </w:tc>
              <w:tc>
                <w:tcPr>
                  <w:tcW w:w="662" w:type="pct"/>
                  <w:tcBorders>
                    <w:tl2br w:val="nil"/>
                    <w:tr2bl w:val="nil"/>
                  </w:tcBorders>
                  <w:vAlign w:val="center"/>
                </w:tcPr>
                <w:p w14:paraId="377D710C">
                  <w:pPr>
                    <w:widowControl/>
                    <w:jc w:val="center"/>
                    <w:textAlignment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bl>
          <w:p w14:paraId="01292FAD">
            <w:pPr>
              <w:autoSpaceDE w:val="0"/>
              <w:autoSpaceDN w:val="0"/>
              <w:adjustRightInd w:val="0"/>
              <w:spacing w:line="360" w:lineRule="auto"/>
              <w:jc w:val="left"/>
              <w:rPr>
                <w:color w:val="auto"/>
                <w:highlight w:val="none"/>
              </w:rPr>
            </w:pPr>
            <w:r>
              <w:rPr>
                <w:rFonts w:hint="eastAsia"/>
                <w:color w:val="auto"/>
                <w:szCs w:val="21"/>
                <w:highlight w:val="none"/>
              </w:rPr>
              <w:t>注：</w:t>
            </w:r>
            <w:r>
              <w:rPr>
                <w:color w:val="auto"/>
                <w:szCs w:val="21"/>
                <w:highlight w:val="none"/>
              </w:rPr>
              <w:t>“+”</w:t>
            </w:r>
            <w:r>
              <w:rPr>
                <w:rFonts w:hint="eastAsia"/>
                <w:color w:val="auto"/>
                <w:szCs w:val="21"/>
                <w:highlight w:val="none"/>
              </w:rPr>
              <w:t>号表示增加，</w:t>
            </w:r>
            <w:r>
              <w:rPr>
                <w:color w:val="auto"/>
                <w:szCs w:val="21"/>
                <w:highlight w:val="none"/>
              </w:rPr>
              <w:t>“-”</w:t>
            </w:r>
            <w:r>
              <w:rPr>
                <w:rFonts w:hint="eastAsia"/>
                <w:color w:val="auto"/>
                <w:szCs w:val="21"/>
                <w:highlight w:val="none"/>
              </w:rPr>
              <w:t>号表示减少。</w:t>
            </w:r>
          </w:p>
        </w:tc>
      </w:tr>
    </w:tbl>
    <w:p w14:paraId="3DEEB6EE">
      <w:pPr>
        <w:rPr>
          <w:color w:val="auto"/>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14:paraId="411396A9">
      <w:pPr>
        <w:pStyle w:val="36"/>
        <w:rPr>
          <w:rFonts w:ascii="黑体" w:hAnsi="黑体" w:eastAsia="黑体"/>
          <w:b w:val="0"/>
          <w:color w:val="auto"/>
          <w:sz w:val="30"/>
          <w:szCs w:val="30"/>
          <w:highlight w:val="none"/>
        </w:rPr>
      </w:pPr>
      <w:bookmarkStart w:id="4" w:name="_Toc130804817"/>
      <w:r>
        <w:rPr>
          <w:rFonts w:hint="eastAsia" w:ascii="黑体" w:hAnsi="黑体" w:eastAsia="黑体"/>
          <w:b w:val="0"/>
          <w:color w:val="auto"/>
          <w:sz w:val="30"/>
          <w:szCs w:val="30"/>
          <w:highlight w:val="none"/>
        </w:rPr>
        <w:t>三、区域环境质量现状、环境保护目标及评价标准</w:t>
      </w:r>
      <w:bookmarkEnd w:id="4"/>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9032"/>
      </w:tblGrid>
      <w:tr w14:paraId="4B2D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vAlign w:val="center"/>
          </w:tcPr>
          <w:p w14:paraId="14948083">
            <w:pPr>
              <w:jc w:val="center"/>
              <w:rPr>
                <w:color w:val="auto"/>
                <w:sz w:val="24"/>
                <w:szCs w:val="24"/>
                <w:highlight w:val="none"/>
              </w:rPr>
            </w:pPr>
            <w:r>
              <w:rPr>
                <w:rFonts w:hint="eastAsia"/>
                <w:color w:val="auto"/>
                <w:sz w:val="24"/>
                <w:szCs w:val="24"/>
                <w:highlight w:val="none"/>
              </w:rPr>
              <w:t>区域环境质量现状</w:t>
            </w:r>
          </w:p>
        </w:tc>
        <w:tc>
          <w:tcPr>
            <w:tcW w:w="9032" w:type="dxa"/>
          </w:tcPr>
          <w:p w14:paraId="4FC55628">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本项目建设地点位于</w:t>
            </w:r>
            <w:r>
              <w:rPr>
                <w:rFonts w:hint="eastAsia" w:ascii="Times New Roman" w:hAnsi="Times New Roman" w:cs="Times New Roman"/>
                <w:color w:val="auto"/>
                <w:sz w:val="24"/>
                <w:szCs w:val="24"/>
                <w:highlight w:val="none"/>
                <w:lang w:eastAsia="zh-CN"/>
              </w:rPr>
              <w:t>马尔康市达萨街439号</w:t>
            </w:r>
            <w:r>
              <w:rPr>
                <w:rFonts w:hint="eastAsia" w:ascii="Times New Roman" w:hAnsi="Times New Roman" w:cs="Times New Roman"/>
                <w:color w:val="auto"/>
                <w:sz w:val="24"/>
                <w:szCs w:val="24"/>
                <w:highlight w:val="none"/>
              </w:rPr>
              <w:t>，为了解项目所在区域环境质量现状，本次评价采用现场监测与资料复用法相结合的方式，对本项目所在区域的环境质量现状进行分析。</w:t>
            </w:r>
          </w:p>
          <w:p w14:paraId="168F56E5">
            <w:pPr>
              <w:spacing w:line="360" w:lineRule="auto"/>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一、大气环境质量现状</w:t>
            </w:r>
          </w:p>
          <w:p w14:paraId="230F2D3F">
            <w:pPr>
              <w:widowControl/>
              <w:spacing w:line="360" w:lineRule="auto"/>
              <w:ind w:firstLine="482" w:firstLineChars="200"/>
              <w:rPr>
                <w:rFonts w:hint="default"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1</w:t>
            </w: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常规污染物环境质量现状</w:t>
            </w:r>
          </w:p>
          <w:p w14:paraId="17FAE8DC">
            <w:pPr>
              <w:widowControl/>
              <w:spacing w:line="360" w:lineRule="auto"/>
              <w:ind w:firstLine="480" w:firstLineChars="200"/>
              <w:rPr>
                <w:rFonts w:ascii="Times New Roman" w:hAnsi="Times New Roman" w:cs="Times New Roman"/>
                <w:bCs/>
                <w:color w:val="auto"/>
                <w:sz w:val="24"/>
                <w:highlight w:val="none"/>
              </w:rPr>
            </w:pPr>
            <w:r>
              <w:rPr>
                <w:rFonts w:ascii="Times New Roman" w:hAnsi="Times New Roman" w:cs="Times New Roman"/>
                <w:color w:val="auto"/>
                <w:sz w:val="24"/>
                <w:szCs w:val="24"/>
                <w:highlight w:val="none"/>
              </w:rPr>
              <w:t>根据《环境影响评价技术导则大气环境》（HJ2.2-2018）中有关基本污染物环境质量现状数据的规定，可优先采用国家或地方生态环境主管部门公布的评价基准年（近3年中1个完整日历年）环境质量公告或环境质量报告中的数据或结论。</w:t>
            </w:r>
          </w:p>
          <w:p w14:paraId="4AFA6026">
            <w:pPr>
              <w:pStyle w:val="124"/>
              <w:widowControl/>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本项目环境空气质量现状引用来源为阿坝藏族羌族自治州生态环境局2024年5月30日发布的《2023年阿坝州生态环境状况公报》。</w:t>
            </w:r>
          </w:p>
          <w:p w14:paraId="4F36BBC6">
            <w:pPr>
              <w:pStyle w:val="124"/>
              <w:widowControl/>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2023年，阿坝州马尔康市环境空气质量达到二级标准。2023年，阿坝州（马尔康市）环境空气质量优良天数比列为100%，其中优的天数313天，良52天，与上年相比优的天数增加了41天，改善率为15.1%。2023年马尔康市区域空气质量现状列表汇总如下：</w:t>
            </w:r>
          </w:p>
          <w:p w14:paraId="44058330">
            <w:pPr>
              <w:pStyle w:val="116"/>
              <w:bidi w:val="0"/>
              <w:rPr>
                <w:rFonts w:hint="default"/>
                <w:color w:val="auto"/>
              </w:rPr>
            </w:pPr>
            <w:r>
              <w:rPr>
                <w:rFonts w:hint="default"/>
                <w:color w:val="auto"/>
              </w:rPr>
              <w:t>区域空气质量现状评价表（单位：μg/m</w:t>
            </w:r>
            <w:r>
              <w:rPr>
                <w:rFonts w:hint="default"/>
                <w:color w:val="auto"/>
                <w:vertAlign w:val="superscript"/>
              </w:rPr>
              <w:t>3</w:t>
            </w:r>
            <w:r>
              <w:rPr>
                <w:rFonts w:hint="default"/>
                <w:color w:val="auto"/>
              </w:rPr>
              <w:t>）</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2361"/>
              <w:gridCol w:w="1416"/>
              <w:gridCol w:w="1042"/>
              <w:gridCol w:w="1201"/>
              <w:gridCol w:w="1387"/>
            </w:tblGrid>
            <w:tr w14:paraId="4AA1E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97" w:type="pct"/>
                  <w:noWrap w:val="0"/>
                  <w:vAlign w:val="center"/>
                </w:tcPr>
                <w:p w14:paraId="17BB694A">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lang w:bidi="ar"/>
                    </w:rPr>
                    <w:t>污染物</w:t>
                  </w:r>
                </w:p>
              </w:tc>
              <w:tc>
                <w:tcPr>
                  <w:tcW w:w="1339" w:type="pct"/>
                  <w:noWrap w:val="0"/>
                  <w:vAlign w:val="center"/>
                </w:tcPr>
                <w:p w14:paraId="5FBE9DF5">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lang w:bidi="ar"/>
                    </w:rPr>
                    <w:t>评价指标</w:t>
                  </w:r>
                </w:p>
              </w:tc>
              <w:tc>
                <w:tcPr>
                  <w:tcW w:w="803" w:type="pct"/>
                  <w:noWrap w:val="0"/>
                  <w:vAlign w:val="center"/>
                </w:tcPr>
                <w:p w14:paraId="6564C7CC">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lang w:bidi="ar"/>
                    </w:rPr>
                    <w:t>现状浓度</w:t>
                  </w:r>
                </w:p>
              </w:tc>
              <w:tc>
                <w:tcPr>
                  <w:tcW w:w="591" w:type="pct"/>
                  <w:noWrap w:val="0"/>
                  <w:vAlign w:val="center"/>
                </w:tcPr>
                <w:p w14:paraId="7B35C520">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lang w:bidi="ar"/>
                    </w:rPr>
                    <w:t>标准值</w:t>
                  </w:r>
                </w:p>
              </w:tc>
              <w:tc>
                <w:tcPr>
                  <w:tcW w:w="681" w:type="pct"/>
                  <w:noWrap w:val="0"/>
                  <w:vAlign w:val="center"/>
                </w:tcPr>
                <w:p w14:paraId="754450D6">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lang w:bidi="ar"/>
                    </w:rPr>
                    <w:t>占标率</w:t>
                  </w:r>
                </w:p>
              </w:tc>
              <w:tc>
                <w:tcPr>
                  <w:tcW w:w="786" w:type="pct"/>
                  <w:noWrap w:val="0"/>
                  <w:vAlign w:val="center"/>
                </w:tcPr>
                <w:p w14:paraId="0B32189F">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lang w:bidi="ar"/>
                    </w:rPr>
                    <w:t>达标情况</w:t>
                  </w:r>
                </w:p>
              </w:tc>
            </w:tr>
            <w:tr w14:paraId="35A272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7" w:type="pct"/>
                  <w:noWrap w:val="0"/>
                  <w:vAlign w:val="center"/>
                </w:tcPr>
                <w:p w14:paraId="68D09BEA">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二氧化硫</w:t>
                  </w:r>
                </w:p>
              </w:tc>
              <w:tc>
                <w:tcPr>
                  <w:tcW w:w="1339" w:type="pct"/>
                  <w:noWrap w:val="0"/>
                  <w:vAlign w:val="center"/>
                </w:tcPr>
                <w:p w14:paraId="0FB4B986">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年平均质量浓度</w:t>
                  </w:r>
                </w:p>
              </w:tc>
              <w:tc>
                <w:tcPr>
                  <w:tcW w:w="803" w:type="pct"/>
                  <w:noWrap w:val="0"/>
                  <w:vAlign w:val="center"/>
                </w:tcPr>
                <w:p w14:paraId="0676A695">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4.2</w:t>
                  </w:r>
                </w:p>
              </w:tc>
              <w:tc>
                <w:tcPr>
                  <w:tcW w:w="591" w:type="pct"/>
                  <w:noWrap w:val="0"/>
                  <w:vAlign w:val="center"/>
                </w:tcPr>
                <w:p w14:paraId="5B2E57BC">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60</w:t>
                  </w:r>
                </w:p>
              </w:tc>
              <w:tc>
                <w:tcPr>
                  <w:tcW w:w="681" w:type="pct"/>
                  <w:noWrap w:val="0"/>
                  <w:vAlign w:val="center"/>
                </w:tcPr>
                <w:p w14:paraId="21C6A7E0">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7.0%</w:t>
                  </w:r>
                </w:p>
              </w:tc>
              <w:tc>
                <w:tcPr>
                  <w:tcW w:w="786" w:type="pct"/>
                  <w:noWrap w:val="0"/>
                  <w:vAlign w:val="center"/>
                </w:tcPr>
                <w:p w14:paraId="4FA1830F">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达标</w:t>
                  </w:r>
                </w:p>
              </w:tc>
            </w:tr>
            <w:tr w14:paraId="397C3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7" w:type="pct"/>
                  <w:noWrap w:val="0"/>
                  <w:vAlign w:val="center"/>
                </w:tcPr>
                <w:p w14:paraId="6C434322">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二氧化氮</w:t>
                  </w:r>
                </w:p>
              </w:tc>
              <w:tc>
                <w:tcPr>
                  <w:tcW w:w="1339" w:type="pct"/>
                  <w:noWrap w:val="0"/>
                  <w:vAlign w:val="center"/>
                </w:tcPr>
                <w:p w14:paraId="015A7B32">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年平均质量浓度</w:t>
                  </w:r>
                </w:p>
              </w:tc>
              <w:tc>
                <w:tcPr>
                  <w:tcW w:w="803" w:type="pct"/>
                  <w:noWrap w:val="0"/>
                  <w:vAlign w:val="center"/>
                </w:tcPr>
                <w:p w14:paraId="688FCAF6">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10</w:t>
                  </w:r>
                </w:p>
              </w:tc>
              <w:tc>
                <w:tcPr>
                  <w:tcW w:w="591" w:type="pct"/>
                  <w:noWrap w:val="0"/>
                  <w:vAlign w:val="center"/>
                </w:tcPr>
                <w:p w14:paraId="28DA06BB">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40</w:t>
                  </w:r>
                </w:p>
              </w:tc>
              <w:tc>
                <w:tcPr>
                  <w:tcW w:w="681" w:type="pct"/>
                  <w:noWrap w:val="0"/>
                  <w:vAlign w:val="center"/>
                </w:tcPr>
                <w:p w14:paraId="6E247772">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25.0%</w:t>
                  </w:r>
                </w:p>
              </w:tc>
              <w:tc>
                <w:tcPr>
                  <w:tcW w:w="786" w:type="pct"/>
                  <w:noWrap w:val="0"/>
                  <w:vAlign w:val="center"/>
                </w:tcPr>
                <w:p w14:paraId="0E2039B3">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达标</w:t>
                  </w:r>
                </w:p>
              </w:tc>
            </w:tr>
            <w:tr w14:paraId="484EE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7" w:type="pct"/>
                  <w:noWrap w:val="0"/>
                  <w:vAlign w:val="center"/>
                </w:tcPr>
                <w:p w14:paraId="51645FDD">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颗粒物</w:t>
                  </w:r>
                </w:p>
              </w:tc>
              <w:tc>
                <w:tcPr>
                  <w:tcW w:w="1339" w:type="pct"/>
                  <w:noWrap w:val="0"/>
                  <w:vAlign w:val="center"/>
                </w:tcPr>
                <w:p w14:paraId="7F8EF318">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年平均质量浓度</w:t>
                  </w:r>
                </w:p>
              </w:tc>
              <w:tc>
                <w:tcPr>
                  <w:tcW w:w="803" w:type="pct"/>
                  <w:noWrap w:val="0"/>
                  <w:vAlign w:val="center"/>
                </w:tcPr>
                <w:p w14:paraId="0F29AF9C">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20</w:t>
                  </w:r>
                </w:p>
              </w:tc>
              <w:tc>
                <w:tcPr>
                  <w:tcW w:w="591" w:type="pct"/>
                  <w:noWrap w:val="0"/>
                  <w:vAlign w:val="center"/>
                </w:tcPr>
                <w:p w14:paraId="5ECFBE28">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70</w:t>
                  </w:r>
                </w:p>
              </w:tc>
              <w:tc>
                <w:tcPr>
                  <w:tcW w:w="681" w:type="pct"/>
                  <w:noWrap w:val="0"/>
                  <w:vAlign w:val="center"/>
                </w:tcPr>
                <w:p w14:paraId="3A9BD4F0">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28.5%</w:t>
                  </w:r>
                </w:p>
              </w:tc>
              <w:tc>
                <w:tcPr>
                  <w:tcW w:w="786" w:type="pct"/>
                  <w:noWrap w:val="0"/>
                  <w:vAlign w:val="center"/>
                </w:tcPr>
                <w:p w14:paraId="26670157">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达标</w:t>
                  </w:r>
                </w:p>
              </w:tc>
            </w:tr>
            <w:tr w14:paraId="31D1A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7" w:type="pct"/>
                  <w:noWrap w:val="0"/>
                  <w:vAlign w:val="center"/>
                </w:tcPr>
                <w:p w14:paraId="22A8D77E">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细颗粒物</w:t>
                  </w:r>
                </w:p>
              </w:tc>
              <w:tc>
                <w:tcPr>
                  <w:tcW w:w="1339" w:type="pct"/>
                  <w:noWrap w:val="0"/>
                  <w:vAlign w:val="center"/>
                </w:tcPr>
                <w:p w14:paraId="2511793A">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年平均质量浓度</w:t>
                  </w:r>
                </w:p>
              </w:tc>
              <w:tc>
                <w:tcPr>
                  <w:tcW w:w="803" w:type="pct"/>
                  <w:noWrap w:val="0"/>
                  <w:vAlign w:val="center"/>
                </w:tcPr>
                <w:p w14:paraId="142278AC">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13</w:t>
                  </w:r>
                </w:p>
              </w:tc>
              <w:tc>
                <w:tcPr>
                  <w:tcW w:w="591" w:type="pct"/>
                  <w:noWrap w:val="0"/>
                  <w:vAlign w:val="center"/>
                </w:tcPr>
                <w:p w14:paraId="42B386B7">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35</w:t>
                  </w:r>
                </w:p>
              </w:tc>
              <w:tc>
                <w:tcPr>
                  <w:tcW w:w="681" w:type="pct"/>
                  <w:noWrap w:val="0"/>
                  <w:vAlign w:val="center"/>
                </w:tcPr>
                <w:p w14:paraId="646DFA20">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37.1%</w:t>
                  </w:r>
                </w:p>
              </w:tc>
              <w:tc>
                <w:tcPr>
                  <w:tcW w:w="786" w:type="pct"/>
                  <w:noWrap w:val="0"/>
                  <w:vAlign w:val="center"/>
                </w:tcPr>
                <w:p w14:paraId="721C9C1C">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达标</w:t>
                  </w:r>
                </w:p>
              </w:tc>
            </w:tr>
            <w:tr w14:paraId="59860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7" w:type="pct"/>
                  <w:noWrap w:val="0"/>
                  <w:vAlign w:val="center"/>
                </w:tcPr>
                <w:p w14:paraId="78A5CEC7">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一氧化碳</w:t>
                  </w:r>
                </w:p>
              </w:tc>
              <w:tc>
                <w:tcPr>
                  <w:tcW w:w="1339" w:type="pct"/>
                  <w:noWrap w:val="0"/>
                  <w:vAlign w:val="center"/>
                </w:tcPr>
                <w:p w14:paraId="006B4107">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第95位百分数平均</w:t>
                  </w:r>
                </w:p>
              </w:tc>
              <w:tc>
                <w:tcPr>
                  <w:tcW w:w="803" w:type="pct"/>
                  <w:noWrap w:val="0"/>
                  <w:vAlign w:val="center"/>
                </w:tcPr>
                <w:p w14:paraId="550FEB36">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0.6</w:t>
                  </w:r>
                </w:p>
              </w:tc>
              <w:tc>
                <w:tcPr>
                  <w:tcW w:w="591" w:type="pct"/>
                  <w:noWrap w:val="0"/>
                  <w:vAlign w:val="center"/>
                </w:tcPr>
                <w:p w14:paraId="6605013C">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4</w:t>
                  </w:r>
                </w:p>
              </w:tc>
              <w:tc>
                <w:tcPr>
                  <w:tcW w:w="681" w:type="pct"/>
                  <w:noWrap w:val="0"/>
                  <w:vAlign w:val="center"/>
                </w:tcPr>
                <w:p w14:paraId="26918ECF">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15.0%</w:t>
                  </w:r>
                </w:p>
              </w:tc>
              <w:tc>
                <w:tcPr>
                  <w:tcW w:w="786" w:type="pct"/>
                  <w:noWrap w:val="0"/>
                  <w:vAlign w:val="center"/>
                </w:tcPr>
                <w:p w14:paraId="59C387E2">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达标</w:t>
                  </w:r>
                </w:p>
              </w:tc>
            </w:tr>
            <w:tr w14:paraId="5AC7E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7" w:type="pct"/>
                  <w:noWrap w:val="0"/>
                  <w:vAlign w:val="center"/>
                </w:tcPr>
                <w:p w14:paraId="5FEF773B">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臭氧</w:t>
                  </w:r>
                </w:p>
              </w:tc>
              <w:tc>
                <w:tcPr>
                  <w:tcW w:w="1339" w:type="pct"/>
                  <w:noWrap w:val="0"/>
                  <w:vAlign w:val="center"/>
                </w:tcPr>
                <w:p w14:paraId="6FBAEAB4">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第90位百分数平均</w:t>
                  </w:r>
                </w:p>
              </w:tc>
              <w:tc>
                <w:tcPr>
                  <w:tcW w:w="803" w:type="pct"/>
                  <w:noWrap w:val="0"/>
                  <w:vAlign w:val="center"/>
                </w:tcPr>
                <w:p w14:paraId="0FB16C10">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100</w:t>
                  </w:r>
                </w:p>
              </w:tc>
              <w:tc>
                <w:tcPr>
                  <w:tcW w:w="591" w:type="pct"/>
                  <w:noWrap w:val="0"/>
                  <w:vAlign w:val="center"/>
                </w:tcPr>
                <w:p w14:paraId="1450F1E6">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160</w:t>
                  </w:r>
                </w:p>
              </w:tc>
              <w:tc>
                <w:tcPr>
                  <w:tcW w:w="681" w:type="pct"/>
                  <w:noWrap w:val="0"/>
                  <w:vAlign w:val="center"/>
                </w:tcPr>
                <w:p w14:paraId="03A8FC1A">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62.5%</w:t>
                  </w:r>
                </w:p>
              </w:tc>
              <w:tc>
                <w:tcPr>
                  <w:tcW w:w="786" w:type="pct"/>
                  <w:noWrap w:val="0"/>
                  <w:vAlign w:val="center"/>
                </w:tcPr>
                <w:p w14:paraId="6F35813B">
                  <w:pPr>
                    <w:keepNext w:val="0"/>
                    <w:keepLines w:val="0"/>
                    <w:pageBreakBefore w:val="0"/>
                    <w:widowControl/>
                    <w:kinsoku/>
                    <w:wordWrap/>
                    <w:overflowPunct/>
                    <w:topLinePunct w:val="0"/>
                    <w:autoSpaceDE w:val="0"/>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bidi="ar"/>
                    </w:rPr>
                    <w:t>达标</w:t>
                  </w:r>
                </w:p>
              </w:tc>
            </w:tr>
          </w:tbl>
          <w:p w14:paraId="74A6F3F9">
            <w:pPr>
              <w:widowControl/>
              <w:spacing w:line="360" w:lineRule="auto"/>
              <w:ind w:firstLine="480" w:firstLineChars="200"/>
              <w:rPr>
                <w:rFonts w:hint="default" w:ascii="Times New Roman" w:hAnsi="Times New Roman" w:cs="Times New Roman" w:eastAsiaTheme="minorEastAsia"/>
                <w:color w:val="auto"/>
                <w:sz w:val="24"/>
                <w:lang w:val="en-US" w:eastAsia="zh-CN" w:bidi="ar"/>
              </w:rPr>
            </w:pPr>
            <w:r>
              <w:rPr>
                <w:rFonts w:hint="eastAsia" w:ascii="宋体" w:hAnsi="宋体" w:cs="宋体"/>
                <w:color w:val="auto"/>
                <w:sz w:val="24"/>
                <w:lang w:bidi="ar"/>
              </w:rPr>
              <w:t>可知本项目所在区域大气环境质量现状达标</w:t>
            </w:r>
            <w:r>
              <w:rPr>
                <w:rFonts w:hint="eastAsia" w:ascii="宋体" w:hAnsi="宋体" w:cs="宋体"/>
                <w:color w:val="auto"/>
                <w:sz w:val="24"/>
                <w:lang w:eastAsia="zh-CN" w:bidi="ar"/>
              </w:rPr>
              <w:t>。</w:t>
            </w:r>
          </w:p>
          <w:p w14:paraId="0591B0A8">
            <w:pPr>
              <w:spacing w:line="360" w:lineRule="auto"/>
              <w:rPr>
                <w:rFonts w:ascii="Times New Roman" w:hAnsi="Times New Roman" w:cs="Times New Roman"/>
                <w:b/>
                <w:color w:val="auto"/>
                <w:sz w:val="24"/>
                <w:highlight w:val="none"/>
              </w:rPr>
            </w:pPr>
            <w:r>
              <w:rPr>
                <w:rFonts w:ascii="Times New Roman" w:hAnsi="Times New Roman" w:cs="Times New Roman"/>
                <w:b/>
                <w:color w:val="auto"/>
                <w:sz w:val="24"/>
                <w:highlight w:val="none"/>
              </w:rPr>
              <w:t>二</w:t>
            </w:r>
            <w:r>
              <w:rPr>
                <w:rFonts w:hint="eastAsia" w:ascii="Times New Roman" w:hAnsi="Times New Roman" w:cs="Times New Roman"/>
                <w:b/>
                <w:color w:val="auto"/>
                <w:sz w:val="24"/>
                <w:highlight w:val="none"/>
              </w:rPr>
              <w:t>、</w:t>
            </w:r>
            <w:r>
              <w:rPr>
                <w:rFonts w:ascii="Times New Roman" w:hAnsi="Times New Roman" w:cs="Times New Roman"/>
                <w:b/>
                <w:color w:val="auto"/>
                <w:sz w:val="24"/>
                <w:highlight w:val="none"/>
              </w:rPr>
              <w:t>地表水环境质量现状</w:t>
            </w:r>
          </w:p>
          <w:p w14:paraId="18FBD68E">
            <w:pPr>
              <w:pStyle w:val="124"/>
              <w:widowControl/>
              <w:spacing w:line="360" w:lineRule="auto"/>
              <w:ind w:firstLine="480"/>
              <w:rPr>
                <w:rFonts w:hAnsi="Times New Roman"/>
                <w:color w:val="auto"/>
              </w:rPr>
            </w:pPr>
            <w:r>
              <w:rPr>
                <w:rFonts w:hint="eastAsia" w:ascii="宋体" w:cs="宋体"/>
                <w:color w:val="auto"/>
              </w:rPr>
              <w:t>地表水环境质量现状引用来源为阿坝藏族羌族自治州市生态环境局</w:t>
            </w:r>
            <w:r>
              <w:rPr>
                <w:rFonts w:hAnsi="Times New Roman"/>
                <w:color w:val="auto"/>
              </w:rPr>
              <w:t>2024</w:t>
            </w:r>
            <w:r>
              <w:rPr>
                <w:rFonts w:hint="eastAsia" w:ascii="宋体" w:cs="宋体"/>
                <w:color w:val="auto"/>
              </w:rPr>
              <w:t>年</w:t>
            </w:r>
            <w:r>
              <w:rPr>
                <w:rFonts w:hAnsi="Times New Roman"/>
                <w:color w:val="auto"/>
              </w:rPr>
              <w:t>5</w:t>
            </w:r>
            <w:r>
              <w:rPr>
                <w:rFonts w:hint="eastAsia" w:ascii="宋体" w:cs="宋体"/>
                <w:color w:val="auto"/>
              </w:rPr>
              <w:t>月</w:t>
            </w:r>
            <w:r>
              <w:rPr>
                <w:rFonts w:hAnsi="Times New Roman"/>
                <w:color w:val="auto"/>
              </w:rPr>
              <w:t>30</w:t>
            </w:r>
            <w:r>
              <w:rPr>
                <w:rFonts w:hint="eastAsia" w:ascii="宋体" w:cs="宋体"/>
                <w:color w:val="auto"/>
              </w:rPr>
              <w:t>日发布的《</w:t>
            </w:r>
            <w:r>
              <w:rPr>
                <w:rFonts w:hAnsi="Times New Roman"/>
                <w:color w:val="auto"/>
              </w:rPr>
              <w:t>2023</w:t>
            </w:r>
            <w:r>
              <w:rPr>
                <w:rFonts w:hint="eastAsia" w:ascii="宋体" w:cs="宋体"/>
                <w:color w:val="auto"/>
              </w:rPr>
              <w:t>年阿坝州生态环境状况公报》。</w:t>
            </w:r>
          </w:p>
          <w:p w14:paraId="1543B6C0">
            <w:pPr>
              <w:pStyle w:val="124"/>
              <w:widowControl/>
              <w:spacing w:line="360" w:lineRule="auto"/>
              <w:ind w:firstLine="480"/>
              <w:rPr>
                <w:rFonts w:hAnsi="Times New Roman"/>
                <w:color w:val="auto"/>
              </w:rPr>
            </w:pPr>
            <w:r>
              <w:rPr>
                <w:rFonts w:hAnsi="Times New Roman"/>
                <w:color w:val="auto"/>
              </w:rPr>
              <w:t>2023</w:t>
            </w:r>
            <w:r>
              <w:rPr>
                <w:color w:val="auto"/>
              </w:rPr>
              <w:t>年，全州共设监测断面</w:t>
            </w:r>
            <w:r>
              <w:rPr>
                <w:rFonts w:hAnsi="Times New Roman"/>
                <w:color w:val="auto"/>
              </w:rPr>
              <w:t>41</w:t>
            </w:r>
            <w:r>
              <w:rPr>
                <w:color w:val="auto"/>
              </w:rPr>
              <w:t>个：其中黄河流域</w:t>
            </w:r>
            <w:r>
              <w:rPr>
                <w:rFonts w:hAnsi="Times New Roman"/>
                <w:color w:val="auto"/>
              </w:rPr>
              <w:t>10</w:t>
            </w:r>
            <w:r>
              <w:rPr>
                <w:color w:val="auto"/>
              </w:rPr>
              <w:t>个，岷江流域</w:t>
            </w:r>
            <w:r>
              <w:rPr>
                <w:rFonts w:hAnsi="Times New Roman"/>
                <w:color w:val="auto"/>
              </w:rPr>
              <w:t>12</w:t>
            </w:r>
            <w:r>
              <w:rPr>
                <w:color w:val="auto"/>
              </w:rPr>
              <w:t>个，大渡河流域</w:t>
            </w:r>
            <w:r>
              <w:rPr>
                <w:rFonts w:hAnsi="Times New Roman"/>
                <w:color w:val="auto"/>
              </w:rPr>
              <w:t>13</w:t>
            </w:r>
            <w:r>
              <w:rPr>
                <w:color w:val="auto"/>
              </w:rPr>
              <w:t>个，嘉陵江流域</w:t>
            </w:r>
            <w:r>
              <w:rPr>
                <w:rFonts w:hAnsi="Times New Roman"/>
                <w:color w:val="auto"/>
              </w:rPr>
              <w:t>5</w:t>
            </w:r>
            <w:r>
              <w:rPr>
                <w:color w:val="auto"/>
              </w:rPr>
              <w:t>个，</w:t>
            </w:r>
            <w:r>
              <w:rPr>
                <w:rFonts w:hint="eastAsia"/>
                <w:color w:val="auto"/>
                <w:lang w:eastAsia="zh-CN"/>
              </w:rPr>
              <w:t>梭磨河</w:t>
            </w:r>
            <w:r>
              <w:rPr>
                <w:color w:val="auto"/>
              </w:rPr>
              <w:t>流域</w:t>
            </w:r>
            <w:r>
              <w:rPr>
                <w:rFonts w:hAnsi="Times New Roman"/>
                <w:color w:val="auto"/>
              </w:rPr>
              <w:t>1</w:t>
            </w:r>
            <w:r>
              <w:rPr>
                <w:color w:val="auto"/>
              </w:rPr>
              <w:t>个。</w:t>
            </w:r>
            <w:r>
              <w:rPr>
                <w:rFonts w:hAnsi="Times New Roman"/>
                <w:color w:val="auto"/>
              </w:rPr>
              <w:t>2023</w:t>
            </w:r>
            <w:r>
              <w:rPr>
                <w:color w:val="auto"/>
              </w:rPr>
              <w:t>年，全州地表水水质总体为优，优</w:t>
            </w:r>
            <w:r>
              <w:rPr>
                <w:rFonts w:hAnsi="Times New Roman"/>
                <w:color w:val="auto"/>
              </w:rPr>
              <w:t>(</w:t>
            </w:r>
            <w:r>
              <w:rPr>
                <w:color w:val="auto"/>
              </w:rPr>
              <w:t>Ⅰ</w:t>
            </w:r>
            <w:r>
              <w:rPr>
                <w:rFonts w:hAnsi="Times New Roman"/>
                <w:color w:val="auto"/>
              </w:rPr>
              <w:t>-</w:t>
            </w:r>
            <w:r>
              <w:rPr>
                <w:color w:val="auto"/>
              </w:rPr>
              <w:t>Ⅱ类</w:t>
            </w:r>
            <w:r>
              <w:rPr>
                <w:rFonts w:hAnsi="Times New Roman"/>
                <w:color w:val="auto"/>
              </w:rPr>
              <w:t>)</w:t>
            </w:r>
            <w:r>
              <w:rPr>
                <w:color w:val="auto"/>
              </w:rPr>
              <w:t>水质断面比例</w:t>
            </w:r>
            <w:r>
              <w:rPr>
                <w:rFonts w:hAnsi="Times New Roman"/>
                <w:color w:val="auto"/>
              </w:rPr>
              <w:t>100%</w:t>
            </w:r>
            <w:r>
              <w:rPr>
                <w:color w:val="auto"/>
              </w:rPr>
              <w:t>。项目所在地属岷江流域：水质优。</w:t>
            </w:r>
            <w:r>
              <w:rPr>
                <w:rFonts w:hAnsi="Times New Roman"/>
                <w:color w:val="auto"/>
              </w:rPr>
              <w:t>12</w:t>
            </w:r>
            <w:r>
              <w:rPr>
                <w:color w:val="auto"/>
              </w:rPr>
              <w:t>个监测断面中，Ⅰ类水质的断面</w:t>
            </w:r>
            <w:r>
              <w:rPr>
                <w:rFonts w:hAnsi="Times New Roman"/>
                <w:color w:val="auto"/>
              </w:rPr>
              <w:t>3</w:t>
            </w:r>
            <w:r>
              <w:rPr>
                <w:color w:val="auto"/>
              </w:rPr>
              <w:t>个，占</w:t>
            </w:r>
            <w:r>
              <w:rPr>
                <w:rFonts w:hAnsi="Times New Roman"/>
                <w:color w:val="auto"/>
              </w:rPr>
              <w:t>25.0%</w:t>
            </w:r>
            <w:r>
              <w:rPr>
                <w:color w:val="auto"/>
              </w:rPr>
              <w:t>，Ⅱ类水质的断面</w:t>
            </w:r>
            <w:r>
              <w:rPr>
                <w:rFonts w:hAnsi="Times New Roman"/>
                <w:color w:val="auto"/>
              </w:rPr>
              <w:t>9</w:t>
            </w:r>
            <w:r>
              <w:rPr>
                <w:color w:val="auto"/>
              </w:rPr>
              <w:t>个，占</w:t>
            </w:r>
            <w:r>
              <w:rPr>
                <w:rFonts w:hAnsi="Times New Roman"/>
                <w:color w:val="auto"/>
              </w:rPr>
              <w:t>75.0%</w:t>
            </w:r>
            <w:r>
              <w:rPr>
                <w:color w:val="auto"/>
              </w:rPr>
              <w:t>。与上年相比，Ⅰ类水质的断面比例下降</w:t>
            </w:r>
            <w:r>
              <w:rPr>
                <w:rFonts w:hAnsi="Times New Roman"/>
                <w:color w:val="auto"/>
              </w:rPr>
              <w:t>25.0%</w:t>
            </w:r>
            <w:r>
              <w:rPr>
                <w:color w:val="auto"/>
              </w:rPr>
              <w:t>，其中都江堰水文站、下孟、色尔古乡及镇坪乡</w:t>
            </w:r>
            <w:r>
              <w:rPr>
                <w:rFonts w:hAnsi="Times New Roman"/>
                <w:color w:val="auto"/>
              </w:rPr>
              <w:t>4</w:t>
            </w:r>
            <w:r>
              <w:rPr>
                <w:color w:val="auto"/>
              </w:rPr>
              <w:t>个监测断面水质类别由Ⅰ类下降至Ⅱ类；小姓沟河口监测断面水质由Ⅱ类上升至Ⅰ类，其余</w:t>
            </w:r>
            <w:r>
              <w:rPr>
                <w:rFonts w:hAnsi="Times New Roman"/>
                <w:color w:val="auto"/>
              </w:rPr>
              <w:t>7</w:t>
            </w:r>
            <w:r>
              <w:rPr>
                <w:color w:val="auto"/>
              </w:rPr>
              <w:t>个监测断面水质类别无变化。与本项目相关的地表水体为梭磨河。根据公报数据，梭磨河</w:t>
            </w:r>
            <w:r>
              <w:rPr>
                <w:rFonts w:hAnsi="Times New Roman"/>
                <w:color w:val="auto"/>
              </w:rPr>
              <w:t>(1</w:t>
            </w:r>
            <w:r>
              <w:rPr>
                <w:color w:val="auto"/>
              </w:rPr>
              <w:t>个断面</w:t>
            </w:r>
            <w:r>
              <w:rPr>
                <w:rFonts w:hAnsi="Times New Roman"/>
                <w:color w:val="auto"/>
              </w:rPr>
              <w:t>)</w:t>
            </w:r>
            <w:r>
              <w:rPr>
                <w:color w:val="auto"/>
              </w:rPr>
              <w:t>水质良好，太平渡断面水质类别为Ⅲ类，水质月达标率为</w:t>
            </w:r>
            <w:r>
              <w:rPr>
                <w:rFonts w:hAnsi="Times New Roman"/>
                <w:color w:val="auto"/>
              </w:rPr>
              <w:t>100%</w:t>
            </w:r>
            <w:r>
              <w:rPr>
                <w:color w:val="auto"/>
              </w:rPr>
              <w:t>。</w:t>
            </w:r>
          </w:p>
          <w:p w14:paraId="558406D3">
            <w:pPr>
              <w:pStyle w:val="106"/>
              <w:ind w:firstLine="480"/>
              <w:rPr>
                <w:rFonts w:ascii="Times New Roman" w:hAnsi="Times New Roman" w:cs="Times New Roman"/>
                <w:color w:val="auto"/>
                <w:kern w:val="0"/>
                <w:sz w:val="24"/>
                <w:szCs w:val="24"/>
                <w:highlight w:val="none"/>
              </w:rPr>
            </w:pPr>
            <w:r>
              <w:rPr>
                <w:rFonts w:hint="eastAsia" w:ascii="宋体" w:hAnsi="宋体" w:cs="宋体"/>
                <w:color w:val="auto"/>
                <w:sz w:val="24"/>
                <w:lang w:bidi="ar"/>
              </w:rPr>
              <w:t>本项目产生的实验废水进入酸碱中和池中和后，依托已建预处理处理后排入市政污水管网最终排入马尔康市城市生活污水处理厂进行深度处理，不会对梭磨河产生明显影响。</w:t>
            </w:r>
          </w:p>
          <w:p w14:paraId="528411B1">
            <w:pPr>
              <w:spacing w:line="360" w:lineRule="auto"/>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三、声环境质量现状</w:t>
            </w:r>
          </w:p>
          <w:p w14:paraId="350C7E10">
            <w:pPr>
              <w:spacing w:line="360" w:lineRule="auto"/>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为了解项目区域最新的声环境质量现状，我公司按照</w:t>
            </w:r>
            <w:r>
              <w:rPr>
                <w:rFonts w:ascii="Times New Roman" w:hAnsi="Times New Roman" w:cs="Times New Roman"/>
                <w:color w:val="auto"/>
                <w:sz w:val="24"/>
                <w:highlight w:val="none"/>
              </w:rPr>
              <w:t>《建设项目环境影响报告表编制技术指南（</w:t>
            </w:r>
            <w:r>
              <w:rPr>
                <w:rFonts w:hint="eastAsia" w:ascii="Times New Roman" w:hAnsi="Times New Roman" w:cs="Times New Roman"/>
                <w:color w:val="auto"/>
                <w:sz w:val="24"/>
                <w:highlight w:val="none"/>
              </w:rPr>
              <w:t>污染</w:t>
            </w:r>
            <w:r>
              <w:rPr>
                <w:rFonts w:ascii="Times New Roman" w:hAnsi="Times New Roman" w:cs="Times New Roman"/>
                <w:color w:val="auto"/>
                <w:sz w:val="24"/>
                <w:highlight w:val="none"/>
              </w:rPr>
              <w:t>影响类）》（试行）相关要求，</w:t>
            </w:r>
            <w:r>
              <w:rPr>
                <w:rFonts w:hint="eastAsia" w:ascii="Times New Roman" w:hAnsi="Times New Roman" w:cs="Times New Roman"/>
                <w:color w:val="auto"/>
                <w:sz w:val="24"/>
                <w:highlight w:val="none"/>
              </w:rPr>
              <w:t>特委托</w:t>
            </w:r>
            <w:r>
              <w:rPr>
                <w:rFonts w:hint="eastAsia" w:ascii="Times New Roman" w:hAnsi="Times New Roman" w:cs="Times New Roman"/>
                <w:color w:val="auto"/>
                <w:sz w:val="24"/>
                <w:szCs w:val="24"/>
                <w:highlight w:val="none"/>
                <w:lang w:val="en-US" w:eastAsia="zh-CN"/>
              </w:rPr>
              <w:t>四川海德汇环保科技有限公司</w:t>
            </w:r>
            <w:r>
              <w:rPr>
                <w:rFonts w:hint="eastAsia" w:ascii="Times New Roman" w:hAnsi="Times New Roman" w:cs="Times New Roman"/>
                <w:color w:val="auto"/>
                <w:sz w:val="24"/>
                <w:highlight w:val="none"/>
              </w:rPr>
              <w:t>于202</w:t>
            </w:r>
            <w:r>
              <w:rPr>
                <w:rFonts w:hint="eastAsia" w:ascii="Times New Roman" w:hAnsi="Times New Roman" w:cs="Times New Roman"/>
                <w:color w:val="auto"/>
                <w:sz w:val="24"/>
                <w:highlight w:val="none"/>
                <w:lang w:val="en-US" w:eastAsia="zh-CN"/>
              </w:rPr>
              <w:t>5</w:t>
            </w:r>
            <w:r>
              <w:rPr>
                <w:rFonts w:hint="eastAsia" w:ascii="Times New Roman" w:hAnsi="Times New Roman" w:cs="Times New Roman"/>
                <w:color w:val="auto"/>
                <w:sz w:val="24"/>
                <w:highlight w:val="none"/>
              </w:rPr>
              <w:t>年</w:t>
            </w:r>
            <w:r>
              <w:rPr>
                <w:rFonts w:hint="eastAsia" w:ascii="Times New Roman" w:hAnsi="Times New Roman" w:cs="Times New Roman"/>
                <w:color w:val="auto"/>
                <w:sz w:val="24"/>
                <w:highlight w:val="none"/>
                <w:lang w:val="en-US" w:eastAsia="zh-CN"/>
              </w:rPr>
              <w:t>9</w:t>
            </w:r>
            <w:r>
              <w:rPr>
                <w:rFonts w:hint="eastAsia" w:ascii="Times New Roman" w:hAnsi="Times New Roman" w:cs="Times New Roman"/>
                <w:color w:val="auto"/>
                <w:sz w:val="24"/>
                <w:highlight w:val="none"/>
              </w:rPr>
              <w:t>月</w:t>
            </w:r>
            <w:r>
              <w:rPr>
                <w:rFonts w:hint="eastAsia"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rPr>
              <w:t>日</w:t>
            </w:r>
            <w:r>
              <w:rPr>
                <w:rFonts w:hint="eastAsia" w:ascii="Times New Roman" w:hAnsi="Times New Roman" w:cs="Times New Roman"/>
                <w:color w:val="auto"/>
                <w:sz w:val="24"/>
                <w:highlight w:val="none"/>
                <w:lang w:val="en-US" w:eastAsia="zh-CN"/>
              </w:rPr>
              <w:t>~9月2日</w:t>
            </w:r>
            <w:r>
              <w:rPr>
                <w:rFonts w:hint="eastAsia" w:ascii="Times New Roman" w:hAnsi="Times New Roman" w:cs="Times New Roman"/>
                <w:color w:val="auto"/>
                <w:sz w:val="24"/>
                <w:highlight w:val="none"/>
              </w:rPr>
              <w:t>对本项目所在区域进行了声环境质量现状监测。</w:t>
            </w:r>
          </w:p>
          <w:p w14:paraId="009268D1">
            <w:pPr>
              <w:spacing w:line="360" w:lineRule="auto"/>
              <w:ind w:firstLine="482" w:firstLineChars="200"/>
              <w:rPr>
                <w:rFonts w:ascii="Times New Roman" w:hAnsi="Times New Roman" w:cs="Times New Roman"/>
                <w:b/>
                <w:color w:val="auto"/>
                <w:sz w:val="24"/>
                <w:highlight w:val="none"/>
              </w:rPr>
            </w:pPr>
            <w:r>
              <w:rPr>
                <w:rFonts w:ascii="Times New Roman" w:hAnsi="Times New Roman" w:cs="Times New Roman"/>
                <w:b/>
                <w:color w:val="auto"/>
                <w:sz w:val="24"/>
                <w:highlight w:val="none"/>
              </w:rPr>
              <w:t>1、监测</w:t>
            </w:r>
            <w:r>
              <w:rPr>
                <w:rFonts w:hint="eastAsia" w:ascii="Times New Roman" w:hAnsi="Times New Roman" w:cs="Times New Roman"/>
                <w:b/>
                <w:color w:val="auto"/>
                <w:sz w:val="24"/>
                <w:highlight w:val="none"/>
              </w:rPr>
              <w:t>点位及监测频次</w:t>
            </w:r>
          </w:p>
          <w:p w14:paraId="12906524">
            <w:pPr>
              <w:spacing w:line="360" w:lineRule="auto"/>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本次评价共设置了</w:t>
            </w:r>
            <w:r>
              <w:rPr>
                <w:rFonts w:hint="eastAsia"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rPr>
              <w:t>个声环境质量监测点位，具体监测点位如下表所示。</w:t>
            </w:r>
          </w:p>
          <w:p w14:paraId="7E37B1DA">
            <w:pPr>
              <w:pStyle w:val="116"/>
              <w:bidi w:val="0"/>
              <w:rPr>
                <w:color w:val="auto"/>
              </w:rPr>
            </w:pPr>
            <w:r>
              <w:rPr>
                <w:color w:val="auto"/>
              </w:rPr>
              <w:t>项目噪声现状监测布点及监测频次一览表</w:t>
            </w:r>
          </w:p>
          <w:tbl>
            <w:tblPr>
              <w:tblStyle w:val="40"/>
              <w:tblW w:w="498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2934"/>
              <w:gridCol w:w="1699"/>
              <w:gridCol w:w="1542"/>
              <w:gridCol w:w="1503"/>
            </w:tblGrid>
            <w:tr w14:paraId="4B1F7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6" w:type="pct"/>
                  <w:tcBorders>
                    <w:tl2br w:val="nil"/>
                    <w:tr2bl w:val="nil"/>
                  </w:tcBorders>
                  <w:vAlign w:val="center"/>
                </w:tcPr>
                <w:p w14:paraId="18F4EBC7">
                  <w:pPr>
                    <w:adjustRightInd w:val="0"/>
                    <w:snapToGrid w:val="0"/>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点位编号</w:t>
                  </w:r>
                </w:p>
              </w:tc>
              <w:tc>
                <w:tcPr>
                  <w:tcW w:w="1667" w:type="pct"/>
                  <w:tcBorders>
                    <w:tl2br w:val="nil"/>
                    <w:tr2bl w:val="nil"/>
                  </w:tcBorders>
                  <w:vAlign w:val="center"/>
                </w:tcPr>
                <w:p w14:paraId="08D5A062">
                  <w:pPr>
                    <w:adjustRightInd w:val="0"/>
                    <w:snapToGrid w:val="0"/>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监测点位</w:t>
                  </w:r>
                </w:p>
              </w:tc>
              <w:tc>
                <w:tcPr>
                  <w:tcW w:w="965" w:type="pct"/>
                  <w:tcBorders>
                    <w:tl2br w:val="nil"/>
                    <w:tr2bl w:val="nil"/>
                  </w:tcBorders>
                  <w:vAlign w:val="center"/>
                </w:tcPr>
                <w:p w14:paraId="5A68ED72">
                  <w:pPr>
                    <w:adjustRightInd w:val="0"/>
                    <w:snapToGrid w:val="0"/>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监测指标</w:t>
                  </w:r>
                </w:p>
              </w:tc>
              <w:tc>
                <w:tcPr>
                  <w:tcW w:w="876" w:type="pct"/>
                  <w:tcBorders>
                    <w:tl2br w:val="nil"/>
                    <w:tr2bl w:val="nil"/>
                  </w:tcBorders>
                  <w:vAlign w:val="center"/>
                </w:tcPr>
                <w:p w14:paraId="30F8642F">
                  <w:pPr>
                    <w:adjustRightInd w:val="0"/>
                    <w:snapToGrid w:val="0"/>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监测频次</w:t>
                  </w:r>
                </w:p>
              </w:tc>
              <w:tc>
                <w:tcPr>
                  <w:tcW w:w="854" w:type="pct"/>
                  <w:tcBorders>
                    <w:tl2br w:val="nil"/>
                    <w:tr2bl w:val="nil"/>
                  </w:tcBorders>
                  <w:vAlign w:val="center"/>
                </w:tcPr>
                <w:p w14:paraId="128FC91E">
                  <w:pPr>
                    <w:adjustRightInd w:val="0"/>
                    <w:snapToGrid w:val="0"/>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备注</w:t>
                  </w:r>
                </w:p>
              </w:tc>
            </w:tr>
            <w:tr w14:paraId="791BD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6" w:type="pct"/>
                  <w:tcBorders>
                    <w:tl2br w:val="nil"/>
                    <w:tr2bl w:val="nil"/>
                  </w:tcBorders>
                  <w:vAlign w:val="center"/>
                </w:tcPr>
                <w:p w14:paraId="3954CFBB">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N1</w:t>
                  </w:r>
                </w:p>
              </w:tc>
              <w:tc>
                <w:tcPr>
                  <w:tcW w:w="1667" w:type="pct"/>
                  <w:tcBorders>
                    <w:tl2br w:val="nil"/>
                    <w:tr2bl w:val="nil"/>
                  </w:tcBorders>
                  <w:vAlign w:val="center"/>
                </w:tcPr>
                <w:p w14:paraId="1BF19F05">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lang w:val="en-US" w:eastAsia="zh-CN"/>
                    </w:rPr>
                    <w:t>马尔康市森林公安局外</w:t>
                  </w:r>
                  <w:r>
                    <w:rPr>
                      <w:rFonts w:hint="eastAsia" w:ascii="Times New Roman" w:hAnsi="Times New Roman" w:eastAsia="宋体" w:cs="Times New Roman"/>
                      <w:color w:val="auto"/>
                      <w:kern w:val="2"/>
                      <w:sz w:val="21"/>
                      <w:szCs w:val="24"/>
                      <w:lang w:val="en-US" w:eastAsia="zh-CN" w:bidi="ar-SA"/>
                    </w:rPr>
                    <w:t>1m处</w:t>
                  </w:r>
                </w:p>
              </w:tc>
              <w:tc>
                <w:tcPr>
                  <w:tcW w:w="965" w:type="pct"/>
                  <w:vMerge w:val="restart"/>
                  <w:tcBorders>
                    <w:tl2br w:val="nil"/>
                    <w:tr2bl w:val="nil"/>
                  </w:tcBorders>
                  <w:vAlign w:val="center"/>
                </w:tcPr>
                <w:p w14:paraId="455D2FF4">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等效连续A</w:t>
                  </w:r>
                  <w:r>
                    <w:rPr>
                      <w:rFonts w:hint="eastAsia" w:ascii="Times New Roman" w:hAnsi="Times New Roman" w:cs="Times New Roman"/>
                      <w:color w:val="auto"/>
                      <w:szCs w:val="21"/>
                      <w:highlight w:val="none"/>
                      <w:lang w:val="en-US" w:eastAsia="zh-CN"/>
                    </w:rPr>
                    <w:t>声</w:t>
                  </w:r>
                  <w:r>
                    <w:rPr>
                      <w:rFonts w:ascii="Times New Roman" w:hAnsi="Times New Roman" w:cs="Times New Roman"/>
                      <w:color w:val="auto"/>
                      <w:szCs w:val="21"/>
                      <w:highlight w:val="none"/>
                    </w:rPr>
                    <w:cr/>
                  </w:r>
                  <w:r>
                    <w:rPr>
                      <w:rFonts w:ascii="Times New Roman" w:hAnsi="Times New Roman" w:cs="Times New Roman"/>
                      <w:color w:val="auto"/>
                      <w:szCs w:val="21"/>
                      <w:highlight w:val="none"/>
                    </w:rPr>
                    <w:t>级</w:t>
                  </w:r>
                </w:p>
              </w:tc>
              <w:tc>
                <w:tcPr>
                  <w:tcW w:w="876" w:type="pct"/>
                  <w:vMerge w:val="restart"/>
                  <w:tcBorders>
                    <w:tl2br w:val="nil"/>
                    <w:tr2bl w:val="nil"/>
                  </w:tcBorders>
                  <w:vAlign w:val="center"/>
                </w:tcPr>
                <w:p w14:paraId="078A09FD">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监测</w:t>
                  </w:r>
                  <w:r>
                    <w:rPr>
                      <w:rFonts w:hint="eastAsia" w:ascii="Times New Roman" w:hAnsi="Times New Roman" w:cs="Times New Roman"/>
                      <w:color w:val="auto"/>
                      <w:szCs w:val="21"/>
                      <w:highlight w:val="none"/>
                      <w:lang w:val="en-US" w:eastAsia="zh-CN"/>
                    </w:rPr>
                    <w:t>2</w:t>
                  </w:r>
                  <w:r>
                    <w:rPr>
                      <w:rFonts w:ascii="Times New Roman" w:hAnsi="Times New Roman" w:cs="Times New Roman"/>
                      <w:color w:val="auto"/>
                      <w:szCs w:val="21"/>
                      <w:highlight w:val="none"/>
                    </w:rPr>
                    <w:t>天</w:t>
                  </w:r>
                </w:p>
                <w:p w14:paraId="1C8C4E12">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昼夜间各监测1次</w:t>
                  </w:r>
                </w:p>
              </w:tc>
              <w:tc>
                <w:tcPr>
                  <w:tcW w:w="854" w:type="pct"/>
                  <w:vMerge w:val="restart"/>
                  <w:tcBorders>
                    <w:tl2br w:val="nil"/>
                    <w:tr2bl w:val="nil"/>
                  </w:tcBorders>
                  <w:vAlign w:val="center"/>
                </w:tcPr>
                <w:p w14:paraId="4A728E00">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环境质量现状监测</w:t>
                  </w:r>
                </w:p>
              </w:tc>
            </w:tr>
            <w:tr w14:paraId="014D0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6" w:type="pct"/>
                  <w:tcBorders>
                    <w:tl2br w:val="nil"/>
                    <w:tr2bl w:val="nil"/>
                  </w:tcBorders>
                  <w:vAlign w:val="center"/>
                </w:tcPr>
                <w:p w14:paraId="7EB2DC82">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N2</w:t>
                  </w:r>
                </w:p>
              </w:tc>
              <w:tc>
                <w:tcPr>
                  <w:tcW w:w="1667" w:type="pct"/>
                  <w:tcBorders>
                    <w:tl2br w:val="nil"/>
                    <w:tr2bl w:val="nil"/>
                  </w:tcBorders>
                  <w:vAlign w:val="center"/>
                </w:tcPr>
                <w:p w14:paraId="0734BD16">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lang w:val="en-US" w:eastAsia="zh-CN"/>
                    </w:rPr>
                    <w:t>马尔康市水务局外</w:t>
                  </w:r>
                  <w:r>
                    <w:rPr>
                      <w:rFonts w:hint="eastAsia" w:ascii="Times New Roman" w:hAnsi="Times New Roman" w:eastAsia="宋体" w:cs="Times New Roman"/>
                      <w:color w:val="auto"/>
                      <w:kern w:val="2"/>
                      <w:sz w:val="21"/>
                      <w:szCs w:val="24"/>
                      <w:lang w:val="en-US" w:eastAsia="zh-CN" w:bidi="ar-SA"/>
                    </w:rPr>
                    <w:t>1m处</w:t>
                  </w:r>
                </w:p>
              </w:tc>
              <w:tc>
                <w:tcPr>
                  <w:tcW w:w="965" w:type="pct"/>
                  <w:vMerge w:val="continue"/>
                  <w:tcBorders>
                    <w:tl2br w:val="nil"/>
                    <w:tr2bl w:val="nil"/>
                  </w:tcBorders>
                  <w:vAlign w:val="center"/>
                </w:tcPr>
                <w:p w14:paraId="08E3CEE3">
                  <w:pPr>
                    <w:adjustRightInd w:val="0"/>
                    <w:snapToGrid w:val="0"/>
                    <w:jc w:val="center"/>
                    <w:rPr>
                      <w:rFonts w:ascii="Times New Roman" w:hAnsi="Times New Roman" w:cs="Times New Roman"/>
                      <w:color w:val="auto"/>
                      <w:szCs w:val="21"/>
                      <w:highlight w:val="none"/>
                    </w:rPr>
                  </w:pPr>
                </w:p>
              </w:tc>
              <w:tc>
                <w:tcPr>
                  <w:tcW w:w="876" w:type="pct"/>
                  <w:vMerge w:val="continue"/>
                  <w:tcBorders>
                    <w:tl2br w:val="nil"/>
                    <w:tr2bl w:val="nil"/>
                  </w:tcBorders>
                  <w:vAlign w:val="center"/>
                </w:tcPr>
                <w:p w14:paraId="13729700">
                  <w:pPr>
                    <w:adjustRightInd w:val="0"/>
                    <w:snapToGrid w:val="0"/>
                    <w:jc w:val="center"/>
                    <w:rPr>
                      <w:rFonts w:ascii="Times New Roman" w:hAnsi="Times New Roman" w:cs="Times New Roman"/>
                      <w:color w:val="auto"/>
                      <w:szCs w:val="21"/>
                      <w:highlight w:val="none"/>
                    </w:rPr>
                  </w:pPr>
                </w:p>
              </w:tc>
              <w:tc>
                <w:tcPr>
                  <w:tcW w:w="854" w:type="pct"/>
                  <w:vMerge w:val="continue"/>
                  <w:tcBorders>
                    <w:tl2br w:val="nil"/>
                    <w:tr2bl w:val="nil"/>
                  </w:tcBorders>
                  <w:vAlign w:val="center"/>
                </w:tcPr>
                <w:p w14:paraId="2C3213E8">
                  <w:pPr>
                    <w:adjustRightInd w:val="0"/>
                    <w:snapToGrid w:val="0"/>
                    <w:jc w:val="center"/>
                    <w:rPr>
                      <w:rFonts w:ascii="Times New Roman" w:hAnsi="Times New Roman" w:cs="Times New Roman"/>
                      <w:color w:val="auto"/>
                      <w:szCs w:val="21"/>
                      <w:highlight w:val="none"/>
                    </w:rPr>
                  </w:pPr>
                </w:p>
              </w:tc>
            </w:tr>
          </w:tbl>
          <w:p w14:paraId="40D9EF1D">
            <w:pPr>
              <w:spacing w:line="360" w:lineRule="auto"/>
              <w:ind w:firstLine="482" w:firstLineChars="200"/>
              <w:rPr>
                <w:rFonts w:ascii="Times New Roman" w:hAnsi="Times New Roman" w:cs="Times New Roman"/>
                <w:b/>
                <w:color w:val="auto"/>
                <w:sz w:val="24"/>
                <w:highlight w:val="none"/>
              </w:rPr>
            </w:pPr>
            <w:r>
              <w:rPr>
                <w:rFonts w:hint="eastAsia" w:ascii="Times New Roman" w:hAnsi="Times New Roman" w:cs="Times New Roman"/>
                <w:b/>
                <w:color w:val="auto"/>
                <w:sz w:val="24"/>
                <w:highlight w:val="none"/>
              </w:rPr>
              <w:t>2、监测结果</w:t>
            </w:r>
          </w:p>
          <w:p w14:paraId="2DA11E11">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本次声环境质量现状监测结果如下表所示。</w:t>
            </w:r>
          </w:p>
          <w:p w14:paraId="21F1A14B">
            <w:pPr>
              <w:pStyle w:val="116"/>
              <w:bidi w:val="0"/>
              <w:rPr>
                <w:color w:val="auto"/>
              </w:rPr>
            </w:pPr>
            <w:r>
              <w:rPr>
                <w:color w:val="auto"/>
              </w:rPr>
              <w:t>声环境现状监测结果统计表</w:t>
            </w:r>
            <w:r>
              <w:rPr>
                <w:rFonts w:hint="eastAsia"/>
                <w:color w:val="auto"/>
              </w:rPr>
              <w:t xml:space="preserve">    单位：</w:t>
            </w:r>
            <w:r>
              <w:rPr>
                <w:color w:val="auto"/>
              </w:rPr>
              <w:t>dB（</w:t>
            </w:r>
            <w:r>
              <w:rPr>
                <w:rFonts w:hint="eastAsia"/>
                <w:color w:val="auto"/>
              </w:rPr>
              <w:t>A</w:t>
            </w:r>
            <w:r>
              <w:rPr>
                <w:color w:val="auto"/>
              </w:rPr>
              <w:t>）</w:t>
            </w:r>
          </w:p>
          <w:tbl>
            <w:tblPr>
              <w:tblStyle w:val="40"/>
              <w:tblW w:w="49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146"/>
              <w:gridCol w:w="1151"/>
              <w:gridCol w:w="1148"/>
              <w:gridCol w:w="1155"/>
              <w:gridCol w:w="1305"/>
              <w:gridCol w:w="1308"/>
            </w:tblGrid>
            <w:tr w14:paraId="503A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restart"/>
                  <w:tcBorders>
                    <w:top w:val="single" w:color="auto" w:sz="12" w:space="0"/>
                  </w:tcBorders>
                  <w:vAlign w:val="center"/>
                </w:tcPr>
                <w:p w14:paraId="0A5280D5">
                  <w:pPr>
                    <w:autoSpaceDE w:val="0"/>
                    <w:autoSpaceDN w:val="0"/>
                    <w:adjustRightInd w:val="0"/>
                    <w:snapToGrid w:val="0"/>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监测点位</w:t>
                  </w:r>
                </w:p>
              </w:tc>
              <w:tc>
                <w:tcPr>
                  <w:tcW w:w="2637" w:type="pct"/>
                  <w:gridSpan w:val="4"/>
                  <w:tcBorders>
                    <w:top w:val="single" w:color="auto" w:sz="12" w:space="0"/>
                  </w:tcBorders>
                  <w:vAlign w:val="center"/>
                </w:tcPr>
                <w:p w14:paraId="760D0DCB">
                  <w:pPr>
                    <w:autoSpaceDE w:val="0"/>
                    <w:autoSpaceDN w:val="0"/>
                    <w:adjustRightInd w:val="0"/>
                    <w:snapToGrid w:val="0"/>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监测结果</w:t>
                  </w:r>
                </w:p>
              </w:tc>
              <w:tc>
                <w:tcPr>
                  <w:tcW w:w="1497" w:type="pct"/>
                  <w:gridSpan w:val="2"/>
                  <w:vMerge w:val="restart"/>
                  <w:tcBorders>
                    <w:top w:val="single" w:color="auto" w:sz="12" w:space="0"/>
                    <w:right w:val="nil"/>
                  </w:tcBorders>
                  <w:vAlign w:val="center"/>
                </w:tcPr>
                <w:p w14:paraId="3B5EB339">
                  <w:pPr>
                    <w:autoSpaceDE w:val="0"/>
                    <w:autoSpaceDN w:val="0"/>
                    <w:adjustRightInd w:val="0"/>
                    <w:snapToGrid w:val="0"/>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标准限值</w:t>
                  </w:r>
                </w:p>
              </w:tc>
            </w:tr>
            <w:tr w14:paraId="5DBA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tcBorders>
                    <w:left w:val="nil"/>
                  </w:tcBorders>
                  <w:vAlign w:val="center"/>
                </w:tcPr>
                <w:p w14:paraId="57E7EF81">
                  <w:pPr>
                    <w:autoSpaceDE w:val="0"/>
                    <w:autoSpaceDN w:val="0"/>
                    <w:adjustRightInd w:val="0"/>
                    <w:snapToGrid w:val="0"/>
                    <w:jc w:val="center"/>
                    <w:rPr>
                      <w:rFonts w:ascii="Times New Roman" w:hAnsi="Times New Roman" w:cs="Times New Roman"/>
                      <w:b/>
                      <w:color w:val="auto"/>
                      <w:szCs w:val="21"/>
                      <w:highlight w:val="none"/>
                    </w:rPr>
                  </w:pPr>
                </w:p>
              </w:tc>
              <w:tc>
                <w:tcPr>
                  <w:tcW w:w="1317" w:type="pct"/>
                  <w:gridSpan w:val="2"/>
                  <w:vAlign w:val="center"/>
                </w:tcPr>
                <w:p w14:paraId="6995E345">
                  <w:pPr>
                    <w:autoSpaceDE w:val="0"/>
                    <w:autoSpaceDN w:val="0"/>
                    <w:adjustRightInd w:val="0"/>
                    <w:snapToGrid w:val="0"/>
                    <w:jc w:val="center"/>
                    <w:rPr>
                      <w:rFonts w:ascii="Times New Roman" w:hAnsi="Times New Roman" w:cs="Times New Roman"/>
                      <w:b/>
                      <w:color w:val="auto"/>
                      <w:szCs w:val="21"/>
                      <w:highlight w:val="none"/>
                    </w:rPr>
                  </w:pPr>
                  <w:r>
                    <w:rPr>
                      <w:rFonts w:hint="eastAsia" w:ascii="Times New Roman" w:hAnsi="Times New Roman" w:cs="Times New Roman"/>
                      <w:b/>
                      <w:color w:val="auto"/>
                      <w:szCs w:val="21"/>
                      <w:highlight w:val="none"/>
                    </w:rPr>
                    <w:t>202</w:t>
                  </w:r>
                  <w:r>
                    <w:rPr>
                      <w:rFonts w:hint="eastAsia" w:ascii="Times New Roman" w:hAnsi="Times New Roman" w:cs="Times New Roman"/>
                      <w:b/>
                      <w:color w:val="auto"/>
                      <w:szCs w:val="21"/>
                      <w:highlight w:val="none"/>
                      <w:lang w:val="en-US" w:eastAsia="zh-CN"/>
                    </w:rPr>
                    <w:t>5</w:t>
                  </w:r>
                  <w:r>
                    <w:rPr>
                      <w:rFonts w:hint="eastAsia" w:ascii="Times New Roman" w:hAnsi="Times New Roman" w:cs="Times New Roman"/>
                      <w:b/>
                      <w:color w:val="auto"/>
                      <w:szCs w:val="21"/>
                      <w:highlight w:val="none"/>
                    </w:rPr>
                    <w:t>年</w:t>
                  </w:r>
                  <w:r>
                    <w:rPr>
                      <w:rFonts w:hint="eastAsia" w:ascii="Times New Roman" w:hAnsi="Times New Roman" w:cs="Times New Roman"/>
                      <w:b/>
                      <w:color w:val="auto"/>
                      <w:szCs w:val="21"/>
                      <w:highlight w:val="none"/>
                      <w:lang w:val="en-US" w:eastAsia="zh-CN"/>
                    </w:rPr>
                    <w:t>9</w:t>
                  </w:r>
                  <w:r>
                    <w:rPr>
                      <w:rFonts w:hint="eastAsia" w:ascii="Times New Roman" w:hAnsi="Times New Roman" w:cs="Times New Roman"/>
                      <w:b/>
                      <w:color w:val="auto"/>
                      <w:szCs w:val="21"/>
                      <w:highlight w:val="none"/>
                    </w:rPr>
                    <w:t>月</w:t>
                  </w:r>
                  <w:r>
                    <w:rPr>
                      <w:rFonts w:hint="eastAsia" w:ascii="Times New Roman" w:hAnsi="Times New Roman" w:cs="Times New Roman"/>
                      <w:b/>
                      <w:color w:val="auto"/>
                      <w:szCs w:val="21"/>
                      <w:highlight w:val="none"/>
                      <w:lang w:val="en-US" w:eastAsia="zh-CN"/>
                    </w:rPr>
                    <w:t>1</w:t>
                  </w:r>
                  <w:r>
                    <w:rPr>
                      <w:rFonts w:hint="eastAsia" w:ascii="Times New Roman" w:hAnsi="Times New Roman" w:cs="Times New Roman"/>
                      <w:b/>
                      <w:color w:val="auto"/>
                      <w:szCs w:val="21"/>
                      <w:highlight w:val="none"/>
                    </w:rPr>
                    <w:t>日</w:t>
                  </w:r>
                </w:p>
              </w:tc>
              <w:tc>
                <w:tcPr>
                  <w:tcW w:w="1320" w:type="pct"/>
                  <w:gridSpan w:val="2"/>
                  <w:vAlign w:val="center"/>
                </w:tcPr>
                <w:p w14:paraId="569FE076">
                  <w:pPr>
                    <w:autoSpaceDE w:val="0"/>
                    <w:autoSpaceDN w:val="0"/>
                    <w:adjustRightInd w:val="0"/>
                    <w:snapToGrid w:val="0"/>
                    <w:jc w:val="center"/>
                    <w:rPr>
                      <w:rFonts w:hint="eastAsia" w:ascii="Times New Roman" w:hAnsi="Times New Roman" w:cs="Times New Roman"/>
                      <w:b/>
                      <w:color w:val="auto"/>
                      <w:szCs w:val="21"/>
                      <w:highlight w:val="none"/>
                    </w:rPr>
                  </w:pPr>
                  <w:r>
                    <w:rPr>
                      <w:rFonts w:hint="eastAsia" w:ascii="Times New Roman" w:hAnsi="Times New Roman" w:cs="Times New Roman"/>
                      <w:b/>
                      <w:color w:val="auto"/>
                      <w:szCs w:val="21"/>
                      <w:highlight w:val="none"/>
                    </w:rPr>
                    <w:t>202</w:t>
                  </w:r>
                  <w:r>
                    <w:rPr>
                      <w:rFonts w:hint="eastAsia" w:ascii="Times New Roman" w:hAnsi="Times New Roman" w:cs="Times New Roman"/>
                      <w:b/>
                      <w:color w:val="auto"/>
                      <w:szCs w:val="21"/>
                      <w:highlight w:val="none"/>
                      <w:lang w:val="en-US" w:eastAsia="zh-CN"/>
                    </w:rPr>
                    <w:t>5</w:t>
                  </w:r>
                  <w:r>
                    <w:rPr>
                      <w:rFonts w:hint="eastAsia" w:ascii="Times New Roman" w:hAnsi="Times New Roman" w:cs="Times New Roman"/>
                      <w:b/>
                      <w:color w:val="auto"/>
                      <w:szCs w:val="21"/>
                      <w:highlight w:val="none"/>
                    </w:rPr>
                    <w:t>年</w:t>
                  </w:r>
                  <w:r>
                    <w:rPr>
                      <w:rFonts w:hint="eastAsia" w:ascii="Times New Roman" w:hAnsi="Times New Roman" w:cs="Times New Roman"/>
                      <w:b/>
                      <w:color w:val="auto"/>
                      <w:szCs w:val="21"/>
                      <w:highlight w:val="none"/>
                      <w:lang w:val="en-US" w:eastAsia="zh-CN"/>
                    </w:rPr>
                    <w:t>9</w:t>
                  </w:r>
                  <w:r>
                    <w:rPr>
                      <w:rFonts w:hint="eastAsia" w:ascii="Times New Roman" w:hAnsi="Times New Roman" w:cs="Times New Roman"/>
                      <w:b/>
                      <w:color w:val="auto"/>
                      <w:szCs w:val="21"/>
                      <w:highlight w:val="none"/>
                    </w:rPr>
                    <w:t>月</w:t>
                  </w:r>
                  <w:r>
                    <w:rPr>
                      <w:rFonts w:hint="eastAsia" w:ascii="Times New Roman" w:hAnsi="Times New Roman" w:cs="Times New Roman"/>
                      <w:b/>
                      <w:color w:val="auto"/>
                      <w:szCs w:val="21"/>
                      <w:highlight w:val="none"/>
                      <w:lang w:val="en-US" w:eastAsia="zh-CN"/>
                    </w:rPr>
                    <w:t>2</w:t>
                  </w:r>
                  <w:r>
                    <w:rPr>
                      <w:rFonts w:hint="eastAsia" w:ascii="Times New Roman" w:hAnsi="Times New Roman" w:cs="Times New Roman"/>
                      <w:b/>
                      <w:color w:val="auto"/>
                      <w:szCs w:val="21"/>
                      <w:highlight w:val="none"/>
                    </w:rPr>
                    <w:t>日</w:t>
                  </w:r>
                </w:p>
              </w:tc>
              <w:tc>
                <w:tcPr>
                  <w:tcW w:w="1497" w:type="pct"/>
                  <w:gridSpan w:val="2"/>
                  <w:vMerge w:val="continue"/>
                  <w:tcBorders>
                    <w:right w:val="nil"/>
                  </w:tcBorders>
                  <w:vAlign w:val="center"/>
                </w:tcPr>
                <w:p w14:paraId="5FA952E5">
                  <w:pPr>
                    <w:autoSpaceDE w:val="0"/>
                    <w:autoSpaceDN w:val="0"/>
                    <w:adjustRightInd w:val="0"/>
                    <w:snapToGrid w:val="0"/>
                    <w:jc w:val="center"/>
                    <w:rPr>
                      <w:rFonts w:ascii="Times New Roman" w:hAnsi="Times New Roman" w:cs="Times New Roman"/>
                      <w:b/>
                      <w:color w:val="auto"/>
                      <w:szCs w:val="21"/>
                      <w:highlight w:val="none"/>
                    </w:rPr>
                  </w:pPr>
                </w:p>
              </w:tc>
            </w:tr>
            <w:tr w14:paraId="2E7C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vMerge w:val="continue"/>
                  <w:tcBorders>
                    <w:left w:val="nil"/>
                  </w:tcBorders>
                  <w:vAlign w:val="center"/>
                </w:tcPr>
                <w:p w14:paraId="39055667">
                  <w:pPr>
                    <w:autoSpaceDE w:val="0"/>
                    <w:autoSpaceDN w:val="0"/>
                    <w:adjustRightInd w:val="0"/>
                    <w:snapToGrid w:val="0"/>
                    <w:jc w:val="center"/>
                    <w:rPr>
                      <w:rFonts w:ascii="Times New Roman" w:hAnsi="Times New Roman" w:cs="Times New Roman"/>
                      <w:b/>
                      <w:color w:val="auto"/>
                      <w:szCs w:val="21"/>
                      <w:highlight w:val="none"/>
                    </w:rPr>
                  </w:pPr>
                </w:p>
              </w:tc>
              <w:tc>
                <w:tcPr>
                  <w:tcW w:w="657" w:type="pct"/>
                  <w:vAlign w:val="center"/>
                </w:tcPr>
                <w:p w14:paraId="60AE0881">
                  <w:pPr>
                    <w:autoSpaceDE w:val="0"/>
                    <w:autoSpaceDN w:val="0"/>
                    <w:adjustRightInd w:val="0"/>
                    <w:snapToGrid w:val="0"/>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昼间</w:t>
                  </w:r>
                </w:p>
              </w:tc>
              <w:tc>
                <w:tcPr>
                  <w:tcW w:w="659" w:type="pct"/>
                  <w:vAlign w:val="center"/>
                </w:tcPr>
                <w:p w14:paraId="09A269A5">
                  <w:pPr>
                    <w:autoSpaceDE w:val="0"/>
                    <w:autoSpaceDN w:val="0"/>
                    <w:adjustRightInd w:val="0"/>
                    <w:snapToGrid w:val="0"/>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夜间</w:t>
                  </w:r>
                </w:p>
              </w:tc>
              <w:tc>
                <w:tcPr>
                  <w:tcW w:w="658" w:type="pct"/>
                  <w:vAlign w:val="center"/>
                </w:tcPr>
                <w:p w14:paraId="24EE37E1">
                  <w:pPr>
                    <w:autoSpaceDE w:val="0"/>
                    <w:autoSpaceDN w:val="0"/>
                    <w:adjustRightInd w:val="0"/>
                    <w:snapToGrid w:val="0"/>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昼间</w:t>
                  </w:r>
                </w:p>
              </w:tc>
              <w:tc>
                <w:tcPr>
                  <w:tcW w:w="662" w:type="pct"/>
                  <w:vAlign w:val="center"/>
                </w:tcPr>
                <w:p w14:paraId="4E21079D">
                  <w:pPr>
                    <w:autoSpaceDE w:val="0"/>
                    <w:autoSpaceDN w:val="0"/>
                    <w:adjustRightInd w:val="0"/>
                    <w:snapToGrid w:val="0"/>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夜间</w:t>
                  </w:r>
                </w:p>
              </w:tc>
              <w:tc>
                <w:tcPr>
                  <w:tcW w:w="748" w:type="pct"/>
                  <w:vAlign w:val="center"/>
                </w:tcPr>
                <w:p w14:paraId="53C64891">
                  <w:pPr>
                    <w:autoSpaceDE w:val="0"/>
                    <w:autoSpaceDN w:val="0"/>
                    <w:adjustRightInd w:val="0"/>
                    <w:snapToGrid w:val="0"/>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昼间</w:t>
                  </w:r>
                </w:p>
              </w:tc>
              <w:tc>
                <w:tcPr>
                  <w:tcW w:w="749" w:type="pct"/>
                  <w:tcBorders>
                    <w:right w:val="nil"/>
                  </w:tcBorders>
                  <w:vAlign w:val="center"/>
                </w:tcPr>
                <w:p w14:paraId="5A88E697">
                  <w:pPr>
                    <w:autoSpaceDE w:val="0"/>
                    <w:autoSpaceDN w:val="0"/>
                    <w:adjustRightInd w:val="0"/>
                    <w:snapToGrid w:val="0"/>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夜间</w:t>
                  </w:r>
                </w:p>
              </w:tc>
            </w:tr>
            <w:tr w14:paraId="145F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tcBorders>
                    <w:left w:val="nil"/>
                  </w:tcBorders>
                  <w:vAlign w:val="center"/>
                </w:tcPr>
                <w:p w14:paraId="153A8E2A">
                  <w:pPr>
                    <w:jc w:val="center"/>
                    <w:rPr>
                      <w:rFonts w:ascii="Times New Roman" w:hAnsi="Times New Roman" w:cs="Times New Roman"/>
                      <w:color w:val="auto"/>
                      <w:szCs w:val="21"/>
                      <w:highlight w:val="none"/>
                    </w:rPr>
                  </w:pPr>
                  <w:r>
                    <w:rPr>
                      <w:rFonts w:ascii="Times New Roman" w:hAnsi="Times New Roman" w:eastAsia="宋体" w:cs="Times New Roman"/>
                      <w:color w:val="auto"/>
                      <w:szCs w:val="21"/>
                      <w:highlight w:val="none"/>
                    </w:rPr>
                    <w:t>N1</w:t>
                  </w:r>
                </w:p>
              </w:tc>
              <w:tc>
                <w:tcPr>
                  <w:tcW w:w="657" w:type="pct"/>
                  <w:vAlign w:val="center"/>
                </w:tcPr>
                <w:p w14:paraId="5CD54F22">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52</w:t>
                  </w:r>
                </w:p>
              </w:tc>
              <w:tc>
                <w:tcPr>
                  <w:tcW w:w="659" w:type="pct"/>
                  <w:vAlign w:val="center"/>
                </w:tcPr>
                <w:p w14:paraId="3D43B435">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45</w:t>
                  </w:r>
                </w:p>
              </w:tc>
              <w:tc>
                <w:tcPr>
                  <w:tcW w:w="658" w:type="pct"/>
                  <w:vAlign w:val="center"/>
                </w:tcPr>
                <w:p w14:paraId="60E9EFDF">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51</w:t>
                  </w:r>
                </w:p>
              </w:tc>
              <w:tc>
                <w:tcPr>
                  <w:tcW w:w="662" w:type="pct"/>
                  <w:vAlign w:val="center"/>
                </w:tcPr>
                <w:p w14:paraId="43AA4C5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44</w:t>
                  </w:r>
                </w:p>
              </w:tc>
              <w:tc>
                <w:tcPr>
                  <w:tcW w:w="748" w:type="pct"/>
                  <w:vAlign w:val="center"/>
                </w:tcPr>
                <w:p w14:paraId="7AA279C1">
                  <w:pPr>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60</w:t>
                  </w:r>
                </w:p>
              </w:tc>
              <w:tc>
                <w:tcPr>
                  <w:tcW w:w="749" w:type="pct"/>
                  <w:tcBorders>
                    <w:right w:val="nil"/>
                  </w:tcBorders>
                  <w:vAlign w:val="center"/>
                </w:tcPr>
                <w:p w14:paraId="4A03DB44">
                  <w:pPr>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50</w:t>
                  </w:r>
                </w:p>
              </w:tc>
            </w:tr>
            <w:tr w14:paraId="0B89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4" w:type="pct"/>
                  <w:tcBorders>
                    <w:left w:val="nil"/>
                  </w:tcBorders>
                  <w:vAlign w:val="center"/>
                </w:tcPr>
                <w:p w14:paraId="7CE94ADB">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szCs w:val="21"/>
                      <w:highlight w:val="none"/>
                    </w:rPr>
                    <w:t>N2</w:t>
                  </w:r>
                </w:p>
              </w:tc>
              <w:tc>
                <w:tcPr>
                  <w:tcW w:w="657" w:type="pct"/>
                  <w:shd w:val="clear" w:color="auto" w:fill="auto"/>
                  <w:vAlign w:val="center"/>
                </w:tcPr>
                <w:p w14:paraId="79B198FF">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50</w:t>
                  </w:r>
                </w:p>
              </w:tc>
              <w:tc>
                <w:tcPr>
                  <w:tcW w:w="659" w:type="pct"/>
                  <w:shd w:val="clear" w:color="auto" w:fill="auto"/>
                  <w:vAlign w:val="center"/>
                </w:tcPr>
                <w:p w14:paraId="6D53874E">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45</w:t>
                  </w:r>
                </w:p>
              </w:tc>
              <w:tc>
                <w:tcPr>
                  <w:tcW w:w="658" w:type="pct"/>
                  <w:vAlign w:val="center"/>
                </w:tcPr>
                <w:p w14:paraId="0026AB07">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51</w:t>
                  </w:r>
                </w:p>
              </w:tc>
              <w:tc>
                <w:tcPr>
                  <w:tcW w:w="662" w:type="pct"/>
                  <w:vAlign w:val="center"/>
                </w:tcPr>
                <w:p w14:paraId="1CB069B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45</w:t>
                  </w:r>
                </w:p>
              </w:tc>
              <w:tc>
                <w:tcPr>
                  <w:tcW w:w="748" w:type="pct"/>
                  <w:vAlign w:val="center"/>
                </w:tcPr>
                <w:p w14:paraId="2D6E6954">
                  <w:pPr>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60</w:t>
                  </w:r>
                </w:p>
              </w:tc>
              <w:tc>
                <w:tcPr>
                  <w:tcW w:w="749" w:type="pct"/>
                  <w:tcBorders>
                    <w:right w:val="nil"/>
                  </w:tcBorders>
                  <w:vAlign w:val="center"/>
                </w:tcPr>
                <w:p w14:paraId="51D5ED43">
                  <w:pPr>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50</w:t>
                  </w:r>
                </w:p>
              </w:tc>
            </w:tr>
          </w:tbl>
          <w:p w14:paraId="6A8442C0">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由监测结果可知，</w:t>
            </w:r>
            <w:r>
              <w:rPr>
                <w:rFonts w:ascii="Times New Roman" w:hAnsi="Times New Roman" w:cs="Times New Roman"/>
                <w:color w:val="auto"/>
                <w:sz w:val="24"/>
                <w:szCs w:val="24"/>
                <w:highlight w:val="none"/>
              </w:rPr>
              <w:t>项目周边声环境保护目标</w:t>
            </w:r>
            <w:r>
              <w:rPr>
                <w:rFonts w:hint="eastAsia" w:ascii="Times New Roman" w:hAnsi="Times New Roman" w:cs="Times New Roman"/>
                <w:color w:val="auto"/>
                <w:sz w:val="24"/>
                <w:szCs w:val="24"/>
                <w:highlight w:val="none"/>
              </w:rPr>
              <w:t>均能</w:t>
            </w:r>
            <w:r>
              <w:rPr>
                <w:rFonts w:ascii="Times New Roman" w:hAnsi="Times New Roman" w:cs="Times New Roman"/>
                <w:color w:val="auto"/>
                <w:sz w:val="24"/>
                <w:szCs w:val="24"/>
                <w:highlight w:val="none"/>
              </w:rPr>
              <w:t>满足《声环境质量标准》（GB3096-2008）</w:t>
            </w:r>
            <w:r>
              <w:rPr>
                <w:rFonts w:hint="eastAsia" w:ascii="Times New Roman" w:hAnsi="Times New Roman" w:cs="Times New Roman"/>
                <w:color w:val="auto"/>
                <w:sz w:val="24"/>
                <w:szCs w:val="24"/>
                <w:highlight w:val="none"/>
              </w:rPr>
              <w:t>2类标准限值</w:t>
            </w:r>
            <w:r>
              <w:rPr>
                <w:rFonts w:ascii="Times New Roman" w:hAnsi="Times New Roman" w:cs="Times New Roman"/>
                <w:color w:val="auto"/>
                <w:sz w:val="24"/>
                <w:szCs w:val="24"/>
                <w:highlight w:val="none"/>
              </w:rPr>
              <w:t>要求。</w:t>
            </w:r>
          </w:p>
          <w:p w14:paraId="11F1C819">
            <w:pPr>
              <w:spacing w:line="360" w:lineRule="auto"/>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四、地下水环境质量现状</w:t>
            </w:r>
          </w:p>
          <w:p w14:paraId="163F9921">
            <w:pPr>
              <w:spacing w:line="360" w:lineRule="auto"/>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查阅《环境影响评价技术导则 地下水环境》（</w:t>
            </w:r>
            <w:r>
              <w:rPr>
                <w:rFonts w:ascii="Times New Roman" w:hAnsi="Times New Roman" w:cs="Times New Roman"/>
                <w:color w:val="auto"/>
                <w:sz w:val="24"/>
                <w:highlight w:val="none"/>
              </w:rPr>
              <w:t>HJ 610-2016</w:t>
            </w:r>
            <w:r>
              <w:rPr>
                <w:rFonts w:hint="eastAsia" w:ascii="Times New Roman" w:hAnsi="Times New Roman" w:cs="Times New Roman"/>
                <w:color w:val="auto"/>
                <w:sz w:val="24"/>
                <w:highlight w:val="none"/>
              </w:rPr>
              <w:t>）附录</w:t>
            </w:r>
            <w:r>
              <w:rPr>
                <w:rFonts w:ascii="Times New Roman" w:hAnsi="Times New Roman" w:cs="Times New Roman"/>
                <w:color w:val="auto"/>
                <w:sz w:val="24"/>
                <w:highlight w:val="none"/>
              </w:rPr>
              <w:t>A</w:t>
            </w:r>
            <w:r>
              <w:rPr>
                <w:rFonts w:hint="eastAsia" w:ascii="Times New Roman" w:hAnsi="Times New Roman" w:cs="Times New Roman"/>
                <w:color w:val="auto"/>
                <w:sz w:val="24"/>
                <w:highlight w:val="none"/>
              </w:rPr>
              <w:t>，确定本项目所属的地下水环境影响评价项目类别</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lang w:eastAsia="zh-CN"/>
              </w:rPr>
              <w:t>Ⅳ类</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Ⅳ类</w:t>
            </w:r>
            <w:r>
              <w:rPr>
                <w:rFonts w:hint="default" w:ascii="Times New Roman" w:hAnsi="Times New Roman" w:cs="Times New Roman"/>
                <w:color w:val="auto"/>
                <w:sz w:val="24"/>
                <w:highlight w:val="none"/>
              </w:rPr>
              <w:t>建设项目可不开展地下水环境影响评价。同时，根据现场踏勘和项目工程分析可知，项目位于</w:t>
            </w:r>
            <w:r>
              <w:rPr>
                <w:rFonts w:hint="eastAsia" w:ascii="Times New Roman" w:hAnsi="Times New Roman" w:cs="Times New Roman"/>
                <w:color w:val="auto"/>
                <w:sz w:val="24"/>
                <w:szCs w:val="24"/>
                <w:highlight w:val="none"/>
                <w:lang w:eastAsia="zh-CN"/>
              </w:rPr>
              <w:t>马尔康市达萨街439号</w:t>
            </w:r>
            <w:r>
              <w:rPr>
                <w:rFonts w:hint="eastAsia" w:ascii="Times New Roman" w:hAnsi="Times New Roman" w:cs="Times New Roman"/>
                <w:color w:val="auto"/>
                <w:sz w:val="24"/>
                <w:szCs w:val="24"/>
                <w:highlight w:val="none"/>
              </w:rPr>
              <w:t>，属城市区域，周边居民均使用自来水，周边无地下</w:t>
            </w:r>
            <w:r>
              <w:rPr>
                <w:rFonts w:hint="eastAsia" w:ascii="Times New Roman" w:hAnsi="Times New Roman" w:cs="Times New Roman"/>
                <w:color w:val="auto"/>
                <w:sz w:val="24"/>
                <w:highlight w:val="none"/>
              </w:rPr>
              <w:t>水环境保护目标分布，在严格落实各项防渗措施并加强管理的前提下，本项目建设不会对区域地下水水质产生影响。故本项目无需开展地下水环境质量现状调查。</w:t>
            </w:r>
          </w:p>
          <w:p w14:paraId="47DEF666">
            <w:pPr>
              <w:spacing w:line="360" w:lineRule="auto"/>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五、土壤环境质量现状</w:t>
            </w:r>
          </w:p>
          <w:p w14:paraId="63992602">
            <w:pPr>
              <w:spacing w:line="360" w:lineRule="auto"/>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本项目属于</w:t>
            </w:r>
            <w:r>
              <w:rPr>
                <w:rFonts w:hint="eastAsia" w:ascii="Times New Roman" w:hAnsi="Times New Roman" w:cs="Times New Roman"/>
                <w:color w:val="auto"/>
                <w:sz w:val="24"/>
                <w:highlight w:val="none"/>
                <w:lang w:val="en-US" w:eastAsia="zh-CN"/>
              </w:rPr>
              <w:t>有实验室的学校</w:t>
            </w:r>
            <w:r>
              <w:rPr>
                <w:rFonts w:hint="eastAsia" w:ascii="Times New Roman" w:hAnsi="Times New Roman" w:cs="Times New Roman"/>
                <w:color w:val="auto"/>
                <w:sz w:val="24"/>
                <w:highlight w:val="none"/>
              </w:rPr>
              <w:t>建设项目，项目自身为环境敏感保护目标，通过查阅《环境影响评价技术导则土壤环境（试行）》（</w:t>
            </w:r>
            <w:r>
              <w:rPr>
                <w:rFonts w:ascii="Times New Roman" w:hAnsi="Times New Roman" w:cs="Times New Roman"/>
                <w:color w:val="auto"/>
                <w:sz w:val="24"/>
                <w:highlight w:val="none"/>
              </w:rPr>
              <w:t>HJ964-2018</w:t>
            </w:r>
            <w:r>
              <w:rPr>
                <w:rFonts w:hint="eastAsia" w:ascii="Times New Roman" w:hAnsi="Times New Roman" w:cs="Times New Roman"/>
                <w:color w:val="auto"/>
                <w:sz w:val="24"/>
                <w:highlight w:val="none"/>
              </w:rPr>
              <w:t>）中附录</w:t>
            </w:r>
            <w:r>
              <w:rPr>
                <w:rFonts w:ascii="Times New Roman" w:hAnsi="Times New Roman" w:cs="Times New Roman"/>
                <w:color w:val="auto"/>
                <w:sz w:val="24"/>
                <w:highlight w:val="none"/>
              </w:rPr>
              <w:t xml:space="preserve">A </w:t>
            </w:r>
            <w:r>
              <w:rPr>
                <w:rFonts w:hint="eastAsia" w:ascii="Times New Roman" w:hAnsi="Times New Roman" w:cs="Times New Roman"/>
                <w:color w:val="auto"/>
                <w:sz w:val="24"/>
                <w:highlight w:val="none"/>
              </w:rPr>
              <w:t>土壤环境影响评价项目类别，本项目属</w:t>
            </w:r>
            <w:r>
              <w:rPr>
                <w:rFonts w:ascii="Times New Roman" w:hAnsi="Times New Roman" w:cs="Times New Roman"/>
                <w:color w:val="auto"/>
                <w:sz w:val="24"/>
                <w:highlight w:val="none"/>
              </w:rPr>
              <w:t>IV</w:t>
            </w:r>
            <w:r>
              <w:rPr>
                <w:rFonts w:hint="eastAsia" w:ascii="Times New Roman" w:hAnsi="Times New Roman" w:cs="Times New Roman"/>
                <w:color w:val="auto"/>
                <w:sz w:val="24"/>
                <w:highlight w:val="none"/>
              </w:rPr>
              <w:t>类建设项目。因此，本项目可不开展土壤环境影响评价。同时，根据现场踏勘和项目工程分析可知，在严格落实各项防渗措施并加强管理的前提下，本项目建设不会对区域土壤产生影响。故本项目无需开展土壤环境质量现状调查。</w:t>
            </w:r>
          </w:p>
          <w:p w14:paraId="1950CD68">
            <w:pPr>
              <w:spacing w:line="360" w:lineRule="auto"/>
              <w:rPr>
                <w:rFonts w:ascii="Times New Roman" w:hAnsi="Times New Roman" w:cs="Times New Roman"/>
                <w:b/>
                <w:color w:val="auto"/>
                <w:sz w:val="24"/>
                <w:highlight w:val="none"/>
              </w:rPr>
            </w:pPr>
            <w:r>
              <w:rPr>
                <w:rFonts w:hint="eastAsia" w:ascii="Times New Roman" w:hAnsi="Times New Roman" w:cs="Times New Roman"/>
                <w:b/>
                <w:color w:val="auto"/>
                <w:sz w:val="24"/>
                <w:highlight w:val="none"/>
              </w:rPr>
              <w:t>六</w:t>
            </w:r>
            <w:r>
              <w:rPr>
                <w:rFonts w:ascii="Times New Roman" w:hAnsi="Times New Roman" w:cs="Times New Roman"/>
                <w:b/>
                <w:color w:val="auto"/>
                <w:sz w:val="24"/>
                <w:highlight w:val="none"/>
              </w:rPr>
              <w:t>、生态环境质量现状</w:t>
            </w:r>
          </w:p>
          <w:p w14:paraId="62CA8E01">
            <w:pPr>
              <w:spacing w:line="360" w:lineRule="auto"/>
              <w:ind w:firstLine="480" w:firstLineChars="200"/>
              <w:rPr>
                <w:color w:val="auto"/>
                <w:sz w:val="24"/>
                <w:szCs w:val="24"/>
                <w:highlight w:val="none"/>
              </w:rPr>
            </w:pPr>
            <w:r>
              <w:rPr>
                <w:rFonts w:ascii="Times New Roman" w:hAnsi="Times New Roman" w:cs="Times New Roman"/>
                <w:color w:val="auto"/>
                <w:sz w:val="24"/>
                <w:highlight w:val="none"/>
              </w:rPr>
              <w:t>本项目位于</w:t>
            </w:r>
            <w:r>
              <w:rPr>
                <w:rFonts w:hint="eastAsia" w:ascii="Times New Roman" w:hAnsi="Times New Roman" w:cs="Times New Roman"/>
                <w:color w:val="auto"/>
                <w:sz w:val="24"/>
                <w:highlight w:val="none"/>
                <w:lang w:eastAsia="zh-CN"/>
              </w:rPr>
              <w:t>马尔康市达萨街439号</w:t>
            </w:r>
            <w:r>
              <w:rPr>
                <w:rFonts w:hint="eastAsia" w:ascii="Times New Roman" w:hAnsi="Times New Roman" w:cs="Times New Roman"/>
                <w:color w:val="auto"/>
                <w:sz w:val="24"/>
                <w:highlight w:val="none"/>
              </w:rPr>
              <w:t>，周边主要以街道商业、小区住宅、行政办公为主。项目所在区域属于城市生态系统，</w:t>
            </w:r>
            <w:r>
              <w:rPr>
                <w:rFonts w:ascii="Times New Roman" w:hAnsi="Times New Roman" w:cs="Times New Roman"/>
                <w:color w:val="auto"/>
                <w:sz w:val="24"/>
                <w:highlight w:val="none"/>
              </w:rPr>
              <w:t>人员活动频繁，</w:t>
            </w:r>
            <w:r>
              <w:rPr>
                <w:rFonts w:hint="eastAsia" w:ascii="Times New Roman" w:hAnsi="Times New Roman" w:cs="Times New Roman"/>
                <w:color w:val="auto"/>
                <w:sz w:val="24"/>
                <w:highlight w:val="none"/>
              </w:rPr>
              <w:t>区域自然植被少，主要为人工种植的花草树木，项目范围内无珍稀保护动植物分布，也无名木古树，区域生态系统敏感程度低，</w:t>
            </w:r>
            <w:r>
              <w:rPr>
                <w:rFonts w:ascii="Times New Roman" w:hAnsi="Times New Roman" w:cs="Times New Roman"/>
                <w:color w:val="auto"/>
                <w:sz w:val="24"/>
                <w:highlight w:val="none"/>
              </w:rPr>
              <w:t>生态环境良好。</w:t>
            </w:r>
          </w:p>
        </w:tc>
      </w:tr>
      <w:tr w14:paraId="1E84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5" w:hRule="atLeast"/>
        </w:trPr>
        <w:tc>
          <w:tcPr>
            <w:tcW w:w="704" w:type="dxa"/>
            <w:vAlign w:val="center"/>
          </w:tcPr>
          <w:p w14:paraId="6584F9E6">
            <w:pPr>
              <w:jc w:val="center"/>
              <w:rPr>
                <w:color w:val="auto"/>
                <w:sz w:val="24"/>
                <w:szCs w:val="24"/>
                <w:highlight w:val="none"/>
              </w:rPr>
            </w:pPr>
            <w:r>
              <w:rPr>
                <w:rFonts w:hint="eastAsia"/>
                <w:color w:val="auto"/>
                <w:sz w:val="24"/>
                <w:szCs w:val="24"/>
                <w:highlight w:val="none"/>
              </w:rPr>
              <w:t>环境保护目标</w:t>
            </w:r>
          </w:p>
        </w:tc>
        <w:tc>
          <w:tcPr>
            <w:tcW w:w="9032" w:type="dxa"/>
          </w:tcPr>
          <w:p w14:paraId="75B8731E">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根据</w:t>
            </w:r>
            <w:r>
              <w:rPr>
                <w:rFonts w:hint="eastAsia" w:ascii="Times New Roman" w:hAnsi="Times New Roman" w:cs="Times New Roman"/>
                <w:color w:val="auto"/>
                <w:sz w:val="24"/>
                <w:highlight w:val="none"/>
              </w:rPr>
              <w:t>本项目排污特点和外环境特征确定环境保护目标如下</w:t>
            </w:r>
            <w:r>
              <w:rPr>
                <w:rFonts w:ascii="Times New Roman" w:hAnsi="Times New Roman" w:cs="Times New Roman"/>
                <w:color w:val="auto"/>
                <w:sz w:val="24"/>
                <w:highlight w:val="none"/>
              </w:rPr>
              <w:t>：</w:t>
            </w:r>
          </w:p>
          <w:p w14:paraId="65667A6D">
            <w:pPr>
              <w:spacing w:line="360" w:lineRule="auto"/>
              <w:ind w:firstLine="482" w:firstLineChars="200"/>
              <w:rPr>
                <w:rFonts w:ascii="Times New Roman" w:hAnsi="Times New Roman" w:cs="Times New Roman"/>
                <w:b/>
                <w:color w:val="auto"/>
                <w:sz w:val="24"/>
                <w:highlight w:val="none"/>
              </w:rPr>
            </w:pPr>
            <w:r>
              <w:rPr>
                <w:rFonts w:hint="eastAsia" w:ascii="Times New Roman" w:hAnsi="Times New Roman" w:cs="Times New Roman"/>
                <w:b/>
                <w:color w:val="auto"/>
                <w:sz w:val="24"/>
                <w:highlight w:val="none"/>
              </w:rPr>
              <w:t>1、</w:t>
            </w:r>
            <w:r>
              <w:rPr>
                <w:rFonts w:ascii="Times New Roman" w:hAnsi="Times New Roman" w:cs="Times New Roman"/>
                <w:b/>
                <w:color w:val="auto"/>
                <w:sz w:val="24"/>
                <w:highlight w:val="none"/>
              </w:rPr>
              <w:t>大气环境保护目标</w:t>
            </w:r>
          </w:p>
          <w:p w14:paraId="68BEFAB1">
            <w:pPr>
              <w:spacing w:line="360" w:lineRule="auto"/>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主要指项目场界外</w:t>
            </w:r>
            <w:r>
              <w:rPr>
                <w:rFonts w:ascii="Times New Roman" w:hAnsi="Times New Roman" w:cs="Times New Roman"/>
                <w:color w:val="auto"/>
                <w:sz w:val="24"/>
                <w:highlight w:val="none"/>
              </w:rPr>
              <w:t>500m</w:t>
            </w:r>
            <w:r>
              <w:rPr>
                <w:rFonts w:hint="eastAsia" w:ascii="Times New Roman" w:hAnsi="Times New Roman" w:cs="Times New Roman"/>
                <w:color w:val="auto"/>
                <w:sz w:val="24"/>
                <w:highlight w:val="none"/>
              </w:rPr>
              <w:t>范围内的自然保护区、风景名胜区、居住区和农村地区中人群较集中的区域等保护目标。</w:t>
            </w:r>
          </w:p>
          <w:p w14:paraId="5BA59C7C">
            <w:pPr>
              <w:spacing w:line="360" w:lineRule="auto"/>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根据现场踏勘，本项目周围不涉及名胜古迹和重点文物保护单位，无自然保护区、风景名胜区等特殊需要保护的对象，项目大气环境保护目标如下表所示。</w:t>
            </w:r>
          </w:p>
          <w:p w14:paraId="55F8ACBD">
            <w:pPr>
              <w:pStyle w:val="116"/>
              <w:bidi w:val="0"/>
              <w:rPr>
                <w:color w:val="auto"/>
              </w:rPr>
            </w:pPr>
            <w:r>
              <w:rPr>
                <w:color w:val="auto"/>
              </w:rPr>
              <w:t>本项目</w:t>
            </w:r>
            <w:r>
              <w:rPr>
                <w:rFonts w:hint="eastAsia"/>
                <w:color w:val="auto"/>
              </w:rPr>
              <w:t>大气</w:t>
            </w:r>
            <w:r>
              <w:rPr>
                <w:color w:val="auto"/>
              </w:rPr>
              <w:t>环境保护目标一览表</w:t>
            </w:r>
          </w:p>
          <w:tbl>
            <w:tblPr>
              <w:tblStyle w:val="4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86"/>
              <w:gridCol w:w="691"/>
              <w:gridCol w:w="783"/>
              <w:gridCol w:w="1195"/>
              <w:gridCol w:w="1407"/>
              <w:gridCol w:w="876"/>
              <w:gridCol w:w="1155"/>
              <w:gridCol w:w="1062"/>
              <w:gridCol w:w="1161"/>
            </w:tblGrid>
            <w:tr w14:paraId="5A75A5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5" w:type="pct"/>
                  <w:tcBorders>
                    <w:tl2br w:val="nil"/>
                    <w:tr2bl w:val="nil"/>
                  </w:tcBorders>
                  <w:shd w:val="clear" w:color="auto" w:fill="auto"/>
                  <w:vAlign w:val="center"/>
                </w:tcPr>
                <w:p w14:paraId="72A2DBB4">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391" w:type="pct"/>
                  <w:tcBorders>
                    <w:tl2br w:val="nil"/>
                    <w:tr2bl w:val="nil"/>
                  </w:tcBorders>
                  <w:shd w:val="clear" w:color="auto" w:fill="auto"/>
                  <w:vAlign w:val="center"/>
                </w:tcPr>
                <w:p w14:paraId="6948B479">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方位</w:t>
                  </w:r>
                </w:p>
              </w:tc>
              <w:tc>
                <w:tcPr>
                  <w:tcW w:w="444" w:type="pct"/>
                  <w:tcBorders>
                    <w:tl2br w:val="nil"/>
                    <w:tr2bl w:val="nil"/>
                  </w:tcBorders>
                  <w:shd w:val="clear" w:color="auto" w:fill="auto"/>
                  <w:vAlign w:val="center"/>
                </w:tcPr>
                <w:p w14:paraId="477A27B3">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距离</w:t>
                  </w:r>
                </w:p>
              </w:tc>
              <w:tc>
                <w:tcPr>
                  <w:tcW w:w="677" w:type="pct"/>
                  <w:tcBorders>
                    <w:tl2br w:val="nil"/>
                    <w:tr2bl w:val="nil"/>
                  </w:tcBorders>
                  <w:shd w:val="clear" w:color="auto" w:fill="auto"/>
                  <w:vAlign w:val="center"/>
                </w:tcPr>
                <w:p w14:paraId="390FB39A">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797" w:type="pct"/>
                  <w:tcBorders>
                    <w:tl2br w:val="nil"/>
                    <w:tr2bl w:val="nil"/>
                  </w:tcBorders>
                  <w:shd w:val="clear" w:color="auto" w:fill="auto"/>
                  <w:vAlign w:val="center"/>
                </w:tcPr>
                <w:p w14:paraId="2441F72A">
                  <w:pPr>
                    <w:jc w:val="center"/>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经纬度</w:t>
                  </w:r>
                </w:p>
              </w:tc>
              <w:tc>
                <w:tcPr>
                  <w:tcW w:w="496" w:type="pct"/>
                  <w:tcBorders>
                    <w:tl2br w:val="nil"/>
                    <w:tr2bl w:val="nil"/>
                  </w:tcBorders>
                  <w:shd w:val="clear" w:color="auto" w:fill="auto"/>
                  <w:vAlign w:val="center"/>
                </w:tcPr>
                <w:p w14:paraId="5A93DD0F">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高度/m</w:t>
                  </w:r>
                </w:p>
              </w:tc>
              <w:tc>
                <w:tcPr>
                  <w:tcW w:w="655" w:type="pct"/>
                  <w:tcBorders>
                    <w:tl2br w:val="nil"/>
                    <w:tr2bl w:val="nil"/>
                  </w:tcBorders>
                  <w:shd w:val="clear" w:color="auto" w:fill="auto"/>
                  <w:vAlign w:val="center"/>
                </w:tcPr>
                <w:p w14:paraId="3D66F886">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性质</w:t>
                  </w:r>
                </w:p>
              </w:tc>
              <w:tc>
                <w:tcPr>
                  <w:tcW w:w="602" w:type="pct"/>
                  <w:tcBorders>
                    <w:tl2br w:val="nil"/>
                    <w:tr2bl w:val="nil"/>
                  </w:tcBorders>
                  <w:shd w:val="clear" w:color="auto" w:fill="auto"/>
                  <w:vAlign w:val="center"/>
                </w:tcPr>
                <w:p w14:paraId="27A19478">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规模</w:t>
                  </w:r>
                </w:p>
              </w:tc>
              <w:tc>
                <w:tcPr>
                  <w:tcW w:w="658" w:type="pct"/>
                  <w:tcBorders>
                    <w:tl2br w:val="nil"/>
                    <w:tr2bl w:val="nil"/>
                  </w:tcBorders>
                  <w:shd w:val="clear" w:color="auto" w:fill="auto"/>
                  <w:vAlign w:val="center"/>
                </w:tcPr>
                <w:p w14:paraId="6D83606B">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保护级别</w:t>
                  </w:r>
                </w:p>
              </w:tc>
            </w:tr>
            <w:tr w14:paraId="420AE8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5" w:type="pct"/>
                  <w:tcBorders>
                    <w:tl2br w:val="nil"/>
                    <w:tr2bl w:val="nil"/>
                  </w:tcBorders>
                  <w:shd w:val="clear" w:color="auto" w:fill="auto"/>
                  <w:noWrap/>
                  <w:vAlign w:val="center"/>
                </w:tcPr>
                <w:p w14:paraId="5F9BE801">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391" w:type="pct"/>
                  <w:vMerge w:val="restart"/>
                  <w:tcBorders>
                    <w:tl2br w:val="nil"/>
                    <w:tr2bl w:val="nil"/>
                  </w:tcBorders>
                  <w:shd w:val="clear" w:color="auto" w:fill="auto"/>
                  <w:noWrap/>
                  <w:vAlign w:val="center"/>
                </w:tcPr>
                <w:p w14:paraId="6B13F15D">
                  <w:pPr>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西北侧</w:t>
                  </w:r>
                </w:p>
              </w:tc>
              <w:tc>
                <w:tcPr>
                  <w:tcW w:w="444" w:type="pct"/>
                  <w:tcBorders>
                    <w:tl2br w:val="nil"/>
                    <w:tr2bl w:val="nil"/>
                  </w:tcBorders>
                  <w:shd w:val="clear" w:color="auto" w:fill="auto"/>
                  <w:noWrap/>
                  <w:vAlign w:val="center"/>
                </w:tcPr>
                <w:p w14:paraId="45603EE6">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紧邻</w:t>
                  </w:r>
                </w:p>
              </w:tc>
              <w:tc>
                <w:tcPr>
                  <w:tcW w:w="677" w:type="pct"/>
                  <w:tcBorders>
                    <w:tl2br w:val="nil"/>
                    <w:tr2bl w:val="nil"/>
                  </w:tcBorders>
                  <w:shd w:val="clear" w:color="auto" w:fill="auto"/>
                  <w:noWrap/>
                  <w:vAlign w:val="center"/>
                </w:tcPr>
                <w:p w14:paraId="0B254F7D">
                  <w:pPr>
                    <w:jc w:val="center"/>
                    <w:rPr>
                      <w:rFonts w:hint="default" w:ascii="Times New Roman" w:hAnsi="Times New Roman" w:cs="Times New Roman"/>
                      <w:color w:val="auto"/>
                      <w:sz w:val="21"/>
                      <w:szCs w:val="21"/>
                    </w:rPr>
                  </w:pPr>
                  <w:r>
                    <w:rPr>
                      <w:rFonts w:hint="eastAsia" w:ascii="Times New Roman" w:hAnsi="Times New Roman" w:eastAsia="宋体" w:cs="Times New Roman"/>
                      <w:b w:val="0"/>
                      <w:bCs w:val="0"/>
                      <w:color w:val="auto"/>
                      <w:kern w:val="0"/>
                      <w:sz w:val="21"/>
                      <w:szCs w:val="21"/>
                      <w:highlight w:val="none"/>
                      <w:lang w:val="en-US" w:eastAsia="zh-CN" w:bidi="ar"/>
                    </w:rPr>
                    <w:t>马尔康市公安局交警大队</w:t>
                  </w:r>
                </w:p>
              </w:tc>
              <w:tc>
                <w:tcPr>
                  <w:tcW w:w="797" w:type="pct"/>
                  <w:tcBorders>
                    <w:tl2br w:val="nil"/>
                    <w:tr2bl w:val="nil"/>
                  </w:tcBorders>
                  <w:shd w:val="clear" w:color="auto" w:fill="auto"/>
                  <w:noWrap/>
                  <w:vAlign w:val="center"/>
                </w:tcPr>
                <w:p w14:paraId="7C8265DF">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102°11′12.87920″</w:t>
                  </w:r>
                  <w:r>
                    <w:rPr>
                      <w:rFonts w:hint="eastAsia" w:ascii="Times New Roman" w:hAnsi="Times New Roman" w:cs="Times New Roman"/>
                      <w:color w:val="auto"/>
                      <w:sz w:val="21"/>
                      <w:szCs w:val="21"/>
                      <w:lang w:val="en-US" w:eastAsia="zh-CN"/>
                    </w:rPr>
                    <w:t>E</w:t>
                  </w:r>
                  <w:r>
                    <w:rPr>
                      <w:rFonts w:hint="default" w:ascii="Times New Roman" w:hAnsi="Times New Roman" w:cs="Times New Roman"/>
                      <w:color w:val="auto"/>
                      <w:sz w:val="21"/>
                      <w:szCs w:val="21"/>
                      <w:lang w:val="en-US" w:eastAsia="zh-CN"/>
                    </w:rPr>
                    <w:t>,31°55′12.31400″</w:t>
                  </w:r>
                  <w:r>
                    <w:rPr>
                      <w:rFonts w:hint="eastAsia" w:ascii="Times New Roman" w:hAnsi="Times New Roman" w:cs="Times New Roman"/>
                      <w:color w:val="auto"/>
                      <w:sz w:val="21"/>
                      <w:szCs w:val="21"/>
                      <w:lang w:val="en-US" w:eastAsia="zh-CN"/>
                    </w:rPr>
                    <w:t>N</w:t>
                  </w:r>
                </w:p>
              </w:tc>
              <w:tc>
                <w:tcPr>
                  <w:tcW w:w="496" w:type="pct"/>
                  <w:tcBorders>
                    <w:tl2br w:val="nil"/>
                    <w:tr2bl w:val="nil"/>
                  </w:tcBorders>
                  <w:shd w:val="clear" w:color="auto" w:fill="auto"/>
                  <w:noWrap/>
                  <w:vAlign w:val="center"/>
                </w:tcPr>
                <w:p w14:paraId="4D8E5B59">
                  <w:pPr>
                    <w:widowControl/>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4F/15m</w:t>
                  </w:r>
                </w:p>
              </w:tc>
              <w:tc>
                <w:tcPr>
                  <w:tcW w:w="655" w:type="pct"/>
                  <w:tcBorders>
                    <w:tl2br w:val="nil"/>
                    <w:tr2bl w:val="nil"/>
                  </w:tcBorders>
                  <w:shd w:val="clear" w:color="auto" w:fill="auto"/>
                  <w:noWrap/>
                  <w:vAlign w:val="center"/>
                </w:tcPr>
                <w:p w14:paraId="124F6D1C">
                  <w:pPr>
                    <w:widowControl/>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事业单位</w:t>
                  </w:r>
                </w:p>
              </w:tc>
              <w:tc>
                <w:tcPr>
                  <w:tcW w:w="602" w:type="pct"/>
                  <w:tcBorders>
                    <w:tl2br w:val="nil"/>
                    <w:tr2bl w:val="nil"/>
                  </w:tcBorders>
                  <w:shd w:val="clear" w:color="auto" w:fill="auto"/>
                  <w:noWrap/>
                  <w:vAlign w:val="center"/>
                </w:tcPr>
                <w:p w14:paraId="7E217F5D">
                  <w:pPr>
                    <w:widowControl/>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约100人</w:t>
                  </w:r>
                </w:p>
              </w:tc>
              <w:tc>
                <w:tcPr>
                  <w:tcW w:w="658" w:type="pct"/>
                  <w:vMerge w:val="restart"/>
                  <w:tcBorders>
                    <w:tl2br w:val="nil"/>
                    <w:tr2bl w:val="nil"/>
                  </w:tcBorders>
                  <w:shd w:val="clear" w:color="auto" w:fill="auto"/>
                  <w:noWrap/>
                  <w:vAlign w:val="center"/>
                </w:tcPr>
                <w:p w14:paraId="52F5FF42">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环境空气质量标准</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（GB3095-2012）</w:t>
                  </w:r>
                </w:p>
              </w:tc>
            </w:tr>
            <w:tr w14:paraId="39E92D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5" w:type="pct"/>
                  <w:tcBorders>
                    <w:tl2br w:val="nil"/>
                    <w:tr2bl w:val="nil"/>
                  </w:tcBorders>
                  <w:shd w:val="clear" w:color="auto" w:fill="auto"/>
                  <w:noWrap/>
                  <w:vAlign w:val="center"/>
                </w:tcPr>
                <w:p w14:paraId="55015AC2">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91" w:type="pct"/>
                  <w:vMerge w:val="continue"/>
                  <w:tcBorders>
                    <w:tl2br w:val="nil"/>
                    <w:tr2bl w:val="nil"/>
                  </w:tcBorders>
                  <w:shd w:val="clear" w:color="auto" w:fill="auto"/>
                  <w:noWrap/>
                  <w:vAlign w:val="center"/>
                </w:tcPr>
                <w:p w14:paraId="0C3AE3C7">
                  <w:pPr>
                    <w:jc w:val="center"/>
                    <w:rPr>
                      <w:rFonts w:hint="default" w:ascii="Times New Roman" w:hAnsi="Times New Roman" w:cs="Times New Roman"/>
                      <w:color w:val="auto"/>
                      <w:sz w:val="21"/>
                      <w:szCs w:val="21"/>
                    </w:rPr>
                  </w:pPr>
                </w:p>
              </w:tc>
              <w:tc>
                <w:tcPr>
                  <w:tcW w:w="444" w:type="pct"/>
                  <w:tcBorders>
                    <w:tl2br w:val="nil"/>
                    <w:tr2bl w:val="nil"/>
                  </w:tcBorders>
                  <w:shd w:val="clear" w:color="auto" w:fill="auto"/>
                  <w:noWrap/>
                  <w:vAlign w:val="center"/>
                </w:tcPr>
                <w:p w14:paraId="7C9AB88B">
                  <w:pPr>
                    <w:widowControl/>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339m</w:t>
                  </w:r>
                </w:p>
              </w:tc>
              <w:tc>
                <w:tcPr>
                  <w:tcW w:w="677" w:type="pct"/>
                  <w:tcBorders>
                    <w:tl2br w:val="nil"/>
                    <w:tr2bl w:val="nil"/>
                  </w:tcBorders>
                  <w:shd w:val="clear" w:color="auto" w:fill="auto"/>
                  <w:noWrap/>
                  <w:vAlign w:val="center"/>
                </w:tcPr>
                <w:p w14:paraId="1F2E5CED">
                  <w:pPr>
                    <w:widowControl/>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highlight w:val="none"/>
                      <w:lang w:val="en-US" w:eastAsia="zh-CN"/>
                    </w:rPr>
                    <w:t>白湾派出所</w:t>
                  </w:r>
                </w:p>
              </w:tc>
              <w:tc>
                <w:tcPr>
                  <w:tcW w:w="797" w:type="pct"/>
                  <w:tcBorders>
                    <w:tl2br w:val="nil"/>
                    <w:tr2bl w:val="nil"/>
                  </w:tcBorders>
                  <w:shd w:val="clear" w:color="auto" w:fill="auto"/>
                  <w:noWrap/>
                  <w:vAlign w:val="center"/>
                </w:tcPr>
                <w:p w14:paraId="1B9A653F">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102°11′2.75976″</w:t>
                  </w:r>
                  <w:r>
                    <w:rPr>
                      <w:rFonts w:hint="eastAsia" w:ascii="Times New Roman" w:hAnsi="Times New Roman" w:cs="Times New Roman"/>
                      <w:color w:val="auto"/>
                      <w:sz w:val="21"/>
                      <w:szCs w:val="21"/>
                      <w:lang w:val="en-US" w:eastAsia="zh-CN"/>
                    </w:rPr>
                    <w:t>E</w:t>
                  </w:r>
                  <w:r>
                    <w:rPr>
                      <w:rFonts w:hint="default" w:ascii="Times New Roman" w:hAnsi="Times New Roman" w:cs="Times New Roman"/>
                      <w:color w:val="auto"/>
                      <w:sz w:val="21"/>
                      <w:szCs w:val="21"/>
                      <w:lang w:val="en-US" w:eastAsia="zh-CN"/>
                    </w:rPr>
                    <w:t>,31°55′21.54509″</w:t>
                  </w:r>
                  <w:r>
                    <w:rPr>
                      <w:rFonts w:hint="eastAsia" w:ascii="Times New Roman" w:hAnsi="Times New Roman" w:cs="Times New Roman"/>
                      <w:color w:val="auto"/>
                      <w:sz w:val="21"/>
                      <w:szCs w:val="21"/>
                      <w:lang w:val="en-US" w:eastAsia="zh-CN"/>
                    </w:rPr>
                    <w:t>N</w:t>
                  </w:r>
                </w:p>
              </w:tc>
              <w:tc>
                <w:tcPr>
                  <w:tcW w:w="496" w:type="pct"/>
                  <w:tcBorders>
                    <w:tl2br w:val="nil"/>
                    <w:tr2bl w:val="nil"/>
                  </w:tcBorders>
                  <w:shd w:val="clear" w:color="auto" w:fill="auto"/>
                  <w:noWrap/>
                  <w:vAlign w:val="center"/>
                </w:tcPr>
                <w:p w14:paraId="22C2CC75">
                  <w:pPr>
                    <w:widowControl/>
                    <w:jc w:val="center"/>
                    <w:textAlignment w:val="center"/>
                    <w:rPr>
                      <w:rFonts w:hint="default" w:ascii="Times New Roman" w:hAnsi="Times New Roman" w:cs="Times New Roman"/>
                      <w:color w:val="auto"/>
                      <w:sz w:val="21"/>
                      <w:szCs w:val="21"/>
                      <w:lang w:val="en-US"/>
                    </w:rPr>
                  </w:pPr>
                  <w:r>
                    <w:rPr>
                      <w:rFonts w:hint="eastAsia" w:ascii="Times New Roman" w:hAnsi="Times New Roman" w:eastAsia="宋体" w:cs="Times New Roman"/>
                      <w:b w:val="0"/>
                      <w:bCs w:val="0"/>
                      <w:color w:val="auto"/>
                      <w:kern w:val="0"/>
                      <w:sz w:val="21"/>
                      <w:szCs w:val="21"/>
                      <w:highlight w:val="none"/>
                      <w:lang w:val="en-US" w:eastAsia="zh-CN" w:bidi="ar"/>
                    </w:rPr>
                    <w:t>2F/6m</w:t>
                  </w:r>
                </w:p>
              </w:tc>
              <w:tc>
                <w:tcPr>
                  <w:tcW w:w="655" w:type="pct"/>
                  <w:tcBorders>
                    <w:tl2br w:val="nil"/>
                    <w:tr2bl w:val="nil"/>
                  </w:tcBorders>
                  <w:shd w:val="clear" w:color="auto" w:fill="auto"/>
                  <w:noWrap/>
                  <w:vAlign w:val="center"/>
                </w:tcPr>
                <w:p w14:paraId="14B5B5F5">
                  <w:pPr>
                    <w:widowControl/>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b w:val="0"/>
                      <w:bCs w:val="0"/>
                      <w:color w:val="auto"/>
                      <w:kern w:val="0"/>
                      <w:sz w:val="21"/>
                      <w:szCs w:val="21"/>
                      <w:highlight w:val="none"/>
                      <w:lang w:val="en-US" w:eastAsia="zh-CN" w:bidi="ar"/>
                    </w:rPr>
                    <w:t>事业单位</w:t>
                  </w:r>
                </w:p>
              </w:tc>
              <w:tc>
                <w:tcPr>
                  <w:tcW w:w="602" w:type="pct"/>
                  <w:tcBorders>
                    <w:tl2br w:val="nil"/>
                    <w:tr2bl w:val="nil"/>
                  </w:tcBorders>
                  <w:shd w:val="clear" w:color="auto" w:fill="auto"/>
                  <w:noWrap/>
                  <w:vAlign w:val="center"/>
                </w:tcPr>
                <w:p w14:paraId="568A75DE">
                  <w:pPr>
                    <w:widowControl/>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约30人</w:t>
                  </w:r>
                </w:p>
              </w:tc>
              <w:tc>
                <w:tcPr>
                  <w:tcW w:w="658" w:type="pct"/>
                  <w:vMerge w:val="continue"/>
                  <w:tcBorders>
                    <w:tl2br w:val="nil"/>
                    <w:tr2bl w:val="nil"/>
                  </w:tcBorders>
                  <w:shd w:val="clear" w:color="auto" w:fill="auto"/>
                  <w:noWrap/>
                  <w:vAlign w:val="center"/>
                </w:tcPr>
                <w:p w14:paraId="02E914A5">
                  <w:pPr>
                    <w:jc w:val="center"/>
                    <w:rPr>
                      <w:rFonts w:hint="default" w:ascii="Times New Roman" w:hAnsi="Times New Roman" w:cs="Times New Roman"/>
                      <w:color w:val="auto"/>
                      <w:sz w:val="21"/>
                      <w:szCs w:val="21"/>
                      <w:lang w:val="en-US" w:eastAsia="zh-CN"/>
                    </w:rPr>
                  </w:pPr>
                </w:p>
              </w:tc>
            </w:tr>
            <w:tr w14:paraId="290E89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5" w:type="pct"/>
                  <w:tcBorders>
                    <w:tl2br w:val="nil"/>
                    <w:tr2bl w:val="nil"/>
                  </w:tcBorders>
                  <w:shd w:val="clear" w:color="auto" w:fill="auto"/>
                  <w:noWrap/>
                  <w:vAlign w:val="center"/>
                </w:tcPr>
                <w:p w14:paraId="3931311B">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391" w:type="pct"/>
                  <w:tcBorders>
                    <w:tl2br w:val="nil"/>
                    <w:tr2bl w:val="nil"/>
                  </w:tcBorders>
                  <w:shd w:val="clear" w:color="auto" w:fill="auto"/>
                  <w:noWrap/>
                  <w:vAlign w:val="center"/>
                </w:tcPr>
                <w:p w14:paraId="607E6FE6">
                  <w:pPr>
                    <w:widowControl/>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b w:val="0"/>
                      <w:bCs w:val="0"/>
                      <w:color w:val="auto"/>
                      <w:kern w:val="0"/>
                      <w:sz w:val="21"/>
                      <w:szCs w:val="21"/>
                      <w:highlight w:val="none"/>
                      <w:lang w:val="en-US" w:eastAsia="zh-CN" w:bidi="ar"/>
                    </w:rPr>
                    <w:t>西侧</w:t>
                  </w:r>
                </w:p>
              </w:tc>
              <w:tc>
                <w:tcPr>
                  <w:tcW w:w="444" w:type="pct"/>
                  <w:tcBorders>
                    <w:tl2br w:val="nil"/>
                    <w:tr2bl w:val="nil"/>
                  </w:tcBorders>
                  <w:shd w:val="clear" w:color="auto" w:fill="auto"/>
                  <w:noWrap/>
                  <w:vAlign w:val="center"/>
                </w:tcPr>
                <w:p w14:paraId="36D99BAA">
                  <w:pPr>
                    <w:widowControl/>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179m</w:t>
                  </w:r>
                </w:p>
              </w:tc>
              <w:tc>
                <w:tcPr>
                  <w:tcW w:w="677" w:type="pct"/>
                  <w:tcBorders>
                    <w:tl2br w:val="nil"/>
                    <w:tr2bl w:val="nil"/>
                  </w:tcBorders>
                  <w:shd w:val="clear" w:color="auto" w:fill="auto"/>
                  <w:noWrap/>
                  <w:vAlign w:val="center"/>
                </w:tcPr>
                <w:p w14:paraId="1C613DC3">
                  <w:pPr>
                    <w:jc w:val="center"/>
                    <w:rPr>
                      <w:rFonts w:hint="default" w:ascii="Times New Roman" w:hAnsi="Times New Roman" w:cs="Times New Roman"/>
                      <w:color w:val="auto"/>
                      <w:sz w:val="21"/>
                      <w:szCs w:val="21"/>
                    </w:rPr>
                  </w:pPr>
                  <w:r>
                    <w:rPr>
                      <w:rFonts w:hint="eastAsia" w:ascii="Times New Roman" w:hAnsi="Times New Roman" w:eastAsia="宋体" w:cs="Times New Roman"/>
                      <w:b w:val="0"/>
                      <w:bCs w:val="0"/>
                      <w:color w:val="auto"/>
                      <w:kern w:val="0"/>
                      <w:sz w:val="21"/>
                      <w:szCs w:val="21"/>
                      <w:highlight w:val="none"/>
                      <w:lang w:val="en-US" w:eastAsia="zh-CN" w:bidi="ar"/>
                    </w:rPr>
                    <w:t>自建房</w:t>
                  </w:r>
                </w:p>
              </w:tc>
              <w:tc>
                <w:tcPr>
                  <w:tcW w:w="797" w:type="pct"/>
                  <w:tcBorders>
                    <w:tl2br w:val="nil"/>
                    <w:tr2bl w:val="nil"/>
                  </w:tcBorders>
                  <w:shd w:val="clear" w:color="auto" w:fill="auto"/>
                  <w:noWrap/>
                  <w:vAlign w:val="center"/>
                </w:tcPr>
                <w:p w14:paraId="0236D4C9">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102°11′5.90760″</w:t>
                  </w:r>
                  <w:r>
                    <w:rPr>
                      <w:rFonts w:hint="eastAsia" w:ascii="Times New Roman" w:hAnsi="Times New Roman" w:cs="Times New Roman"/>
                      <w:color w:val="auto"/>
                      <w:sz w:val="21"/>
                      <w:szCs w:val="21"/>
                      <w:lang w:val="en-US" w:eastAsia="zh-CN"/>
                    </w:rPr>
                    <w:t>E</w:t>
                  </w:r>
                  <w:r>
                    <w:rPr>
                      <w:rFonts w:hint="default" w:ascii="Times New Roman" w:hAnsi="Times New Roman" w:cs="Times New Roman"/>
                      <w:color w:val="auto"/>
                      <w:sz w:val="21"/>
                      <w:szCs w:val="21"/>
                      <w:lang w:val="en-US" w:eastAsia="zh-CN"/>
                    </w:rPr>
                    <w:t>,31°55′9.46550″</w:t>
                  </w:r>
                  <w:r>
                    <w:rPr>
                      <w:rFonts w:hint="eastAsia" w:ascii="Times New Roman" w:hAnsi="Times New Roman" w:cs="Times New Roman"/>
                      <w:color w:val="auto"/>
                      <w:sz w:val="21"/>
                      <w:szCs w:val="21"/>
                      <w:lang w:val="en-US" w:eastAsia="zh-CN"/>
                    </w:rPr>
                    <w:t>N</w:t>
                  </w:r>
                </w:p>
              </w:tc>
              <w:tc>
                <w:tcPr>
                  <w:tcW w:w="496" w:type="pct"/>
                  <w:tcBorders>
                    <w:tl2br w:val="nil"/>
                    <w:tr2bl w:val="nil"/>
                  </w:tcBorders>
                  <w:shd w:val="clear" w:color="auto" w:fill="auto"/>
                  <w:noWrap/>
                  <w:vAlign w:val="center"/>
                </w:tcPr>
                <w:p w14:paraId="7ADA1B54">
                  <w:pPr>
                    <w:widowControl/>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2F/6m</w:t>
                  </w:r>
                </w:p>
              </w:tc>
              <w:tc>
                <w:tcPr>
                  <w:tcW w:w="655" w:type="pct"/>
                  <w:tcBorders>
                    <w:tl2br w:val="nil"/>
                    <w:tr2bl w:val="nil"/>
                  </w:tcBorders>
                  <w:shd w:val="clear" w:color="auto" w:fill="auto"/>
                  <w:noWrap/>
                  <w:vAlign w:val="center"/>
                </w:tcPr>
                <w:p w14:paraId="78E86D02">
                  <w:pPr>
                    <w:widowControl/>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b w:val="0"/>
                      <w:bCs w:val="0"/>
                      <w:color w:val="auto"/>
                      <w:kern w:val="0"/>
                      <w:sz w:val="21"/>
                      <w:szCs w:val="21"/>
                      <w:highlight w:val="none"/>
                      <w:lang w:val="en-US" w:eastAsia="zh-CN" w:bidi="ar"/>
                    </w:rPr>
                    <w:t>自住商业</w:t>
                  </w:r>
                </w:p>
              </w:tc>
              <w:tc>
                <w:tcPr>
                  <w:tcW w:w="602" w:type="pct"/>
                  <w:tcBorders>
                    <w:tl2br w:val="nil"/>
                    <w:tr2bl w:val="nil"/>
                  </w:tcBorders>
                  <w:shd w:val="clear" w:color="auto" w:fill="auto"/>
                  <w:noWrap/>
                  <w:vAlign w:val="center"/>
                </w:tcPr>
                <w:p w14:paraId="55963067">
                  <w:pPr>
                    <w:widowControl/>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约6人</w:t>
                  </w:r>
                </w:p>
              </w:tc>
              <w:tc>
                <w:tcPr>
                  <w:tcW w:w="658" w:type="pct"/>
                  <w:vMerge w:val="continue"/>
                  <w:tcBorders>
                    <w:tl2br w:val="nil"/>
                    <w:tr2bl w:val="nil"/>
                  </w:tcBorders>
                  <w:shd w:val="clear" w:color="auto" w:fill="auto"/>
                  <w:noWrap/>
                  <w:vAlign w:val="center"/>
                </w:tcPr>
                <w:p w14:paraId="152B6A24">
                  <w:pPr>
                    <w:jc w:val="center"/>
                    <w:rPr>
                      <w:rFonts w:hint="default" w:ascii="Times New Roman" w:hAnsi="Times New Roman" w:cs="Times New Roman"/>
                      <w:color w:val="auto"/>
                      <w:sz w:val="21"/>
                      <w:szCs w:val="21"/>
                      <w:lang w:val="en-US" w:eastAsia="zh-CN"/>
                    </w:rPr>
                  </w:pPr>
                </w:p>
              </w:tc>
            </w:tr>
            <w:tr w14:paraId="2FE403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5" w:type="pct"/>
                  <w:tcBorders>
                    <w:tl2br w:val="nil"/>
                    <w:tr2bl w:val="nil"/>
                  </w:tcBorders>
                  <w:shd w:val="clear" w:color="auto" w:fill="auto"/>
                  <w:noWrap/>
                  <w:vAlign w:val="center"/>
                </w:tcPr>
                <w:p w14:paraId="6520B72B">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391" w:type="pct"/>
                  <w:vMerge w:val="restart"/>
                  <w:tcBorders>
                    <w:tl2br w:val="nil"/>
                    <w:tr2bl w:val="nil"/>
                  </w:tcBorders>
                  <w:shd w:val="clear" w:color="auto" w:fill="auto"/>
                  <w:noWrap/>
                  <w:vAlign w:val="center"/>
                </w:tcPr>
                <w:p w14:paraId="74B61A28">
                  <w:pPr>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西南侧</w:t>
                  </w:r>
                </w:p>
              </w:tc>
              <w:tc>
                <w:tcPr>
                  <w:tcW w:w="444" w:type="pct"/>
                  <w:tcBorders>
                    <w:tl2br w:val="nil"/>
                    <w:tr2bl w:val="nil"/>
                  </w:tcBorders>
                  <w:shd w:val="clear" w:color="auto" w:fill="auto"/>
                  <w:noWrap/>
                  <w:vAlign w:val="center"/>
                </w:tcPr>
                <w:p w14:paraId="2D109A6B">
                  <w:pPr>
                    <w:widowControl/>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20m</w:t>
                  </w:r>
                </w:p>
              </w:tc>
              <w:tc>
                <w:tcPr>
                  <w:tcW w:w="677" w:type="pct"/>
                  <w:tcBorders>
                    <w:tl2br w:val="nil"/>
                    <w:tr2bl w:val="nil"/>
                  </w:tcBorders>
                  <w:shd w:val="clear" w:color="auto" w:fill="auto"/>
                  <w:noWrap/>
                  <w:vAlign w:val="center"/>
                </w:tcPr>
                <w:p w14:paraId="5234A967">
                  <w:pPr>
                    <w:widowControl/>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highlight w:val="none"/>
                      <w:lang w:val="en-US" w:eastAsia="zh-CN"/>
                    </w:rPr>
                    <w:t>嘉绒印象小区</w:t>
                  </w:r>
                </w:p>
              </w:tc>
              <w:tc>
                <w:tcPr>
                  <w:tcW w:w="797" w:type="pct"/>
                  <w:tcBorders>
                    <w:tl2br w:val="nil"/>
                    <w:tr2bl w:val="nil"/>
                  </w:tcBorders>
                  <w:shd w:val="clear" w:color="auto" w:fill="auto"/>
                  <w:noWrap/>
                  <w:vAlign w:val="center"/>
                </w:tcPr>
                <w:p w14:paraId="108DEC54">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102°11′11.83636″</w:t>
                  </w:r>
                  <w:r>
                    <w:rPr>
                      <w:rFonts w:hint="eastAsia" w:ascii="Times New Roman" w:hAnsi="Times New Roman" w:cs="Times New Roman"/>
                      <w:color w:val="auto"/>
                      <w:sz w:val="21"/>
                      <w:szCs w:val="21"/>
                      <w:lang w:val="en-US" w:eastAsia="zh-CN"/>
                    </w:rPr>
                    <w:t>E</w:t>
                  </w:r>
                  <w:r>
                    <w:rPr>
                      <w:rFonts w:hint="default" w:ascii="Times New Roman" w:hAnsi="Times New Roman" w:cs="Times New Roman"/>
                      <w:color w:val="auto"/>
                      <w:sz w:val="21"/>
                      <w:szCs w:val="21"/>
                      <w:lang w:val="en-US" w:eastAsia="zh-CN"/>
                    </w:rPr>
                    <w:t>,31°55′8.98270″</w:t>
                  </w:r>
                  <w:r>
                    <w:rPr>
                      <w:rFonts w:hint="eastAsia" w:ascii="Times New Roman" w:hAnsi="Times New Roman" w:cs="Times New Roman"/>
                      <w:color w:val="auto"/>
                      <w:sz w:val="21"/>
                      <w:szCs w:val="21"/>
                      <w:lang w:val="en-US" w:eastAsia="zh-CN"/>
                    </w:rPr>
                    <w:t>N</w:t>
                  </w:r>
                </w:p>
              </w:tc>
              <w:tc>
                <w:tcPr>
                  <w:tcW w:w="496" w:type="pct"/>
                  <w:tcBorders>
                    <w:tl2br w:val="nil"/>
                    <w:tr2bl w:val="nil"/>
                  </w:tcBorders>
                  <w:shd w:val="clear" w:color="auto" w:fill="auto"/>
                  <w:noWrap/>
                  <w:vAlign w:val="center"/>
                </w:tcPr>
                <w:p w14:paraId="1F637FF9">
                  <w:pPr>
                    <w:widowControl/>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20F/60m</w:t>
                  </w:r>
                </w:p>
              </w:tc>
              <w:tc>
                <w:tcPr>
                  <w:tcW w:w="655" w:type="pct"/>
                  <w:tcBorders>
                    <w:tl2br w:val="nil"/>
                    <w:tr2bl w:val="nil"/>
                  </w:tcBorders>
                  <w:shd w:val="clear" w:color="auto" w:fill="auto"/>
                  <w:noWrap/>
                  <w:vAlign w:val="center"/>
                </w:tcPr>
                <w:p w14:paraId="11D0B775">
                  <w:pPr>
                    <w:widowControl/>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住宅</w:t>
                  </w:r>
                </w:p>
              </w:tc>
              <w:tc>
                <w:tcPr>
                  <w:tcW w:w="602" w:type="pct"/>
                  <w:tcBorders>
                    <w:tl2br w:val="nil"/>
                    <w:tr2bl w:val="nil"/>
                  </w:tcBorders>
                  <w:shd w:val="clear" w:color="auto" w:fill="auto"/>
                  <w:noWrap/>
                  <w:vAlign w:val="center"/>
                </w:tcPr>
                <w:p w14:paraId="4E64A7EA">
                  <w:pPr>
                    <w:widowControl/>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约1200人</w:t>
                  </w:r>
                </w:p>
              </w:tc>
              <w:tc>
                <w:tcPr>
                  <w:tcW w:w="658" w:type="pct"/>
                  <w:vMerge w:val="continue"/>
                  <w:tcBorders>
                    <w:tl2br w:val="nil"/>
                    <w:tr2bl w:val="nil"/>
                  </w:tcBorders>
                  <w:shd w:val="clear" w:color="auto" w:fill="auto"/>
                  <w:noWrap/>
                  <w:vAlign w:val="center"/>
                </w:tcPr>
                <w:p w14:paraId="3EE70F18">
                  <w:pPr>
                    <w:jc w:val="center"/>
                    <w:rPr>
                      <w:rFonts w:hint="default" w:ascii="Times New Roman" w:hAnsi="Times New Roman" w:cs="Times New Roman"/>
                      <w:color w:val="auto"/>
                      <w:sz w:val="21"/>
                      <w:szCs w:val="21"/>
                      <w:lang w:val="en-US" w:eastAsia="zh-CN"/>
                    </w:rPr>
                  </w:pPr>
                </w:p>
              </w:tc>
            </w:tr>
            <w:tr w14:paraId="2F46FD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5" w:type="pct"/>
                  <w:tcBorders>
                    <w:tl2br w:val="nil"/>
                    <w:tr2bl w:val="nil"/>
                  </w:tcBorders>
                  <w:shd w:val="clear" w:color="auto" w:fill="auto"/>
                  <w:noWrap/>
                  <w:vAlign w:val="center"/>
                </w:tcPr>
                <w:p w14:paraId="70A3F4CF">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391" w:type="pct"/>
                  <w:vMerge w:val="continue"/>
                  <w:tcBorders>
                    <w:tl2br w:val="nil"/>
                    <w:tr2bl w:val="nil"/>
                  </w:tcBorders>
                  <w:shd w:val="clear" w:color="auto" w:fill="auto"/>
                  <w:noWrap/>
                  <w:vAlign w:val="center"/>
                </w:tcPr>
                <w:p w14:paraId="56BD27A0">
                  <w:pPr>
                    <w:jc w:val="center"/>
                    <w:rPr>
                      <w:rFonts w:hint="default" w:ascii="Times New Roman" w:hAnsi="Times New Roman" w:cs="Times New Roman"/>
                      <w:color w:val="auto"/>
                      <w:sz w:val="21"/>
                      <w:szCs w:val="21"/>
                    </w:rPr>
                  </w:pPr>
                </w:p>
              </w:tc>
              <w:tc>
                <w:tcPr>
                  <w:tcW w:w="444" w:type="pct"/>
                  <w:tcBorders>
                    <w:tl2br w:val="nil"/>
                    <w:tr2bl w:val="nil"/>
                  </w:tcBorders>
                  <w:shd w:val="clear" w:color="auto" w:fill="auto"/>
                  <w:noWrap/>
                  <w:vAlign w:val="center"/>
                </w:tcPr>
                <w:p w14:paraId="7C2C2E2F">
                  <w:pPr>
                    <w:widowControl/>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20m</w:t>
                  </w:r>
                </w:p>
              </w:tc>
              <w:tc>
                <w:tcPr>
                  <w:tcW w:w="677" w:type="pct"/>
                  <w:tcBorders>
                    <w:tl2br w:val="nil"/>
                    <w:tr2bl w:val="nil"/>
                  </w:tcBorders>
                  <w:shd w:val="clear" w:color="auto" w:fill="auto"/>
                  <w:noWrap/>
                  <w:vAlign w:val="center"/>
                </w:tcPr>
                <w:p w14:paraId="15B899C0">
                  <w:pPr>
                    <w:widowControl/>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kern w:val="0"/>
                      <w:sz w:val="21"/>
                      <w:szCs w:val="21"/>
                      <w:highlight w:val="none"/>
                      <w:lang w:val="en-US" w:eastAsia="zh-CN" w:bidi="ar"/>
                    </w:rPr>
                    <w:t>马尔康市公安局防暴大队</w:t>
                  </w:r>
                </w:p>
              </w:tc>
              <w:tc>
                <w:tcPr>
                  <w:tcW w:w="797" w:type="pct"/>
                  <w:tcBorders>
                    <w:tl2br w:val="nil"/>
                    <w:tr2bl w:val="nil"/>
                  </w:tcBorders>
                  <w:shd w:val="clear" w:color="auto" w:fill="auto"/>
                  <w:noWrap/>
                  <w:vAlign w:val="center"/>
                </w:tcPr>
                <w:p w14:paraId="31028780">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102°11′13.42959″</w:t>
                  </w:r>
                  <w:r>
                    <w:rPr>
                      <w:rFonts w:hint="eastAsia" w:ascii="Times New Roman" w:hAnsi="Times New Roman" w:cs="Times New Roman"/>
                      <w:color w:val="auto"/>
                      <w:sz w:val="21"/>
                      <w:szCs w:val="21"/>
                      <w:lang w:val="en-US" w:eastAsia="zh-CN"/>
                    </w:rPr>
                    <w:t>E</w:t>
                  </w:r>
                  <w:r>
                    <w:rPr>
                      <w:rFonts w:hint="default" w:ascii="Times New Roman" w:hAnsi="Times New Roman" w:cs="Times New Roman"/>
                      <w:color w:val="auto"/>
                      <w:sz w:val="21"/>
                      <w:szCs w:val="21"/>
                      <w:lang w:val="en-US" w:eastAsia="zh-CN"/>
                    </w:rPr>
                    <w:t>,31°55′8.42265″</w:t>
                  </w:r>
                  <w:r>
                    <w:rPr>
                      <w:rFonts w:hint="eastAsia" w:ascii="Times New Roman" w:hAnsi="Times New Roman" w:cs="Times New Roman"/>
                      <w:color w:val="auto"/>
                      <w:sz w:val="21"/>
                      <w:szCs w:val="21"/>
                      <w:lang w:val="en-US" w:eastAsia="zh-CN"/>
                    </w:rPr>
                    <w:t>N</w:t>
                  </w:r>
                </w:p>
              </w:tc>
              <w:tc>
                <w:tcPr>
                  <w:tcW w:w="496" w:type="pct"/>
                  <w:tcBorders>
                    <w:tl2br w:val="nil"/>
                    <w:tr2bl w:val="nil"/>
                  </w:tcBorders>
                  <w:shd w:val="clear" w:color="auto" w:fill="auto"/>
                  <w:noWrap/>
                  <w:vAlign w:val="center"/>
                </w:tcPr>
                <w:p w14:paraId="5EEDB5BC">
                  <w:pPr>
                    <w:widowControl/>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b w:val="0"/>
                      <w:bCs w:val="0"/>
                      <w:color w:val="auto"/>
                      <w:kern w:val="0"/>
                      <w:sz w:val="21"/>
                      <w:szCs w:val="21"/>
                      <w:highlight w:val="none"/>
                      <w:lang w:val="en-US" w:eastAsia="zh-CN" w:bidi="ar"/>
                    </w:rPr>
                    <w:t>2F/6m</w:t>
                  </w:r>
                </w:p>
              </w:tc>
              <w:tc>
                <w:tcPr>
                  <w:tcW w:w="655" w:type="pct"/>
                  <w:tcBorders>
                    <w:tl2br w:val="nil"/>
                    <w:tr2bl w:val="nil"/>
                  </w:tcBorders>
                  <w:shd w:val="clear" w:color="auto" w:fill="auto"/>
                  <w:noWrap/>
                  <w:vAlign w:val="center"/>
                </w:tcPr>
                <w:p w14:paraId="7BBBC654">
                  <w:pPr>
                    <w:widowControl/>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b w:val="0"/>
                      <w:bCs w:val="0"/>
                      <w:color w:val="auto"/>
                      <w:kern w:val="0"/>
                      <w:sz w:val="21"/>
                      <w:szCs w:val="21"/>
                      <w:highlight w:val="none"/>
                      <w:lang w:val="en-US" w:eastAsia="zh-CN" w:bidi="ar"/>
                    </w:rPr>
                    <w:t>事业单位</w:t>
                  </w:r>
                </w:p>
              </w:tc>
              <w:tc>
                <w:tcPr>
                  <w:tcW w:w="602" w:type="pct"/>
                  <w:tcBorders>
                    <w:tl2br w:val="nil"/>
                    <w:tr2bl w:val="nil"/>
                  </w:tcBorders>
                  <w:shd w:val="clear" w:color="auto" w:fill="auto"/>
                  <w:noWrap/>
                  <w:vAlign w:val="center"/>
                </w:tcPr>
                <w:p w14:paraId="100DAD84">
                  <w:pPr>
                    <w:widowControl/>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b w:val="0"/>
                      <w:bCs w:val="0"/>
                      <w:color w:val="auto"/>
                      <w:kern w:val="0"/>
                      <w:sz w:val="21"/>
                      <w:szCs w:val="21"/>
                      <w:highlight w:val="none"/>
                      <w:lang w:val="en-US" w:eastAsia="zh-CN" w:bidi="ar"/>
                    </w:rPr>
                    <w:t>约30人</w:t>
                  </w:r>
                </w:p>
              </w:tc>
              <w:tc>
                <w:tcPr>
                  <w:tcW w:w="658" w:type="pct"/>
                  <w:vMerge w:val="continue"/>
                  <w:tcBorders>
                    <w:tl2br w:val="nil"/>
                    <w:tr2bl w:val="nil"/>
                  </w:tcBorders>
                  <w:shd w:val="clear" w:color="auto" w:fill="auto"/>
                  <w:noWrap/>
                  <w:vAlign w:val="center"/>
                </w:tcPr>
                <w:p w14:paraId="6020EE74">
                  <w:pPr>
                    <w:jc w:val="center"/>
                    <w:rPr>
                      <w:rFonts w:hint="default" w:ascii="Times New Roman" w:hAnsi="Times New Roman" w:cs="Times New Roman"/>
                      <w:color w:val="auto"/>
                      <w:sz w:val="21"/>
                      <w:szCs w:val="21"/>
                      <w:lang w:val="en-US" w:eastAsia="zh-CN"/>
                    </w:rPr>
                  </w:pPr>
                </w:p>
              </w:tc>
            </w:tr>
            <w:tr w14:paraId="291BB6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5" w:type="pct"/>
                  <w:tcBorders>
                    <w:tl2br w:val="nil"/>
                    <w:tr2bl w:val="nil"/>
                  </w:tcBorders>
                  <w:shd w:val="clear" w:color="auto" w:fill="auto"/>
                  <w:noWrap/>
                  <w:vAlign w:val="center"/>
                </w:tcPr>
                <w:p w14:paraId="3ACD93F8">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391" w:type="pct"/>
                  <w:tcBorders>
                    <w:tl2br w:val="nil"/>
                    <w:tr2bl w:val="nil"/>
                  </w:tcBorders>
                  <w:shd w:val="clear" w:color="auto" w:fill="auto"/>
                  <w:noWrap/>
                  <w:vAlign w:val="center"/>
                </w:tcPr>
                <w:p w14:paraId="52F62399">
                  <w:pPr>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南侧</w:t>
                  </w:r>
                </w:p>
              </w:tc>
              <w:tc>
                <w:tcPr>
                  <w:tcW w:w="444" w:type="pct"/>
                  <w:tcBorders>
                    <w:tl2br w:val="nil"/>
                    <w:tr2bl w:val="nil"/>
                  </w:tcBorders>
                  <w:shd w:val="clear" w:color="auto" w:fill="auto"/>
                  <w:noWrap/>
                  <w:vAlign w:val="center"/>
                </w:tcPr>
                <w:p w14:paraId="334B0BA6">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20m</w:t>
                  </w:r>
                </w:p>
              </w:tc>
              <w:tc>
                <w:tcPr>
                  <w:tcW w:w="677" w:type="pct"/>
                  <w:tcBorders>
                    <w:tl2br w:val="nil"/>
                    <w:tr2bl w:val="nil"/>
                  </w:tcBorders>
                  <w:shd w:val="clear" w:color="auto" w:fill="auto"/>
                  <w:noWrap/>
                  <w:vAlign w:val="center"/>
                </w:tcPr>
                <w:p w14:paraId="15D88B0D">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kern w:val="0"/>
                      <w:sz w:val="21"/>
                      <w:szCs w:val="21"/>
                      <w:highlight w:val="none"/>
                      <w:lang w:val="en-US" w:eastAsia="zh-CN" w:bidi="ar"/>
                    </w:rPr>
                    <w:t>马尔康市本真林业工作站</w:t>
                  </w:r>
                </w:p>
              </w:tc>
              <w:tc>
                <w:tcPr>
                  <w:tcW w:w="797" w:type="pct"/>
                  <w:tcBorders>
                    <w:tl2br w:val="nil"/>
                    <w:tr2bl w:val="nil"/>
                  </w:tcBorders>
                  <w:shd w:val="clear" w:color="auto" w:fill="auto"/>
                  <w:noWrap/>
                  <w:vAlign w:val="center"/>
                </w:tcPr>
                <w:p w14:paraId="0A924DF5">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102°11′14.40484″</w:t>
                  </w:r>
                  <w:r>
                    <w:rPr>
                      <w:rFonts w:hint="eastAsia" w:ascii="Times New Roman" w:hAnsi="Times New Roman" w:cs="Times New Roman"/>
                      <w:color w:val="auto"/>
                      <w:sz w:val="21"/>
                      <w:szCs w:val="21"/>
                      <w:lang w:val="en-US" w:eastAsia="zh-CN"/>
                    </w:rPr>
                    <w:t>E</w:t>
                  </w:r>
                  <w:r>
                    <w:rPr>
                      <w:rFonts w:hint="default" w:ascii="Times New Roman" w:hAnsi="Times New Roman" w:cs="Times New Roman"/>
                      <w:color w:val="auto"/>
                      <w:sz w:val="21"/>
                      <w:szCs w:val="21"/>
                      <w:lang w:val="en-US" w:eastAsia="zh-CN"/>
                    </w:rPr>
                    <w:t>,31°55′7.10944″</w:t>
                  </w:r>
                  <w:r>
                    <w:rPr>
                      <w:rFonts w:hint="eastAsia" w:ascii="Times New Roman" w:hAnsi="Times New Roman" w:cs="Times New Roman"/>
                      <w:color w:val="auto"/>
                      <w:sz w:val="21"/>
                      <w:szCs w:val="21"/>
                      <w:lang w:val="en-US" w:eastAsia="zh-CN"/>
                    </w:rPr>
                    <w:t>N</w:t>
                  </w:r>
                </w:p>
              </w:tc>
              <w:tc>
                <w:tcPr>
                  <w:tcW w:w="496" w:type="pct"/>
                  <w:tcBorders>
                    <w:tl2br w:val="nil"/>
                    <w:tr2bl w:val="nil"/>
                  </w:tcBorders>
                  <w:shd w:val="clear" w:color="auto" w:fill="auto"/>
                  <w:noWrap/>
                  <w:vAlign w:val="center"/>
                </w:tcPr>
                <w:p w14:paraId="526FDBD0">
                  <w:pPr>
                    <w:widowControl/>
                    <w:jc w:val="center"/>
                    <w:textAlignment w:val="center"/>
                    <w:rPr>
                      <w:rFonts w:hint="default" w:ascii="Times New Roman" w:hAnsi="Times New Roman" w:cs="Times New Roman"/>
                      <w:color w:val="auto"/>
                      <w:sz w:val="21"/>
                      <w:szCs w:val="21"/>
                      <w:lang w:val="en-US"/>
                    </w:rPr>
                  </w:pPr>
                  <w:r>
                    <w:rPr>
                      <w:rFonts w:hint="eastAsia" w:ascii="Times New Roman" w:hAnsi="Times New Roman" w:eastAsia="宋体" w:cs="Times New Roman"/>
                      <w:b w:val="0"/>
                      <w:bCs w:val="0"/>
                      <w:color w:val="auto"/>
                      <w:kern w:val="0"/>
                      <w:sz w:val="21"/>
                      <w:szCs w:val="21"/>
                      <w:highlight w:val="none"/>
                      <w:lang w:val="en-US" w:eastAsia="zh-CN" w:bidi="ar"/>
                    </w:rPr>
                    <w:t>2F/6m</w:t>
                  </w:r>
                </w:p>
              </w:tc>
              <w:tc>
                <w:tcPr>
                  <w:tcW w:w="655" w:type="pct"/>
                  <w:tcBorders>
                    <w:tl2br w:val="nil"/>
                    <w:tr2bl w:val="nil"/>
                  </w:tcBorders>
                  <w:shd w:val="clear" w:color="auto" w:fill="auto"/>
                  <w:noWrap/>
                  <w:vAlign w:val="center"/>
                </w:tcPr>
                <w:p w14:paraId="6A2B060E">
                  <w:pPr>
                    <w:widowControl/>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b w:val="0"/>
                      <w:bCs w:val="0"/>
                      <w:color w:val="auto"/>
                      <w:kern w:val="0"/>
                      <w:sz w:val="21"/>
                      <w:szCs w:val="21"/>
                      <w:highlight w:val="none"/>
                      <w:lang w:val="en-US" w:eastAsia="zh-CN" w:bidi="ar"/>
                    </w:rPr>
                    <w:t>事业单位</w:t>
                  </w:r>
                </w:p>
              </w:tc>
              <w:tc>
                <w:tcPr>
                  <w:tcW w:w="602" w:type="pct"/>
                  <w:tcBorders>
                    <w:tl2br w:val="nil"/>
                    <w:tr2bl w:val="nil"/>
                  </w:tcBorders>
                  <w:shd w:val="clear" w:color="auto" w:fill="auto"/>
                  <w:noWrap/>
                  <w:vAlign w:val="center"/>
                </w:tcPr>
                <w:p w14:paraId="518E08FA">
                  <w:pPr>
                    <w:widowControl/>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b w:val="0"/>
                      <w:bCs w:val="0"/>
                      <w:color w:val="auto"/>
                      <w:kern w:val="0"/>
                      <w:sz w:val="21"/>
                      <w:szCs w:val="21"/>
                      <w:highlight w:val="none"/>
                      <w:lang w:val="en-US" w:eastAsia="zh-CN" w:bidi="ar"/>
                    </w:rPr>
                    <w:t>约50人</w:t>
                  </w:r>
                </w:p>
              </w:tc>
              <w:tc>
                <w:tcPr>
                  <w:tcW w:w="658" w:type="pct"/>
                  <w:vMerge w:val="continue"/>
                  <w:tcBorders>
                    <w:tl2br w:val="nil"/>
                    <w:tr2bl w:val="nil"/>
                  </w:tcBorders>
                  <w:shd w:val="clear" w:color="auto" w:fill="auto"/>
                  <w:noWrap/>
                  <w:vAlign w:val="center"/>
                </w:tcPr>
                <w:p w14:paraId="13EA6CED">
                  <w:pPr>
                    <w:jc w:val="center"/>
                    <w:rPr>
                      <w:rFonts w:hint="default" w:ascii="Times New Roman" w:hAnsi="Times New Roman" w:cs="Times New Roman"/>
                      <w:color w:val="auto"/>
                      <w:sz w:val="21"/>
                      <w:szCs w:val="21"/>
                      <w:lang w:val="en-US" w:eastAsia="zh-CN"/>
                    </w:rPr>
                  </w:pPr>
                </w:p>
              </w:tc>
            </w:tr>
            <w:tr w14:paraId="3125E9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5" w:type="pct"/>
                  <w:tcBorders>
                    <w:tl2br w:val="nil"/>
                    <w:tr2bl w:val="nil"/>
                  </w:tcBorders>
                  <w:shd w:val="clear" w:color="auto" w:fill="auto"/>
                  <w:noWrap/>
                  <w:vAlign w:val="center"/>
                </w:tcPr>
                <w:p w14:paraId="59483815">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391" w:type="pct"/>
                  <w:tcBorders>
                    <w:tl2br w:val="nil"/>
                    <w:tr2bl w:val="nil"/>
                  </w:tcBorders>
                  <w:shd w:val="clear" w:color="auto" w:fill="auto"/>
                  <w:noWrap/>
                  <w:vAlign w:val="center"/>
                </w:tcPr>
                <w:p w14:paraId="252CBB5A">
                  <w:pPr>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东南侧</w:t>
                  </w:r>
                </w:p>
              </w:tc>
              <w:tc>
                <w:tcPr>
                  <w:tcW w:w="444" w:type="pct"/>
                  <w:tcBorders>
                    <w:tl2br w:val="nil"/>
                    <w:tr2bl w:val="nil"/>
                  </w:tcBorders>
                  <w:shd w:val="clear" w:color="auto" w:fill="auto"/>
                  <w:noWrap/>
                  <w:vAlign w:val="center"/>
                </w:tcPr>
                <w:p w14:paraId="4CE44EAD">
                  <w:pPr>
                    <w:widowControl/>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20m</w:t>
                  </w:r>
                </w:p>
              </w:tc>
              <w:tc>
                <w:tcPr>
                  <w:tcW w:w="677" w:type="pct"/>
                  <w:tcBorders>
                    <w:tl2br w:val="nil"/>
                    <w:tr2bl w:val="nil"/>
                  </w:tcBorders>
                  <w:shd w:val="clear" w:color="auto" w:fill="auto"/>
                  <w:noWrap/>
                  <w:vAlign w:val="center"/>
                </w:tcPr>
                <w:p w14:paraId="22C653A8">
                  <w:pPr>
                    <w:widowControl/>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kern w:val="0"/>
                      <w:sz w:val="21"/>
                      <w:szCs w:val="21"/>
                      <w:highlight w:val="none"/>
                      <w:lang w:val="en-US" w:eastAsia="zh-CN" w:bidi="ar"/>
                    </w:rPr>
                    <w:t>马尔康市水务局</w:t>
                  </w:r>
                </w:p>
              </w:tc>
              <w:tc>
                <w:tcPr>
                  <w:tcW w:w="797" w:type="pct"/>
                  <w:tcBorders>
                    <w:tl2br w:val="nil"/>
                    <w:tr2bl w:val="nil"/>
                  </w:tcBorders>
                  <w:shd w:val="clear" w:color="auto" w:fill="auto"/>
                  <w:noWrap/>
                  <w:vAlign w:val="center"/>
                </w:tcPr>
                <w:p w14:paraId="070B77AD">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102°11′15.89186″</w:t>
                  </w:r>
                  <w:r>
                    <w:rPr>
                      <w:rFonts w:hint="eastAsia" w:ascii="Times New Roman" w:hAnsi="Times New Roman" w:cs="Times New Roman"/>
                      <w:color w:val="auto"/>
                      <w:sz w:val="21"/>
                      <w:szCs w:val="21"/>
                      <w:lang w:val="en-US" w:eastAsia="zh-CN"/>
                    </w:rPr>
                    <w:t>E</w:t>
                  </w:r>
                  <w:r>
                    <w:rPr>
                      <w:rFonts w:hint="default" w:ascii="Times New Roman" w:hAnsi="Times New Roman" w:cs="Times New Roman"/>
                      <w:color w:val="auto"/>
                      <w:sz w:val="21"/>
                      <w:szCs w:val="21"/>
                      <w:lang w:val="en-US" w:eastAsia="zh-CN"/>
                    </w:rPr>
                    <w:t>,31°55′5.92176″</w:t>
                  </w:r>
                  <w:r>
                    <w:rPr>
                      <w:rFonts w:hint="eastAsia" w:ascii="Times New Roman" w:hAnsi="Times New Roman" w:cs="Times New Roman"/>
                      <w:color w:val="auto"/>
                      <w:sz w:val="21"/>
                      <w:szCs w:val="21"/>
                      <w:lang w:val="en-US" w:eastAsia="zh-CN"/>
                    </w:rPr>
                    <w:t>N</w:t>
                  </w:r>
                </w:p>
              </w:tc>
              <w:tc>
                <w:tcPr>
                  <w:tcW w:w="496" w:type="pct"/>
                  <w:tcBorders>
                    <w:tl2br w:val="nil"/>
                    <w:tr2bl w:val="nil"/>
                  </w:tcBorders>
                  <w:shd w:val="clear" w:color="auto" w:fill="auto"/>
                  <w:noWrap/>
                  <w:vAlign w:val="center"/>
                </w:tcPr>
                <w:p w14:paraId="50CA970E">
                  <w:pPr>
                    <w:widowControl/>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3F/15m</w:t>
                  </w:r>
                </w:p>
              </w:tc>
              <w:tc>
                <w:tcPr>
                  <w:tcW w:w="655" w:type="pct"/>
                  <w:tcBorders>
                    <w:tl2br w:val="nil"/>
                    <w:tr2bl w:val="nil"/>
                  </w:tcBorders>
                  <w:shd w:val="clear" w:color="auto" w:fill="auto"/>
                  <w:noWrap/>
                  <w:vAlign w:val="center"/>
                </w:tcPr>
                <w:p w14:paraId="275DD9D0">
                  <w:pPr>
                    <w:widowControl/>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b w:val="0"/>
                      <w:bCs w:val="0"/>
                      <w:color w:val="auto"/>
                      <w:kern w:val="0"/>
                      <w:sz w:val="21"/>
                      <w:szCs w:val="21"/>
                      <w:highlight w:val="none"/>
                      <w:lang w:val="en-US" w:eastAsia="zh-CN" w:bidi="ar"/>
                    </w:rPr>
                    <w:t>事业单位</w:t>
                  </w:r>
                </w:p>
              </w:tc>
              <w:tc>
                <w:tcPr>
                  <w:tcW w:w="602" w:type="pct"/>
                  <w:tcBorders>
                    <w:tl2br w:val="nil"/>
                    <w:tr2bl w:val="nil"/>
                  </w:tcBorders>
                  <w:shd w:val="clear" w:color="auto" w:fill="auto"/>
                  <w:noWrap/>
                  <w:vAlign w:val="center"/>
                </w:tcPr>
                <w:p w14:paraId="1A7B0C70">
                  <w:pPr>
                    <w:widowControl/>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约88人</w:t>
                  </w:r>
                </w:p>
              </w:tc>
              <w:tc>
                <w:tcPr>
                  <w:tcW w:w="658" w:type="pct"/>
                  <w:vMerge w:val="continue"/>
                  <w:tcBorders>
                    <w:tl2br w:val="nil"/>
                    <w:tr2bl w:val="nil"/>
                  </w:tcBorders>
                  <w:shd w:val="clear" w:color="auto" w:fill="auto"/>
                  <w:noWrap/>
                  <w:vAlign w:val="center"/>
                </w:tcPr>
                <w:p w14:paraId="345A240C">
                  <w:pPr>
                    <w:jc w:val="center"/>
                    <w:rPr>
                      <w:rFonts w:hint="default" w:ascii="Times New Roman" w:hAnsi="Times New Roman" w:cs="Times New Roman"/>
                      <w:color w:val="auto"/>
                      <w:sz w:val="21"/>
                      <w:szCs w:val="21"/>
                      <w:lang w:val="en-US" w:eastAsia="zh-CN"/>
                    </w:rPr>
                  </w:pPr>
                </w:p>
              </w:tc>
            </w:tr>
          </w:tbl>
          <w:p w14:paraId="5CBBC8FE">
            <w:pPr>
              <w:spacing w:line="360" w:lineRule="auto"/>
              <w:ind w:firstLine="482" w:firstLineChars="200"/>
              <w:rPr>
                <w:rFonts w:ascii="Times New Roman" w:hAnsi="Times New Roman" w:cs="Times New Roman"/>
                <w:b/>
                <w:color w:val="auto"/>
                <w:sz w:val="24"/>
                <w:highlight w:val="none"/>
              </w:rPr>
            </w:pPr>
            <w:r>
              <w:rPr>
                <w:rFonts w:hint="eastAsia" w:ascii="Times New Roman" w:hAnsi="Times New Roman" w:cs="Times New Roman"/>
                <w:b/>
                <w:color w:val="auto"/>
                <w:sz w:val="24"/>
                <w:highlight w:val="none"/>
              </w:rPr>
              <w:t>2、声</w:t>
            </w:r>
            <w:r>
              <w:rPr>
                <w:rFonts w:ascii="Times New Roman" w:hAnsi="Times New Roman" w:cs="Times New Roman"/>
                <w:b/>
                <w:color w:val="auto"/>
                <w:sz w:val="24"/>
                <w:highlight w:val="none"/>
              </w:rPr>
              <w:t>环境保护目标</w:t>
            </w:r>
          </w:p>
          <w:p w14:paraId="49CB4252">
            <w:pPr>
              <w:spacing w:line="360" w:lineRule="auto"/>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根据现场踏勘，本项目周边主要声环境保护目标为住宅小区、</w:t>
            </w:r>
            <w:r>
              <w:rPr>
                <w:rFonts w:hint="eastAsia" w:ascii="Times New Roman" w:hAnsi="Times New Roman" w:cs="Times New Roman"/>
                <w:color w:val="auto"/>
                <w:sz w:val="24"/>
                <w:highlight w:val="none"/>
                <w:lang w:val="en-US" w:eastAsia="zh-CN"/>
              </w:rPr>
              <w:t>事业单位</w:t>
            </w:r>
            <w:r>
              <w:rPr>
                <w:rFonts w:hint="eastAsia" w:ascii="Times New Roman" w:hAnsi="Times New Roman" w:cs="Times New Roman"/>
                <w:color w:val="auto"/>
                <w:sz w:val="24"/>
                <w:highlight w:val="none"/>
              </w:rPr>
              <w:t>等，项目厂界外50m范围内声环境保护目标如下表所示。</w:t>
            </w:r>
          </w:p>
          <w:p w14:paraId="1E061836">
            <w:pPr>
              <w:pStyle w:val="116"/>
              <w:bidi w:val="0"/>
              <w:rPr>
                <w:color w:val="auto"/>
              </w:rPr>
            </w:pPr>
            <w:r>
              <w:rPr>
                <w:color w:val="auto"/>
              </w:rPr>
              <w:t>本项目</w:t>
            </w:r>
            <w:r>
              <w:rPr>
                <w:rFonts w:hint="eastAsia"/>
                <w:color w:val="auto"/>
              </w:rPr>
              <w:t>声</w:t>
            </w:r>
            <w:r>
              <w:rPr>
                <w:color w:val="auto"/>
              </w:rPr>
              <w:t>环境保护目标一览表</w:t>
            </w:r>
          </w:p>
          <w:tbl>
            <w:tblPr>
              <w:tblStyle w:val="4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259"/>
              <w:gridCol w:w="1183"/>
              <w:gridCol w:w="934"/>
              <w:gridCol w:w="1049"/>
              <w:gridCol w:w="3420"/>
            </w:tblGrid>
            <w:tr w14:paraId="4BD7A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restart"/>
                  <w:tcBorders>
                    <w:tl2br w:val="nil"/>
                    <w:tr2bl w:val="nil"/>
                  </w:tcBorders>
                  <w:vAlign w:val="center"/>
                </w:tcPr>
                <w:p w14:paraId="7D45A94A">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序号</w:t>
                  </w:r>
                </w:p>
              </w:tc>
              <w:tc>
                <w:tcPr>
                  <w:tcW w:w="714" w:type="pct"/>
                  <w:vMerge w:val="restart"/>
                  <w:tcBorders>
                    <w:tl2br w:val="nil"/>
                    <w:tr2bl w:val="nil"/>
                  </w:tcBorders>
                  <w:vAlign w:val="center"/>
                </w:tcPr>
                <w:p w14:paraId="4BEBF604">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保护目标</w:t>
                  </w:r>
                </w:p>
              </w:tc>
              <w:tc>
                <w:tcPr>
                  <w:tcW w:w="671" w:type="pct"/>
                  <w:vMerge w:val="restart"/>
                  <w:tcBorders>
                    <w:tl2br w:val="nil"/>
                    <w:tr2bl w:val="nil"/>
                  </w:tcBorders>
                  <w:vAlign w:val="center"/>
                </w:tcPr>
                <w:p w14:paraId="20A08615">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距厂界距离/m</w:t>
                  </w:r>
                </w:p>
              </w:tc>
              <w:tc>
                <w:tcPr>
                  <w:tcW w:w="530" w:type="pct"/>
                  <w:vMerge w:val="restart"/>
                  <w:tcBorders>
                    <w:tl2br w:val="nil"/>
                    <w:tr2bl w:val="nil"/>
                  </w:tcBorders>
                  <w:vAlign w:val="center"/>
                </w:tcPr>
                <w:p w14:paraId="10C3CC25">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方位</w:t>
                  </w:r>
                </w:p>
              </w:tc>
              <w:tc>
                <w:tcPr>
                  <w:tcW w:w="595" w:type="pct"/>
                  <w:vMerge w:val="restart"/>
                  <w:tcBorders>
                    <w:tl2br w:val="nil"/>
                    <w:tr2bl w:val="nil"/>
                  </w:tcBorders>
                  <w:vAlign w:val="center"/>
                </w:tcPr>
                <w:p w14:paraId="011DEA3D">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声功能区类别</w:t>
                  </w:r>
                </w:p>
              </w:tc>
              <w:tc>
                <w:tcPr>
                  <w:tcW w:w="1940" w:type="pct"/>
                  <w:vMerge w:val="restart"/>
                  <w:tcBorders>
                    <w:tl2br w:val="nil"/>
                    <w:tr2bl w:val="nil"/>
                  </w:tcBorders>
                  <w:vAlign w:val="center"/>
                </w:tcPr>
                <w:p w14:paraId="7DC2F9B8">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保护目标情况说明</w:t>
                  </w:r>
                </w:p>
              </w:tc>
            </w:tr>
            <w:tr w14:paraId="457F3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Merge w:val="continue"/>
                  <w:tcBorders>
                    <w:tl2br w:val="nil"/>
                    <w:tr2bl w:val="nil"/>
                  </w:tcBorders>
                  <w:vAlign w:val="center"/>
                </w:tcPr>
                <w:p w14:paraId="0FF95375">
                  <w:pPr>
                    <w:jc w:val="center"/>
                    <w:rPr>
                      <w:rFonts w:ascii="Times New Roman" w:hAnsi="Times New Roman" w:eastAsia="宋体" w:cs="Times New Roman"/>
                      <w:b/>
                      <w:bCs/>
                      <w:color w:val="auto"/>
                      <w:szCs w:val="21"/>
                      <w:highlight w:val="none"/>
                    </w:rPr>
                  </w:pPr>
                </w:p>
              </w:tc>
              <w:tc>
                <w:tcPr>
                  <w:tcW w:w="714" w:type="pct"/>
                  <w:vMerge w:val="continue"/>
                  <w:tcBorders>
                    <w:tl2br w:val="nil"/>
                    <w:tr2bl w:val="nil"/>
                  </w:tcBorders>
                  <w:vAlign w:val="center"/>
                </w:tcPr>
                <w:p w14:paraId="44CA3987">
                  <w:pPr>
                    <w:jc w:val="center"/>
                    <w:rPr>
                      <w:rFonts w:ascii="Times New Roman" w:hAnsi="Times New Roman" w:eastAsia="宋体" w:cs="Times New Roman"/>
                      <w:b/>
                      <w:bCs/>
                      <w:color w:val="auto"/>
                      <w:szCs w:val="21"/>
                      <w:highlight w:val="none"/>
                    </w:rPr>
                  </w:pPr>
                </w:p>
              </w:tc>
              <w:tc>
                <w:tcPr>
                  <w:tcW w:w="671" w:type="pct"/>
                  <w:vMerge w:val="continue"/>
                  <w:tcBorders>
                    <w:tl2br w:val="nil"/>
                    <w:tr2bl w:val="nil"/>
                  </w:tcBorders>
                  <w:vAlign w:val="center"/>
                </w:tcPr>
                <w:p w14:paraId="66831CDF">
                  <w:pPr>
                    <w:jc w:val="center"/>
                    <w:rPr>
                      <w:rFonts w:ascii="Times New Roman" w:hAnsi="Times New Roman" w:eastAsia="宋体" w:cs="Times New Roman"/>
                      <w:b/>
                      <w:bCs/>
                      <w:color w:val="auto"/>
                      <w:szCs w:val="21"/>
                      <w:highlight w:val="none"/>
                    </w:rPr>
                  </w:pPr>
                </w:p>
              </w:tc>
              <w:tc>
                <w:tcPr>
                  <w:tcW w:w="530" w:type="pct"/>
                  <w:vMerge w:val="continue"/>
                  <w:tcBorders>
                    <w:tl2br w:val="nil"/>
                    <w:tr2bl w:val="nil"/>
                  </w:tcBorders>
                  <w:vAlign w:val="center"/>
                </w:tcPr>
                <w:p w14:paraId="29C31B61">
                  <w:pPr>
                    <w:jc w:val="center"/>
                    <w:rPr>
                      <w:rFonts w:ascii="Times New Roman" w:hAnsi="Times New Roman" w:eastAsia="宋体" w:cs="Times New Roman"/>
                      <w:b/>
                      <w:bCs/>
                      <w:color w:val="auto"/>
                      <w:szCs w:val="21"/>
                      <w:highlight w:val="none"/>
                    </w:rPr>
                  </w:pPr>
                </w:p>
              </w:tc>
              <w:tc>
                <w:tcPr>
                  <w:tcW w:w="595" w:type="pct"/>
                  <w:vMerge w:val="continue"/>
                  <w:tcBorders>
                    <w:tl2br w:val="nil"/>
                    <w:tr2bl w:val="nil"/>
                  </w:tcBorders>
                  <w:vAlign w:val="center"/>
                </w:tcPr>
                <w:p w14:paraId="447DAAD6">
                  <w:pPr>
                    <w:jc w:val="center"/>
                    <w:rPr>
                      <w:rFonts w:ascii="Times New Roman" w:hAnsi="Times New Roman" w:eastAsia="宋体" w:cs="Times New Roman"/>
                      <w:b/>
                      <w:bCs/>
                      <w:color w:val="auto"/>
                      <w:szCs w:val="21"/>
                      <w:highlight w:val="none"/>
                    </w:rPr>
                  </w:pPr>
                </w:p>
              </w:tc>
              <w:tc>
                <w:tcPr>
                  <w:tcW w:w="1940" w:type="pct"/>
                  <w:vMerge w:val="continue"/>
                  <w:tcBorders>
                    <w:tl2br w:val="nil"/>
                    <w:tr2bl w:val="nil"/>
                  </w:tcBorders>
                  <w:vAlign w:val="center"/>
                </w:tcPr>
                <w:p w14:paraId="39CE96BD">
                  <w:pPr>
                    <w:jc w:val="center"/>
                    <w:rPr>
                      <w:rFonts w:ascii="Times New Roman" w:hAnsi="Times New Roman" w:cs="Times New Roman"/>
                      <w:b/>
                      <w:bCs/>
                      <w:color w:val="auto"/>
                      <w:szCs w:val="21"/>
                      <w:highlight w:val="none"/>
                    </w:rPr>
                  </w:pPr>
                </w:p>
              </w:tc>
            </w:tr>
            <w:tr w14:paraId="24016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tcBorders>
                    <w:tl2br w:val="nil"/>
                    <w:tr2bl w:val="nil"/>
                  </w:tcBorders>
                  <w:vAlign w:val="center"/>
                </w:tcPr>
                <w:p w14:paraId="710A1190">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714" w:type="pct"/>
                  <w:tcBorders>
                    <w:tl2br w:val="nil"/>
                    <w:tr2bl w:val="nil"/>
                  </w:tcBorders>
                  <w:vAlign w:val="center"/>
                </w:tcPr>
                <w:p w14:paraId="73DB5790">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马尔康市公安局交警大队</w:t>
                  </w:r>
                </w:p>
              </w:tc>
              <w:tc>
                <w:tcPr>
                  <w:tcW w:w="671" w:type="pct"/>
                  <w:tcBorders>
                    <w:tl2br w:val="nil"/>
                    <w:tr2bl w:val="nil"/>
                  </w:tcBorders>
                  <w:vAlign w:val="center"/>
                </w:tcPr>
                <w:p w14:paraId="2EFE73A5">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紧邻</w:t>
                  </w:r>
                </w:p>
              </w:tc>
              <w:tc>
                <w:tcPr>
                  <w:tcW w:w="530" w:type="pct"/>
                  <w:tcBorders>
                    <w:tl2br w:val="nil"/>
                    <w:tr2bl w:val="nil"/>
                  </w:tcBorders>
                  <w:vAlign w:val="center"/>
                </w:tcPr>
                <w:p w14:paraId="4D5C2919">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西北</w:t>
                  </w:r>
                </w:p>
              </w:tc>
              <w:tc>
                <w:tcPr>
                  <w:tcW w:w="595" w:type="pct"/>
                  <w:tcBorders>
                    <w:tl2br w:val="nil"/>
                    <w:tr2bl w:val="nil"/>
                  </w:tcBorders>
                  <w:vAlign w:val="center"/>
                </w:tcPr>
                <w:p w14:paraId="62B3417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2类</w:t>
                  </w:r>
                </w:p>
              </w:tc>
              <w:tc>
                <w:tcPr>
                  <w:tcW w:w="1940" w:type="pct"/>
                  <w:tcBorders>
                    <w:tl2br w:val="nil"/>
                    <w:tr2bl w:val="nil"/>
                  </w:tcBorders>
                  <w:vAlign w:val="center"/>
                </w:tcPr>
                <w:p w14:paraId="5FCD65E8">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事业单位</w:t>
                  </w:r>
                  <w:r>
                    <w:rPr>
                      <w:rFonts w:ascii="Times New Roman" w:hAnsi="Times New Roman" w:eastAsia="宋体" w:cs="Times New Roman"/>
                      <w:color w:val="auto"/>
                      <w:szCs w:val="21"/>
                      <w:highlight w:val="none"/>
                    </w:rPr>
                    <w:t>，约</w:t>
                  </w:r>
                  <w:r>
                    <w:rPr>
                      <w:rFonts w:hint="eastAsia" w:ascii="Times New Roman" w:hAnsi="Times New Roman" w:eastAsia="宋体" w:cs="Times New Roman"/>
                      <w:color w:val="auto"/>
                      <w:szCs w:val="21"/>
                      <w:highlight w:val="none"/>
                      <w:lang w:val="en-US" w:eastAsia="zh-CN"/>
                    </w:rPr>
                    <w:t>100</w:t>
                  </w:r>
                  <w:r>
                    <w:rPr>
                      <w:rFonts w:ascii="Times New Roman" w:hAnsi="Times New Roman" w:eastAsia="宋体" w:cs="Times New Roman"/>
                      <w:color w:val="auto"/>
                      <w:szCs w:val="21"/>
                      <w:highlight w:val="none"/>
                    </w:rPr>
                    <w:t>人；为</w:t>
                  </w:r>
                  <w:r>
                    <w:rPr>
                      <w:rFonts w:hint="eastAsia" w:ascii="Times New Roman" w:hAnsi="Times New Roman" w:eastAsia="宋体" w:cs="Times New Roman"/>
                      <w:color w:val="auto"/>
                      <w:szCs w:val="21"/>
                      <w:highlight w:val="none"/>
                      <w:lang w:val="en-US" w:eastAsia="zh-CN"/>
                    </w:rPr>
                    <w:t>4</w:t>
                  </w:r>
                  <w:r>
                    <w:rPr>
                      <w:rFonts w:ascii="Times New Roman" w:hAnsi="Times New Roman" w:eastAsia="宋体" w:cs="Times New Roman"/>
                      <w:color w:val="auto"/>
                      <w:szCs w:val="21"/>
                      <w:highlight w:val="none"/>
                    </w:rPr>
                    <w:t>F框架结构建筑；声环境现状以交通噪声、社会生活噪声为主</w:t>
                  </w:r>
                </w:p>
              </w:tc>
            </w:tr>
            <w:tr w14:paraId="6E15C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tcBorders>
                    <w:tl2br w:val="nil"/>
                    <w:tr2bl w:val="nil"/>
                  </w:tcBorders>
                  <w:vAlign w:val="center"/>
                </w:tcPr>
                <w:p w14:paraId="26DB898E">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714" w:type="pct"/>
                  <w:tcBorders>
                    <w:tl2br w:val="nil"/>
                    <w:tr2bl w:val="nil"/>
                  </w:tcBorders>
                  <w:vAlign w:val="center"/>
                </w:tcPr>
                <w:p w14:paraId="6D90D534">
                  <w:pPr>
                    <w:jc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嘉绒印象小区</w:t>
                  </w:r>
                </w:p>
              </w:tc>
              <w:tc>
                <w:tcPr>
                  <w:tcW w:w="671" w:type="pct"/>
                  <w:tcBorders>
                    <w:tl2br w:val="nil"/>
                    <w:tr2bl w:val="nil"/>
                  </w:tcBorders>
                  <w:vAlign w:val="center"/>
                </w:tcPr>
                <w:p w14:paraId="1908EDF0">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20m</w:t>
                  </w:r>
                </w:p>
              </w:tc>
              <w:tc>
                <w:tcPr>
                  <w:tcW w:w="530" w:type="pct"/>
                  <w:tcBorders>
                    <w:tl2br w:val="nil"/>
                    <w:tr2bl w:val="nil"/>
                  </w:tcBorders>
                  <w:vAlign w:val="center"/>
                </w:tcPr>
                <w:p w14:paraId="47DD3D89">
                  <w:pPr>
                    <w:jc w:val="both"/>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西南侧</w:t>
                  </w:r>
                </w:p>
              </w:tc>
              <w:tc>
                <w:tcPr>
                  <w:tcW w:w="595" w:type="pct"/>
                  <w:tcBorders>
                    <w:tl2br w:val="nil"/>
                    <w:tr2bl w:val="nil"/>
                  </w:tcBorders>
                  <w:vAlign w:val="center"/>
                </w:tcPr>
                <w:p w14:paraId="610D6037">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2类</w:t>
                  </w:r>
                </w:p>
              </w:tc>
              <w:tc>
                <w:tcPr>
                  <w:tcW w:w="1940" w:type="pct"/>
                  <w:tcBorders>
                    <w:tl2br w:val="nil"/>
                    <w:tr2bl w:val="nil"/>
                  </w:tcBorders>
                  <w:vAlign w:val="center"/>
                </w:tcPr>
                <w:p w14:paraId="35181F80">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住宅，约1200人</w:t>
                  </w:r>
                  <w:r>
                    <w:rPr>
                      <w:rFonts w:ascii="Times New Roman" w:hAnsi="Times New Roman" w:eastAsia="宋体" w:cs="Times New Roman"/>
                      <w:color w:val="auto"/>
                      <w:szCs w:val="21"/>
                      <w:highlight w:val="none"/>
                    </w:rPr>
                    <w:t>；为</w:t>
                  </w:r>
                  <w:r>
                    <w:rPr>
                      <w:rFonts w:hint="eastAsia" w:ascii="Times New Roman" w:hAnsi="Times New Roman" w:eastAsia="宋体" w:cs="Times New Roman"/>
                      <w:color w:val="auto"/>
                      <w:szCs w:val="21"/>
                      <w:highlight w:val="none"/>
                      <w:lang w:val="en-US" w:eastAsia="zh-CN"/>
                    </w:rPr>
                    <w:t>20</w:t>
                  </w:r>
                  <w:r>
                    <w:rPr>
                      <w:rFonts w:ascii="Times New Roman" w:hAnsi="Times New Roman" w:eastAsia="宋体" w:cs="Times New Roman"/>
                      <w:color w:val="auto"/>
                      <w:szCs w:val="21"/>
                      <w:highlight w:val="none"/>
                    </w:rPr>
                    <w:t>F框架结构建筑；声环境现状以交通噪声、社会生活噪声为主</w:t>
                  </w:r>
                </w:p>
              </w:tc>
            </w:tr>
            <w:tr w14:paraId="232D2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tcBorders>
                    <w:tl2br w:val="nil"/>
                    <w:tr2bl w:val="nil"/>
                  </w:tcBorders>
                  <w:vAlign w:val="center"/>
                </w:tcPr>
                <w:p w14:paraId="1653E745">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714" w:type="pct"/>
                  <w:tcBorders>
                    <w:tl2br w:val="nil"/>
                    <w:tr2bl w:val="nil"/>
                  </w:tcBorders>
                  <w:vAlign w:val="center"/>
                </w:tcPr>
                <w:p w14:paraId="187AA775">
                  <w:pPr>
                    <w:jc w:val="center"/>
                    <w:rPr>
                      <w:rFonts w:hint="default" w:ascii="Times New Roman" w:hAnsi="Times New Roman" w:eastAsia="宋体" w:cs="Times New Roman"/>
                      <w:b/>
                      <w:bCs/>
                      <w:color w:val="auto"/>
                      <w:kern w:val="0"/>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马尔康市公安局防暴大队</w:t>
                  </w:r>
                </w:p>
              </w:tc>
              <w:tc>
                <w:tcPr>
                  <w:tcW w:w="671" w:type="pct"/>
                  <w:tcBorders>
                    <w:tl2br w:val="nil"/>
                    <w:tr2bl w:val="nil"/>
                  </w:tcBorders>
                  <w:vAlign w:val="center"/>
                </w:tcPr>
                <w:p w14:paraId="7F40A1B5">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20m</w:t>
                  </w:r>
                </w:p>
              </w:tc>
              <w:tc>
                <w:tcPr>
                  <w:tcW w:w="530" w:type="pct"/>
                  <w:tcBorders>
                    <w:tl2br w:val="nil"/>
                    <w:tr2bl w:val="nil"/>
                  </w:tcBorders>
                  <w:vAlign w:val="center"/>
                </w:tcPr>
                <w:p w14:paraId="07BC5A7D">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西南测</w:t>
                  </w:r>
                </w:p>
              </w:tc>
              <w:tc>
                <w:tcPr>
                  <w:tcW w:w="595" w:type="pct"/>
                  <w:tcBorders>
                    <w:tl2br w:val="nil"/>
                    <w:tr2bl w:val="nil"/>
                  </w:tcBorders>
                  <w:vAlign w:val="center"/>
                </w:tcPr>
                <w:p w14:paraId="5C0AC24C">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2类</w:t>
                  </w:r>
                </w:p>
              </w:tc>
              <w:tc>
                <w:tcPr>
                  <w:tcW w:w="1940" w:type="pct"/>
                  <w:tcBorders>
                    <w:tl2br w:val="nil"/>
                    <w:tr2bl w:val="nil"/>
                  </w:tcBorders>
                  <w:vAlign w:val="center"/>
                </w:tcPr>
                <w:p w14:paraId="4DEAF7E1">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事业单位，</w:t>
                  </w:r>
                  <w:r>
                    <w:rPr>
                      <w:rFonts w:ascii="Times New Roman" w:hAnsi="Times New Roman" w:eastAsia="宋体" w:cs="Times New Roman"/>
                      <w:color w:val="auto"/>
                      <w:szCs w:val="21"/>
                      <w:highlight w:val="none"/>
                    </w:rPr>
                    <w:t>约</w:t>
                  </w:r>
                  <w:r>
                    <w:rPr>
                      <w:rFonts w:hint="eastAsia" w:ascii="Times New Roman" w:hAnsi="Times New Roman" w:eastAsia="宋体" w:cs="Times New Roman"/>
                      <w:color w:val="auto"/>
                      <w:szCs w:val="21"/>
                      <w:highlight w:val="none"/>
                      <w:lang w:val="en-US" w:eastAsia="zh-CN"/>
                    </w:rPr>
                    <w:t>30</w:t>
                  </w:r>
                  <w:r>
                    <w:rPr>
                      <w:rFonts w:ascii="Times New Roman" w:hAnsi="Times New Roman" w:eastAsia="宋体" w:cs="Times New Roman"/>
                      <w:color w:val="auto"/>
                      <w:szCs w:val="21"/>
                      <w:highlight w:val="none"/>
                    </w:rPr>
                    <w:t>人；为</w:t>
                  </w:r>
                  <w:r>
                    <w:rPr>
                      <w:rFonts w:hint="eastAsia" w:ascii="Times New Roman" w:hAnsi="Times New Roman" w:eastAsia="宋体" w:cs="Times New Roman"/>
                      <w:color w:val="auto"/>
                      <w:szCs w:val="21"/>
                      <w:highlight w:val="none"/>
                      <w:lang w:val="en-US" w:eastAsia="zh-CN"/>
                    </w:rPr>
                    <w:t>2</w:t>
                  </w:r>
                  <w:r>
                    <w:rPr>
                      <w:rFonts w:ascii="Times New Roman" w:hAnsi="Times New Roman" w:eastAsia="宋体" w:cs="Times New Roman"/>
                      <w:color w:val="auto"/>
                      <w:szCs w:val="21"/>
                      <w:highlight w:val="none"/>
                    </w:rPr>
                    <w:t>F框架结构建筑；声环境现状以交通噪声、社会生活噪声为主</w:t>
                  </w:r>
                </w:p>
              </w:tc>
            </w:tr>
            <w:tr w14:paraId="4BC01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tcBorders>
                    <w:tl2br w:val="nil"/>
                    <w:tr2bl w:val="nil"/>
                  </w:tcBorders>
                  <w:vAlign w:val="center"/>
                </w:tcPr>
                <w:p w14:paraId="2CE427AD">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4</w:t>
                  </w:r>
                </w:p>
              </w:tc>
              <w:tc>
                <w:tcPr>
                  <w:tcW w:w="714" w:type="pct"/>
                  <w:tcBorders>
                    <w:tl2br w:val="nil"/>
                    <w:tr2bl w:val="nil"/>
                  </w:tcBorders>
                  <w:vAlign w:val="center"/>
                </w:tcPr>
                <w:p w14:paraId="034D0429">
                  <w:pPr>
                    <w:widowControl/>
                    <w:jc w:val="center"/>
                    <w:textAlignment w:val="center"/>
                    <w:rPr>
                      <w:rFonts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马尔康市本真林业工作站</w:t>
                  </w:r>
                </w:p>
              </w:tc>
              <w:tc>
                <w:tcPr>
                  <w:tcW w:w="671" w:type="pct"/>
                  <w:tcBorders>
                    <w:tl2br w:val="nil"/>
                    <w:tr2bl w:val="nil"/>
                  </w:tcBorders>
                  <w:vAlign w:val="center"/>
                </w:tcPr>
                <w:p w14:paraId="172893C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20m</w:t>
                  </w:r>
                </w:p>
              </w:tc>
              <w:tc>
                <w:tcPr>
                  <w:tcW w:w="530" w:type="pct"/>
                  <w:tcBorders>
                    <w:tl2br w:val="nil"/>
                    <w:tr2bl w:val="nil"/>
                  </w:tcBorders>
                  <w:vAlign w:val="center"/>
                </w:tcPr>
                <w:p w14:paraId="67791026">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南侧</w:t>
                  </w:r>
                </w:p>
              </w:tc>
              <w:tc>
                <w:tcPr>
                  <w:tcW w:w="595" w:type="pct"/>
                  <w:tcBorders>
                    <w:tl2br w:val="nil"/>
                    <w:tr2bl w:val="nil"/>
                  </w:tcBorders>
                  <w:vAlign w:val="center"/>
                </w:tcPr>
                <w:p w14:paraId="2478EDCD">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2类</w:t>
                  </w:r>
                </w:p>
              </w:tc>
              <w:tc>
                <w:tcPr>
                  <w:tcW w:w="1940" w:type="pct"/>
                  <w:tcBorders>
                    <w:tl2br w:val="nil"/>
                    <w:tr2bl w:val="nil"/>
                  </w:tcBorders>
                  <w:vAlign w:val="center"/>
                </w:tcPr>
                <w:p w14:paraId="2249C077">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事业单位</w:t>
                  </w:r>
                  <w:r>
                    <w:rPr>
                      <w:rFonts w:ascii="Times New Roman" w:hAnsi="Times New Roman" w:eastAsia="宋体" w:cs="Times New Roman"/>
                      <w:color w:val="auto"/>
                      <w:szCs w:val="21"/>
                      <w:highlight w:val="none"/>
                    </w:rPr>
                    <w:t>约</w:t>
                  </w:r>
                  <w:r>
                    <w:rPr>
                      <w:rFonts w:hint="eastAsia" w:ascii="Times New Roman" w:hAnsi="Times New Roman" w:eastAsia="宋体" w:cs="Times New Roman"/>
                      <w:color w:val="auto"/>
                      <w:szCs w:val="21"/>
                      <w:highlight w:val="none"/>
                      <w:lang w:val="en-US" w:eastAsia="zh-CN"/>
                    </w:rPr>
                    <w:t>50</w:t>
                  </w:r>
                  <w:r>
                    <w:rPr>
                      <w:rFonts w:ascii="Times New Roman" w:hAnsi="Times New Roman" w:eastAsia="宋体" w:cs="Times New Roman"/>
                      <w:color w:val="auto"/>
                      <w:szCs w:val="21"/>
                      <w:highlight w:val="none"/>
                    </w:rPr>
                    <w:t>人；为</w:t>
                  </w:r>
                  <w:r>
                    <w:rPr>
                      <w:rFonts w:hint="eastAsia" w:ascii="Times New Roman" w:hAnsi="Times New Roman" w:eastAsia="宋体" w:cs="Times New Roman"/>
                      <w:color w:val="auto"/>
                      <w:szCs w:val="21"/>
                      <w:highlight w:val="none"/>
                      <w:lang w:val="en-US" w:eastAsia="zh-CN"/>
                    </w:rPr>
                    <w:t>2</w:t>
                  </w:r>
                  <w:r>
                    <w:rPr>
                      <w:rFonts w:ascii="Times New Roman" w:hAnsi="Times New Roman" w:eastAsia="宋体" w:cs="Times New Roman"/>
                      <w:color w:val="auto"/>
                      <w:szCs w:val="21"/>
                      <w:highlight w:val="none"/>
                    </w:rPr>
                    <w:t>F框架结构建筑；声环境现状以交通噪声、社会生活噪声为主</w:t>
                  </w:r>
                </w:p>
              </w:tc>
            </w:tr>
            <w:tr w14:paraId="2E735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tcBorders>
                    <w:tl2br w:val="nil"/>
                    <w:tr2bl w:val="nil"/>
                  </w:tcBorders>
                  <w:vAlign w:val="center"/>
                </w:tcPr>
                <w:p w14:paraId="6902A7A2">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5</w:t>
                  </w:r>
                </w:p>
              </w:tc>
              <w:tc>
                <w:tcPr>
                  <w:tcW w:w="714" w:type="pct"/>
                  <w:tcBorders>
                    <w:tl2br w:val="nil"/>
                    <w:tr2bl w:val="nil"/>
                  </w:tcBorders>
                  <w:vAlign w:val="center"/>
                </w:tcPr>
                <w:p w14:paraId="17F32A1B">
                  <w:pPr>
                    <w:widowControl/>
                    <w:jc w:val="center"/>
                    <w:textAlignment w:val="center"/>
                    <w:rPr>
                      <w:rFonts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马尔康市水务局</w:t>
                  </w:r>
                </w:p>
              </w:tc>
              <w:tc>
                <w:tcPr>
                  <w:tcW w:w="671" w:type="pct"/>
                  <w:tcBorders>
                    <w:tl2br w:val="nil"/>
                    <w:tr2bl w:val="nil"/>
                  </w:tcBorders>
                  <w:vAlign w:val="center"/>
                </w:tcPr>
                <w:p w14:paraId="5381AE4E">
                  <w:pPr>
                    <w:widowControl/>
                    <w:jc w:val="center"/>
                    <w:textAlignment w:val="center"/>
                    <w:rPr>
                      <w:rFonts w:ascii="Times New Roman" w:hAnsi="Times New Roman" w:eastAsia="宋体" w:cs="Times New Roman"/>
                      <w:color w:val="auto"/>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20m</w:t>
                  </w:r>
                </w:p>
              </w:tc>
              <w:tc>
                <w:tcPr>
                  <w:tcW w:w="530" w:type="pct"/>
                  <w:tcBorders>
                    <w:tl2br w:val="nil"/>
                    <w:tr2bl w:val="nil"/>
                  </w:tcBorders>
                  <w:vAlign w:val="center"/>
                </w:tcPr>
                <w:p w14:paraId="42312194">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东南侧</w:t>
                  </w:r>
                </w:p>
              </w:tc>
              <w:tc>
                <w:tcPr>
                  <w:tcW w:w="595" w:type="pct"/>
                  <w:tcBorders>
                    <w:tl2br w:val="nil"/>
                    <w:tr2bl w:val="nil"/>
                  </w:tcBorders>
                  <w:vAlign w:val="center"/>
                </w:tcPr>
                <w:p w14:paraId="660EC384">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2类</w:t>
                  </w:r>
                </w:p>
              </w:tc>
              <w:tc>
                <w:tcPr>
                  <w:tcW w:w="1940" w:type="pct"/>
                  <w:tcBorders>
                    <w:tl2br w:val="nil"/>
                    <w:tr2bl w:val="nil"/>
                  </w:tcBorders>
                  <w:vAlign w:val="center"/>
                </w:tcPr>
                <w:p w14:paraId="1261138B">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事业单位，</w:t>
                  </w:r>
                  <w:r>
                    <w:rPr>
                      <w:rFonts w:ascii="Times New Roman" w:hAnsi="Times New Roman" w:eastAsia="宋体" w:cs="Times New Roman"/>
                      <w:color w:val="auto"/>
                      <w:szCs w:val="21"/>
                      <w:highlight w:val="none"/>
                    </w:rPr>
                    <w:t>约</w:t>
                  </w:r>
                  <w:r>
                    <w:rPr>
                      <w:rFonts w:hint="eastAsia" w:ascii="Times New Roman" w:hAnsi="Times New Roman" w:eastAsia="宋体" w:cs="Times New Roman"/>
                      <w:color w:val="auto"/>
                      <w:szCs w:val="21"/>
                      <w:highlight w:val="none"/>
                      <w:lang w:val="en-US" w:eastAsia="zh-CN"/>
                    </w:rPr>
                    <w:t>88</w:t>
                  </w:r>
                  <w:r>
                    <w:rPr>
                      <w:rFonts w:ascii="Times New Roman" w:hAnsi="Times New Roman" w:eastAsia="宋体" w:cs="Times New Roman"/>
                      <w:color w:val="auto"/>
                      <w:szCs w:val="21"/>
                      <w:highlight w:val="none"/>
                    </w:rPr>
                    <w:t>人；为</w:t>
                  </w:r>
                  <w:r>
                    <w:rPr>
                      <w:rFonts w:hint="eastAsia" w:ascii="Times New Roman" w:hAnsi="Times New Roman" w:eastAsia="宋体" w:cs="Times New Roman"/>
                      <w:color w:val="auto"/>
                      <w:szCs w:val="21"/>
                      <w:highlight w:val="none"/>
                      <w:lang w:val="en-US" w:eastAsia="zh-CN"/>
                    </w:rPr>
                    <w:t>3</w:t>
                  </w:r>
                  <w:r>
                    <w:rPr>
                      <w:rFonts w:ascii="Times New Roman" w:hAnsi="Times New Roman" w:eastAsia="宋体" w:cs="Times New Roman"/>
                      <w:color w:val="auto"/>
                      <w:szCs w:val="21"/>
                      <w:highlight w:val="none"/>
                    </w:rPr>
                    <w:t>F框架结构建筑；声环境现状以交通噪声、社会生活噪声为主</w:t>
                  </w:r>
                </w:p>
              </w:tc>
            </w:tr>
          </w:tbl>
          <w:p w14:paraId="0725668C">
            <w:pPr>
              <w:spacing w:line="360" w:lineRule="auto"/>
              <w:ind w:firstLine="482" w:firstLineChars="200"/>
              <w:rPr>
                <w:rFonts w:ascii="Times New Roman" w:hAnsi="Times New Roman" w:cs="Times New Roman"/>
                <w:b/>
                <w:color w:val="auto"/>
                <w:sz w:val="24"/>
                <w:highlight w:val="none"/>
              </w:rPr>
            </w:pPr>
            <w:r>
              <w:rPr>
                <w:rFonts w:hint="eastAsia" w:ascii="Times New Roman" w:hAnsi="Times New Roman" w:cs="Times New Roman"/>
                <w:b/>
                <w:color w:val="auto"/>
                <w:sz w:val="24"/>
                <w:highlight w:val="none"/>
              </w:rPr>
              <w:t>3、地下水环境保护目标</w:t>
            </w:r>
          </w:p>
          <w:p w14:paraId="7DD61437">
            <w:pPr>
              <w:spacing w:line="360" w:lineRule="auto"/>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根据现场踏勘，本项目厂界外500m范围内无地下水集中式饮用水水源和热水、矿泉水、温泉等特殊地下水资源。</w:t>
            </w:r>
          </w:p>
          <w:p w14:paraId="50C41833">
            <w:pPr>
              <w:spacing w:line="360" w:lineRule="auto"/>
              <w:ind w:firstLine="482" w:firstLineChars="200"/>
              <w:rPr>
                <w:rFonts w:ascii="Times New Roman" w:hAnsi="Times New Roman" w:cs="Times New Roman"/>
                <w:b/>
                <w:color w:val="auto"/>
                <w:sz w:val="24"/>
                <w:highlight w:val="none"/>
              </w:rPr>
            </w:pPr>
            <w:r>
              <w:rPr>
                <w:rFonts w:hint="eastAsia" w:ascii="Times New Roman" w:hAnsi="Times New Roman" w:cs="Times New Roman"/>
                <w:b/>
                <w:color w:val="auto"/>
                <w:sz w:val="24"/>
                <w:highlight w:val="none"/>
              </w:rPr>
              <w:t>4、生态环境保护目标</w:t>
            </w:r>
          </w:p>
          <w:p w14:paraId="4D555917">
            <w:pPr>
              <w:spacing w:line="360" w:lineRule="auto"/>
              <w:ind w:firstLine="480" w:firstLineChars="200"/>
              <w:rPr>
                <w:rFonts w:hint="eastAsia" w:ascii="Times New Roman" w:hAnsi="Times New Roman" w:cs="Times New Roman"/>
                <w:color w:val="auto"/>
                <w:sz w:val="24"/>
                <w:highlight w:val="none"/>
              </w:rPr>
            </w:pPr>
            <w:r>
              <w:rPr>
                <w:rFonts w:ascii="Times New Roman" w:hAnsi="Times New Roman" w:cs="Times New Roman"/>
                <w:color w:val="auto"/>
                <w:sz w:val="24"/>
                <w:highlight w:val="none"/>
              </w:rPr>
              <w:t>本项目位于</w:t>
            </w:r>
            <w:r>
              <w:rPr>
                <w:rFonts w:hint="eastAsia" w:ascii="Times New Roman" w:hAnsi="Times New Roman" w:cs="Times New Roman"/>
                <w:color w:val="auto"/>
                <w:sz w:val="24"/>
                <w:highlight w:val="none"/>
                <w:lang w:eastAsia="zh-CN"/>
              </w:rPr>
              <w:t>马尔康市达萨街439号</w:t>
            </w:r>
            <w:r>
              <w:rPr>
                <w:rFonts w:hint="eastAsia" w:ascii="Times New Roman" w:hAnsi="Times New Roman" w:cs="Times New Roman"/>
                <w:color w:val="auto"/>
                <w:sz w:val="24"/>
                <w:highlight w:val="none"/>
              </w:rPr>
              <w:t>，系</w:t>
            </w:r>
            <w:r>
              <w:rPr>
                <w:rFonts w:hint="eastAsia" w:ascii="Times New Roman" w:hAnsi="Times New Roman" w:cs="Times New Roman"/>
                <w:color w:val="auto"/>
                <w:sz w:val="24"/>
                <w:szCs w:val="24"/>
                <w:highlight w:val="none"/>
                <w:lang w:val="en-US" w:eastAsia="zh-CN"/>
              </w:rPr>
              <w:t>学校用地</w:t>
            </w:r>
            <w:r>
              <w:rPr>
                <w:rFonts w:hint="eastAsia" w:ascii="Times New Roman" w:hAnsi="Times New Roman" w:cs="Times New Roman"/>
                <w:color w:val="auto"/>
                <w:sz w:val="24"/>
                <w:highlight w:val="none"/>
              </w:rPr>
              <w:t>范围内进行</w:t>
            </w:r>
            <w:r>
              <w:rPr>
                <w:rFonts w:hint="eastAsia" w:ascii="Times New Roman" w:hAnsi="Times New Roman" w:cs="Times New Roman"/>
                <w:color w:val="auto"/>
                <w:sz w:val="24"/>
                <w:highlight w:val="none"/>
                <w:lang w:val="en-US" w:eastAsia="zh-CN"/>
              </w:rPr>
              <w:t>改</w:t>
            </w:r>
            <w:r>
              <w:rPr>
                <w:rFonts w:hint="eastAsia" w:ascii="Times New Roman" w:hAnsi="Times New Roman" w:cs="Times New Roman"/>
                <w:color w:val="auto"/>
                <w:sz w:val="24"/>
                <w:highlight w:val="none"/>
              </w:rPr>
              <w:t>建，用地范围内无生态环境保护目标分布。</w:t>
            </w:r>
          </w:p>
          <w:p w14:paraId="3FE8A3D1">
            <w:pPr>
              <w:pStyle w:val="30"/>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5、土壤环境保护目标</w:t>
            </w:r>
          </w:p>
          <w:p w14:paraId="6E2A9D97">
            <w:pPr>
              <w:pStyle w:val="3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本项目用地范围内无土壤环境保护目标。</w:t>
            </w:r>
          </w:p>
          <w:p w14:paraId="5324205E">
            <w:pPr>
              <w:pStyle w:val="3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6、地表水环境保护目标</w:t>
            </w:r>
          </w:p>
          <w:p w14:paraId="3DC3D0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本项目纳污水体为</w:t>
            </w:r>
            <w:r>
              <w:rPr>
                <w:rFonts w:hint="eastAsia" w:ascii="Times New Roman" w:hAnsi="Times New Roman" w:eastAsia="宋体" w:cs="Times New Roman"/>
                <w:color w:val="auto"/>
                <w:sz w:val="24"/>
                <w:szCs w:val="24"/>
                <w:highlight w:val="none"/>
                <w:lang w:val="en-US" w:eastAsia="zh-CN"/>
              </w:rPr>
              <w:t>梭磨河</w:t>
            </w:r>
            <w:r>
              <w:rPr>
                <w:rFonts w:hint="default" w:ascii="Times New Roman" w:hAnsi="Times New Roman" w:eastAsia="宋体" w:cs="Times New Roman"/>
                <w:color w:val="auto"/>
                <w:sz w:val="24"/>
                <w:szCs w:val="24"/>
                <w:highlight w:val="none"/>
                <w:lang w:val="en-US" w:eastAsia="zh-CN"/>
              </w:rPr>
              <w:t>，水质应满足《地表水环境质量标准》（GB3838-2002）中</w:t>
            </w:r>
            <w:r>
              <w:rPr>
                <w:rFonts w:hint="default" w:ascii="Times New Roman" w:hAnsi="Times New Roman" w:eastAsia="宋体" w:cs="Times New Roman"/>
                <w:color w:val="auto"/>
                <w:sz w:val="24"/>
                <w:szCs w:val="24"/>
                <w:highlight w:val="none"/>
              </w:rPr>
              <w:t>Ⅲ类标准。</w:t>
            </w:r>
          </w:p>
          <w:p w14:paraId="5AF3E380">
            <w:pPr>
              <w:pStyle w:val="116"/>
              <w:bidi w:val="0"/>
              <w:rPr>
                <w:color w:val="auto"/>
              </w:rPr>
            </w:pPr>
            <w:r>
              <w:rPr>
                <w:color w:val="auto"/>
              </w:rPr>
              <w:t>地表水环境保护目标</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134"/>
              <w:gridCol w:w="907"/>
              <w:gridCol w:w="1404"/>
              <w:gridCol w:w="903"/>
              <w:gridCol w:w="1312"/>
              <w:gridCol w:w="2297"/>
            </w:tblGrid>
            <w:tr w14:paraId="29CBE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7" w:type="pct"/>
                  <w:tcBorders>
                    <w:tl2br w:val="nil"/>
                    <w:tr2bl w:val="nil"/>
                  </w:tcBorders>
                  <w:vAlign w:val="center"/>
                </w:tcPr>
                <w:p w14:paraId="0A9D927B">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类别</w:t>
                  </w:r>
                </w:p>
              </w:tc>
              <w:tc>
                <w:tcPr>
                  <w:tcW w:w="643" w:type="pct"/>
                  <w:tcBorders>
                    <w:tl2br w:val="nil"/>
                    <w:tr2bl w:val="nil"/>
                  </w:tcBorders>
                  <w:vAlign w:val="center"/>
                </w:tcPr>
                <w:p w14:paraId="3700242E">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保护对象</w:t>
                  </w:r>
                </w:p>
              </w:tc>
              <w:tc>
                <w:tcPr>
                  <w:tcW w:w="514" w:type="pct"/>
                  <w:tcBorders>
                    <w:tl2br w:val="nil"/>
                    <w:tr2bl w:val="nil"/>
                  </w:tcBorders>
                  <w:vAlign w:val="center"/>
                </w:tcPr>
                <w:p w14:paraId="1BC912ED">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方位</w:t>
                  </w:r>
                </w:p>
              </w:tc>
              <w:tc>
                <w:tcPr>
                  <w:tcW w:w="796" w:type="pct"/>
                  <w:tcBorders>
                    <w:tl2br w:val="nil"/>
                    <w:tr2bl w:val="nil"/>
                  </w:tcBorders>
                  <w:vAlign w:val="center"/>
                </w:tcPr>
                <w:p w14:paraId="31E9D524">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与红线距离</w:t>
                  </w:r>
                </w:p>
              </w:tc>
              <w:tc>
                <w:tcPr>
                  <w:tcW w:w="512" w:type="pct"/>
                  <w:tcBorders>
                    <w:tl2br w:val="nil"/>
                    <w:tr2bl w:val="nil"/>
                  </w:tcBorders>
                  <w:vAlign w:val="center"/>
                </w:tcPr>
                <w:p w14:paraId="0AD459C4">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规模</w:t>
                  </w:r>
                </w:p>
              </w:tc>
              <w:tc>
                <w:tcPr>
                  <w:tcW w:w="744" w:type="pct"/>
                  <w:tcBorders>
                    <w:tl2br w:val="nil"/>
                    <w:tr2bl w:val="nil"/>
                  </w:tcBorders>
                  <w:vAlign w:val="center"/>
                </w:tcPr>
                <w:p w14:paraId="4D248091">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性质</w:t>
                  </w:r>
                </w:p>
              </w:tc>
              <w:tc>
                <w:tcPr>
                  <w:tcW w:w="1302" w:type="pct"/>
                  <w:tcBorders>
                    <w:tl2br w:val="nil"/>
                    <w:tr2bl w:val="nil"/>
                  </w:tcBorders>
                  <w:vAlign w:val="center"/>
                </w:tcPr>
                <w:p w14:paraId="67587BCD">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保护级别</w:t>
                  </w:r>
                </w:p>
              </w:tc>
            </w:tr>
            <w:tr w14:paraId="736A2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87" w:type="pct"/>
                  <w:tcBorders>
                    <w:tl2br w:val="nil"/>
                    <w:tr2bl w:val="nil"/>
                  </w:tcBorders>
                  <w:vAlign w:val="center"/>
                </w:tcPr>
                <w:p w14:paraId="2BFF71FA">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地表水环境</w:t>
                  </w:r>
                </w:p>
              </w:tc>
              <w:tc>
                <w:tcPr>
                  <w:tcW w:w="643" w:type="pct"/>
                  <w:tcBorders>
                    <w:tl2br w:val="nil"/>
                    <w:tr2bl w:val="nil"/>
                  </w:tcBorders>
                  <w:vAlign w:val="center"/>
                </w:tcPr>
                <w:p w14:paraId="507C2CCE">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梭磨河</w:t>
                  </w:r>
                </w:p>
              </w:tc>
              <w:tc>
                <w:tcPr>
                  <w:tcW w:w="514" w:type="pct"/>
                  <w:tcBorders>
                    <w:tl2br w:val="nil"/>
                    <w:tr2bl w:val="nil"/>
                  </w:tcBorders>
                  <w:vAlign w:val="center"/>
                </w:tcPr>
                <w:p w14:paraId="46BC332E">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西南侧</w:t>
                  </w:r>
                </w:p>
              </w:tc>
              <w:tc>
                <w:tcPr>
                  <w:tcW w:w="796" w:type="pct"/>
                  <w:tcBorders>
                    <w:tl2br w:val="nil"/>
                    <w:tr2bl w:val="nil"/>
                  </w:tcBorders>
                  <w:vAlign w:val="center"/>
                </w:tcPr>
                <w:p w14:paraId="7DD7DC62">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90m</w:t>
                  </w:r>
                </w:p>
              </w:tc>
              <w:tc>
                <w:tcPr>
                  <w:tcW w:w="512" w:type="pct"/>
                  <w:tcBorders>
                    <w:tl2br w:val="nil"/>
                    <w:tr2bl w:val="nil"/>
                  </w:tcBorders>
                  <w:vAlign w:val="center"/>
                </w:tcPr>
                <w:p w14:paraId="18EE3B3E">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小河</w:t>
                  </w:r>
                </w:p>
              </w:tc>
              <w:tc>
                <w:tcPr>
                  <w:tcW w:w="744" w:type="pct"/>
                  <w:tcBorders>
                    <w:tl2br w:val="nil"/>
                    <w:tr2bl w:val="nil"/>
                  </w:tcBorders>
                  <w:vAlign w:val="center"/>
                </w:tcPr>
                <w:p w14:paraId="270C0378">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灌溉</w:t>
                  </w:r>
                  <w:r>
                    <w:rPr>
                      <w:rFonts w:ascii="Times New Roman" w:hAnsi="Times New Roman" w:cs="Times New Roman"/>
                      <w:color w:val="auto"/>
                      <w:szCs w:val="21"/>
                      <w:highlight w:val="none"/>
                    </w:rPr>
                    <w:t>、行洪</w:t>
                  </w:r>
                </w:p>
              </w:tc>
              <w:tc>
                <w:tcPr>
                  <w:tcW w:w="1302" w:type="pct"/>
                  <w:tcBorders>
                    <w:tl2br w:val="nil"/>
                    <w:tr2bl w:val="nil"/>
                  </w:tcBorders>
                  <w:vAlign w:val="center"/>
                </w:tcPr>
                <w:p w14:paraId="4B3C1F63">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《地表水环境质量标准》（GB3838-2002）Ⅲ类标准</w:t>
                  </w:r>
                </w:p>
              </w:tc>
            </w:tr>
          </w:tbl>
          <w:p w14:paraId="5D76EDA4">
            <w:pPr>
              <w:pStyle w:val="30"/>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rPr>
            </w:pPr>
          </w:p>
          <w:p w14:paraId="792351A1">
            <w:pPr>
              <w:pStyle w:val="3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rPr>
            </w:pPr>
          </w:p>
          <w:p w14:paraId="6C24AE86">
            <w:pPr>
              <w:rPr>
                <w:color w:val="auto"/>
                <w:highlight w:val="none"/>
              </w:rPr>
            </w:pPr>
          </w:p>
        </w:tc>
      </w:tr>
      <w:tr w14:paraId="66CA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9D4DBF3">
            <w:pPr>
              <w:jc w:val="center"/>
              <w:rPr>
                <w:color w:val="auto"/>
                <w:sz w:val="24"/>
                <w:szCs w:val="24"/>
                <w:highlight w:val="none"/>
              </w:rPr>
            </w:pPr>
            <w:r>
              <w:rPr>
                <w:rFonts w:hint="eastAsia"/>
                <w:color w:val="auto"/>
                <w:sz w:val="24"/>
                <w:szCs w:val="24"/>
                <w:highlight w:val="none"/>
              </w:rPr>
              <w:t>污染物排放控制标准</w:t>
            </w:r>
          </w:p>
        </w:tc>
        <w:tc>
          <w:tcPr>
            <w:tcW w:w="9032" w:type="dxa"/>
          </w:tcPr>
          <w:p w14:paraId="593F40AE">
            <w:pPr>
              <w:spacing w:line="360" w:lineRule="auto"/>
              <w:ind w:firstLine="482" w:firstLineChars="200"/>
              <w:rPr>
                <w:rFonts w:ascii="Times New Roman" w:hAnsi="Times New Roman" w:cs="Times New Roman"/>
                <w:b/>
                <w:color w:val="auto"/>
                <w:sz w:val="24"/>
                <w:highlight w:val="none"/>
              </w:rPr>
            </w:pPr>
            <w:r>
              <w:rPr>
                <w:rFonts w:ascii="Times New Roman" w:hAnsi="Times New Roman" w:cs="Times New Roman"/>
                <w:b/>
                <w:color w:val="auto"/>
                <w:sz w:val="24"/>
                <w:highlight w:val="none"/>
              </w:rPr>
              <w:t>1、废气</w:t>
            </w:r>
          </w:p>
          <w:p w14:paraId="08071CC3">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项目施工期，场地扬尘排放执行《四川省施工场地扬尘排放标准》（DB51/2682-2020）表1中阿坝藏族自治州施工场地排放限值。</w:t>
            </w:r>
          </w:p>
          <w:p w14:paraId="23F333EB">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具体标准值见下表：</w:t>
            </w:r>
          </w:p>
          <w:p w14:paraId="60FB05F9">
            <w:pPr>
              <w:pStyle w:val="116"/>
              <w:bidi w:val="0"/>
              <w:rPr>
                <w:rFonts w:hint="default"/>
                <w:color w:val="auto"/>
                <w:lang w:val="en-US" w:eastAsia="zh-CN"/>
              </w:rPr>
            </w:pPr>
            <w:r>
              <w:rPr>
                <w:rFonts w:hint="eastAsia"/>
                <w:color w:val="auto"/>
                <w:lang w:val="en-US" w:eastAsia="zh-CN"/>
              </w:rPr>
              <w:t>《四川省施工场地扬尘排放标准》（DB51/2682-2020）</w:t>
            </w:r>
          </w:p>
          <w:tbl>
            <w:tblPr>
              <w:tblStyle w:val="41"/>
              <w:tblW w:w="88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2934"/>
              <w:gridCol w:w="2362"/>
              <w:gridCol w:w="1977"/>
            </w:tblGrid>
            <w:tr w14:paraId="5532D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tcBorders>
                    <w:tl2br w:val="nil"/>
                    <w:tr2bl w:val="nil"/>
                  </w:tcBorders>
                  <w:vAlign w:val="center"/>
                </w:tcPr>
                <w:p w14:paraId="5159C1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监测项目</w:t>
                  </w:r>
                </w:p>
              </w:tc>
              <w:tc>
                <w:tcPr>
                  <w:tcW w:w="2934" w:type="dxa"/>
                  <w:tcBorders>
                    <w:tl2br w:val="nil"/>
                    <w:tr2bl w:val="nil"/>
                  </w:tcBorders>
                  <w:vAlign w:val="center"/>
                </w:tcPr>
                <w:p w14:paraId="02744E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区域</w:t>
                  </w:r>
                </w:p>
              </w:tc>
              <w:tc>
                <w:tcPr>
                  <w:tcW w:w="2362" w:type="dxa"/>
                  <w:tcBorders>
                    <w:tl2br w:val="nil"/>
                    <w:tr2bl w:val="nil"/>
                  </w:tcBorders>
                  <w:vAlign w:val="center"/>
                </w:tcPr>
                <w:p w14:paraId="0570D6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施工阶段</w:t>
                  </w:r>
                </w:p>
              </w:tc>
              <w:tc>
                <w:tcPr>
                  <w:tcW w:w="1977" w:type="dxa"/>
                  <w:tcBorders>
                    <w:tl2br w:val="nil"/>
                    <w:tr2bl w:val="nil"/>
                  </w:tcBorders>
                  <w:vAlign w:val="center"/>
                </w:tcPr>
                <w:p w14:paraId="579D67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监测点排放限值（mg/m</w:t>
                  </w:r>
                  <w:r>
                    <w:rPr>
                      <w:rFonts w:hint="eastAsia" w:ascii="Times New Roman" w:hAnsi="Times New Roman" w:cs="Times New Roman"/>
                      <w:b/>
                      <w:bCs/>
                      <w:color w:val="auto"/>
                      <w:sz w:val="21"/>
                      <w:szCs w:val="21"/>
                      <w:highlight w:val="none"/>
                      <w:vertAlign w:val="superscript"/>
                      <w:lang w:val="en-US" w:eastAsia="zh-CN"/>
                    </w:rPr>
                    <w:t>3</w:t>
                  </w:r>
                  <w:r>
                    <w:rPr>
                      <w:rFonts w:hint="eastAsia" w:ascii="Times New Roman" w:hAnsi="Times New Roman" w:cs="Times New Roman"/>
                      <w:b/>
                      <w:bCs/>
                      <w:color w:val="auto"/>
                      <w:sz w:val="21"/>
                      <w:szCs w:val="21"/>
                      <w:highlight w:val="none"/>
                      <w:vertAlign w:val="baseline"/>
                      <w:lang w:val="en-US" w:eastAsia="zh-CN"/>
                    </w:rPr>
                    <w:t>）</w:t>
                  </w:r>
                </w:p>
              </w:tc>
            </w:tr>
            <w:tr w14:paraId="6534A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vMerge w:val="restart"/>
                  <w:tcBorders>
                    <w:tl2br w:val="nil"/>
                    <w:tr2bl w:val="nil"/>
                  </w:tcBorders>
                  <w:vAlign w:val="center"/>
                </w:tcPr>
                <w:p w14:paraId="3BE808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总悬浮颗粒物（TSP）</w:t>
                  </w:r>
                </w:p>
              </w:tc>
              <w:tc>
                <w:tcPr>
                  <w:tcW w:w="2934" w:type="dxa"/>
                  <w:vMerge w:val="restart"/>
                  <w:tcBorders>
                    <w:tl2br w:val="nil"/>
                    <w:tr2bl w:val="nil"/>
                  </w:tcBorders>
                  <w:vAlign w:val="center"/>
                </w:tcPr>
                <w:p w14:paraId="5D30D3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攀枝花市、阿坝藏族羌族自治州、甘孜藏族自治州、凉山彝族自治州</w:t>
                  </w:r>
                </w:p>
              </w:tc>
              <w:tc>
                <w:tcPr>
                  <w:tcW w:w="2362" w:type="dxa"/>
                  <w:tcBorders>
                    <w:tl2br w:val="nil"/>
                    <w:tr2bl w:val="nil"/>
                  </w:tcBorders>
                  <w:vAlign w:val="center"/>
                </w:tcPr>
                <w:p w14:paraId="37AE58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拆除工程/土方开挖/土方回填阶段</w:t>
                  </w:r>
                </w:p>
              </w:tc>
              <w:tc>
                <w:tcPr>
                  <w:tcW w:w="1977" w:type="dxa"/>
                  <w:tcBorders>
                    <w:tl2br w:val="nil"/>
                    <w:tr2bl w:val="nil"/>
                  </w:tcBorders>
                  <w:vAlign w:val="center"/>
                </w:tcPr>
                <w:p w14:paraId="13D825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0.9</w:t>
                  </w:r>
                </w:p>
              </w:tc>
            </w:tr>
            <w:tr w14:paraId="5E558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vMerge w:val="continue"/>
                  <w:tcBorders>
                    <w:tl2br w:val="nil"/>
                    <w:tr2bl w:val="nil"/>
                  </w:tcBorders>
                  <w:vAlign w:val="center"/>
                </w:tcPr>
                <w:p w14:paraId="264DF7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2934" w:type="dxa"/>
                  <w:vMerge w:val="continue"/>
                  <w:tcBorders>
                    <w:tl2br w:val="nil"/>
                    <w:tr2bl w:val="nil"/>
                  </w:tcBorders>
                  <w:vAlign w:val="center"/>
                </w:tcPr>
                <w:p w14:paraId="427C1C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2362" w:type="dxa"/>
                  <w:tcBorders>
                    <w:tl2br w:val="nil"/>
                    <w:tr2bl w:val="nil"/>
                  </w:tcBorders>
                  <w:vAlign w:val="center"/>
                </w:tcPr>
                <w:p w14:paraId="2BF26C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其他工程阶段</w:t>
                  </w:r>
                </w:p>
              </w:tc>
              <w:tc>
                <w:tcPr>
                  <w:tcW w:w="1977" w:type="dxa"/>
                  <w:tcBorders>
                    <w:tl2br w:val="nil"/>
                    <w:tr2bl w:val="nil"/>
                  </w:tcBorders>
                  <w:vAlign w:val="center"/>
                </w:tcPr>
                <w:p w14:paraId="23B5E5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0.35</w:t>
                  </w:r>
                </w:p>
              </w:tc>
            </w:tr>
          </w:tbl>
          <w:p w14:paraId="0C44E15D">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实验室酸性废气（氯化氢、硫酸雾）执行《大气污染物综合排放标准》（GB16297-1996）中相关要求，氨执行《恶臭污染物排放标准》（GB14554-93）中相关要求，VOCs执行《四川省固定污染源大气挥发性有机物排放标准》（DB51/2377-2017）中表5限值。校内VOCs无组织排放限值执行《挥发性有机物无组织排放控制标准》（GB37822-2019）中相关要求。</w:t>
            </w:r>
          </w:p>
          <w:p w14:paraId="1DC0EDBA">
            <w:pPr>
              <w:pStyle w:val="116"/>
              <w:bidi w:val="0"/>
              <w:rPr>
                <w:rFonts w:hint="default" w:ascii="Times New Roman" w:hAnsi="Times New Roman" w:cs="Times New Roman"/>
                <w:color w:val="auto"/>
                <w:szCs w:val="24"/>
                <w:highlight w:val="none"/>
                <w:lang w:val="en-US" w:eastAsia="zh-CN"/>
              </w:rPr>
            </w:pPr>
            <w:r>
              <w:rPr>
                <w:rFonts w:hint="eastAsia"/>
                <w:color w:val="auto"/>
                <w:lang w:val="en-US" w:eastAsia="zh-CN"/>
              </w:rPr>
              <w:t>大气污染物排放标准</w:t>
            </w:r>
          </w:p>
          <w:tbl>
            <w:tblPr>
              <w:tblStyle w:val="41"/>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2563"/>
              <w:gridCol w:w="4600"/>
            </w:tblGrid>
            <w:tr w14:paraId="1849C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pct"/>
                  <w:tcBorders>
                    <w:tl2br w:val="nil"/>
                    <w:tr2bl w:val="nil"/>
                  </w:tcBorders>
                  <w:vAlign w:val="center"/>
                </w:tcPr>
                <w:p w14:paraId="783344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污染物</w:t>
                  </w:r>
                </w:p>
              </w:tc>
              <w:tc>
                <w:tcPr>
                  <w:tcW w:w="1454" w:type="pct"/>
                  <w:tcBorders>
                    <w:tl2br w:val="nil"/>
                    <w:tr2bl w:val="nil"/>
                  </w:tcBorders>
                  <w:vAlign w:val="center"/>
                </w:tcPr>
                <w:p w14:paraId="532A3E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无组织浓度限值mg/m</w:t>
                  </w:r>
                  <w:r>
                    <w:rPr>
                      <w:rFonts w:hint="eastAsia" w:ascii="Times New Roman" w:hAnsi="Times New Roman" w:cs="Times New Roman"/>
                      <w:b/>
                      <w:bCs/>
                      <w:color w:val="auto"/>
                      <w:sz w:val="21"/>
                      <w:szCs w:val="21"/>
                      <w:highlight w:val="none"/>
                      <w:vertAlign w:val="superscript"/>
                      <w:lang w:val="en-US" w:eastAsia="zh-CN"/>
                    </w:rPr>
                    <w:t>3</w:t>
                  </w:r>
                </w:p>
              </w:tc>
              <w:tc>
                <w:tcPr>
                  <w:tcW w:w="2610" w:type="pct"/>
                  <w:tcBorders>
                    <w:tl2br w:val="nil"/>
                    <w:tr2bl w:val="nil"/>
                  </w:tcBorders>
                  <w:vAlign w:val="center"/>
                </w:tcPr>
                <w:p w14:paraId="15B985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备注</w:t>
                  </w:r>
                </w:p>
              </w:tc>
            </w:tr>
            <w:tr w14:paraId="3A1CB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pct"/>
                  <w:tcBorders>
                    <w:tl2br w:val="nil"/>
                    <w:tr2bl w:val="nil"/>
                  </w:tcBorders>
                  <w:vAlign w:val="center"/>
                </w:tcPr>
                <w:p w14:paraId="657EF6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氯化氢</w:t>
                  </w:r>
                </w:p>
              </w:tc>
              <w:tc>
                <w:tcPr>
                  <w:tcW w:w="1454" w:type="pct"/>
                  <w:tcBorders>
                    <w:tl2br w:val="nil"/>
                    <w:tr2bl w:val="nil"/>
                  </w:tcBorders>
                  <w:vAlign w:val="center"/>
                </w:tcPr>
                <w:p w14:paraId="62285B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0.20</w:t>
                  </w:r>
                </w:p>
              </w:tc>
              <w:tc>
                <w:tcPr>
                  <w:tcW w:w="2610" w:type="pct"/>
                  <w:tcBorders>
                    <w:tl2br w:val="nil"/>
                    <w:tr2bl w:val="nil"/>
                  </w:tcBorders>
                  <w:vAlign w:val="center"/>
                </w:tcPr>
                <w:p w14:paraId="4EFC6D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《大气污染物综合排放标准》（GB16297-1996）</w:t>
                  </w:r>
                </w:p>
              </w:tc>
            </w:tr>
            <w:tr w14:paraId="69345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pct"/>
                  <w:tcBorders>
                    <w:tl2br w:val="nil"/>
                    <w:tr2bl w:val="nil"/>
                  </w:tcBorders>
                  <w:vAlign w:val="center"/>
                </w:tcPr>
                <w:p w14:paraId="067425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硫酸雾</w:t>
                  </w:r>
                </w:p>
              </w:tc>
              <w:tc>
                <w:tcPr>
                  <w:tcW w:w="1454" w:type="pct"/>
                  <w:tcBorders>
                    <w:tl2br w:val="nil"/>
                    <w:tr2bl w:val="nil"/>
                  </w:tcBorders>
                  <w:vAlign w:val="center"/>
                </w:tcPr>
                <w:p w14:paraId="0A5036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w:t>
                  </w:r>
                </w:p>
              </w:tc>
              <w:tc>
                <w:tcPr>
                  <w:tcW w:w="2610" w:type="pct"/>
                  <w:tcBorders>
                    <w:tl2br w:val="nil"/>
                    <w:tr2bl w:val="nil"/>
                  </w:tcBorders>
                  <w:vAlign w:val="center"/>
                </w:tcPr>
                <w:p w14:paraId="318A08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《大气污染物综合排放标准》（GB16297-1996）</w:t>
                  </w:r>
                </w:p>
              </w:tc>
            </w:tr>
            <w:tr w14:paraId="0856D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pct"/>
                  <w:tcBorders>
                    <w:tl2br w:val="nil"/>
                    <w:tr2bl w:val="nil"/>
                  </w:tcBorders>
                  <w:vAlign w:val="center"/>
                </w:tcPr>
                <w:p w14:paraId="041140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氨</w:t>
                  </w:r>
                </w:p>
              </w:tc>
              <w:tc>
                <w:tcPr>
                  <w:tcW w:w="1454" w:type="pct"/>
                  <w:tcBorders>
                    <w:tl2br w:val="nil"/>
                    <w:tr2bl w:val="nil"/>
                  </w:tcBorders>
                  <w:vAlign w:val="center"/>
                </w:tcPr>
                <w:p w14:paraId="43958A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c>
                <w:tcPr>
                  <w:tcW w:w="2610" w:type="pct"/>
                  <w:tcBorders>
                    <w:tl2br w:val="nil"/>
                    <w:tr2bl w:val="nil"/>
                  </w:tcBorders>
                  <w:vAlign w:val="center"/>
                </w:tcPr>
                <w:p w14:paraId="547AC2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《恶臭污染物排放标准》（GB14554-93）</w:t>
                  </w:r>
                </w:p>
              </w:tc>
            </w:tr>
            <w:tr w14:paraId="7D35E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pct"/>
                  <w:tcBorders>
                    <w:tl2br w:val="nil"/>
                    <w:tr2bl w:val="nil"/>
                  </w:tcBorders>
                  <w:vAlign w:val="center"/>
                </w:tcPr>
                <w:p w14:paraId="334DFB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VOCs</w:t>
                  </w:r>
                </w:p>
              </w:tc>
              <w:tc>
                <w:tcPr>
                  <w:tcW w:w="1454" w:type="pct"/>
                  <w:tcBorders>
                    <w:tl2br w:val="nil"/>
                    <w:tr2bl w:val="nil"/>
                  </w:tcBorders>
                  <w:vAlign w:val="center"/>
                </w:tcPr>
                <w:p w14:paraId="11138C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c>
                <w:tcPr>
                  <w:tcW w:w="2610" w:type="pct"/>
                  <w:tcBorders>
                    <w:tl2br w:val="nil"/>
                    <w:tr2bl w:val="nil"/>
                  </w:tcBorders>
                  <w:vAlign w:val="center"/>
                </w:tcPr>
                <w:p w14:paraId="5EE98E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《四川省固定污染源大气挥发性有机物排放标准》（DB51/2377-2017）</w:t>
                  </w:r>
                </w:p>
              </w:tc>
            </w:tr>
          </w:tbl>
          <w:p w14:paraId="5D87DC58">
            <w:pPr>
              <w:pStyle w:val="116"/>
              <w:bidi w:val="0"/>
              <w:rPr>
                <w:rFonts w:hint="default"/>
                <w:color w:val="auto"/>
                <w:lang w:val="en-US" w:eastAsia="zh-CN"/>
              </w:rPr>
            </w:pPr>
            <w:r>
              <w:rPr>
                <w:rFonts w:hint="eastAsia"/>
                <w:color w:val="auto"/>
                <w:lang w:val="en-US" w:eastAsia="zh-CN"/>
              </w:rPr>
              <w:t>挥发性有机物无组织排放控制标准</w:t>
            </w:r>
          </w:p>
          <w:tbl>
            <w:tblPr>
              <w:tblStyle w:val="4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02"/>
              <w:gridCol w:w="1664"/>
              <w:gridCol w:w="2907"/>
              <w:gridCol w:w="2033"/>
            </w:tblGrid>
            <w:tr w14:paraId="1902F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02" w:type="dxa"/>
                  <w:tcBorders>
                    <w:tl2br w:val="nil"/>
                    <w:tr2bl w:val="nil"/>
                  </w:tcBorders>
                  <w:vAlign w:val="center"/>
                </w:tcPr>
                <w:p w14:paraId="6C1AE4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项目</w:t>
                  </w:r>
                </w:p>
              </w:tc>
              <w:tc>
                <w:tcPr>
                  <w:tcW w:w="1664" w:type="dxa"/>
                  <w:tcBorders>
                    <w:tl2br w:val="nil"/>
                    <w:tr2bl w:val="nil"/>
                  </w:tcBorders>
                  <w:vAlign w:val="center"/>
                </w:tcPr>
                <w:p w14:paraId="3D76F3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特别排放限值（mg/m</w:t>
                  </w:r>
                  <w:r>
                    <w:rPr>
                      <w:rFonts w:hint="eastAsia" w:ascii="Times New Roman" w:hAnsi="Times New Roman" w:cs="Times New Roman"/>
                      <w:b/>
                      <w:bCs/>
                      <w:color w:val="auto"/>
                      <w:sz w:val="21"/>
                      <w:szCs w:val="21"/>
                      <w:highlight w:val="none"/>
                      <w:vertAlign w:val="superscript"/>
                      <w:lang w:val="en-US" w:eastAsia="zh-CN"/>
                    </w:rPr>
                    <w:t>3</w:t>
                  </w:r>
                  <w:r>
                    <w:rPr>
                      <w:rFonts w:hint="eastAsia" w:ascii="Times New Roman" w:hAnsi="Times New Roman" w:cs="Times New Roman"/>
                      <w:b/>
                      <w:bCs/>
                      <w:color w:val="auto"/>
                      <w:sz w:val="21"/>
                      <w:szCs w:val="21"/>
                      <w:highlight w:val="none"/>
                      <w:vertAlign w:val="baseline"/>
                      <w:lang w:val="en-US" w:eastAsia="zh-CN"/>
                    </w:rPr>
                    <w:t>）</w:t>
                  </w:r>
                </w:p>
              </w:tc>
              <w:tc>
                <w:tcPr>
                  <w:tcW w:w="2907" w:type="dxa"/>
                  <w:tcBorders>
                    <w:tl2br w:val="nil"/>
                    <w:tr2bl w:val="nil"/>
                  </w:tcBorders>
                  <w:vAlign w:val="center"/>
                </w:tcPr>
                <w:p w14:paraId="7C8979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限值含义</w:t>
                  </w:r>
                </w:p>
              </w:tc>
              <w:tc>
                <w:tcPr>
                  <w:tcW w:w="2033" w:type="dxa"/>
                  <w:tcBorders>
                    <w:tl2br w:val="nil"/>
                    <w:tr2bl w:val="nil"/>
                  </w:tcBorders>
                  <w:vAlign w:val="center"/>
                </w:tcPr>
                <w:p w14:paraId="420B36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无组织排放监控位置</w:t>
                  </w:r>
                </w:p>
              </w:tc>
            </w:tr>
            <w:tr w14:paraId="0D799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02" w:type="dxa"/>
                  <w:vMerge w:val="restart"/>
                  <w:tcBorders>
                    <w:tl2br w:val="nil"/>
                    <w:tr2bl w:val="nil"/>
                  </w:tcBorders>
                  <w:vAlign w:val="center"/>
                </w:tcPr>
                <w:p w14:paraId="759ED6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厂区内VOCs无组织排放限值</w:t>
                  </w:r>
                </w:p>
              </w:tc>
              <w:tc>
                <w:tcPr>
                  <w:tcW w:w="1664" w:type="dxa"/>
                  <w:tcBorders>
                    <w:tl2br w:val="nil"/>
                    <w:tr2bl w:val="nil"/>
                  </w:tcBorders>
                  <w:vAlign w:val="center"/>
                </w:tcPr>
                <w:p w14:paraId="4B21CD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2907" w:type="dxa"/>
                  <w:tcBorders>
                    <w:tl2br w:val="nil"/>
                    <w:tr2bl w:val="nil"/>
                  </w:tcBorders>
                  <w:vAlign w:val="center"/>
                </w:tcPr>
                <w:p w14:paraId="064073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监控点处1h平均浓度值</w:t>
                  </w:r>
                </w:p>
              </w:tc>
              <w:tc>
                <w:tcPr>
                  <w:tcW w:w="2033" w:type="dxa"/>
                  <w:vMerge w:val="restart"/>
                  <w:tcBorders>
                    <w:tl2br w:val="nil"/>
                    <w:tr2bl w:val="nil"/>
                  </w:tcBorders>
                  <w:vAlign w:val="center"/>
                </w:tcPr>
                <w:p w14:paraId="385FBD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在厂房外设置监控点</w:t>
                  </w:r>
                </w:p>
              </w:tc>
            </w:tr>
            <w:tr w14:paraId="39BD5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02" w:type="dxa"/>
                  <w:vMerge w:val="continue"/>
                  <w:tcBorders>
                    <w:tl2br w:val="nil"/>
                    <w:tr2bl w:val="nil"/>
                  </w:tcBorders>
                  <w:vAlign w:val="center"/>
                </w:tcPr>
                <w:p w14:paraId="30FECB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1664" w:type="dxa"/>
                  <w:tcBorders>
                    <w:tl2br w:val="nil"/>
                    <w:tr2bl w:val="nil"/>
                  </w:tcBorders>
                  <w:vAlign w:val="center"/>
                </w:tcPr>
                <w:p w14:paraId="37C4AD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c>
                <w:tcPr>
                  <w:tcW w:w="2907" w:type="dxa"/>
                  <w:tcBorders>
                    <w:tl2br w:val="nil"/>
                    <w:tr2bl w:val="nil"/>
                  </w:tcBorders>
                  <w:vAlign w:val="center"/>
                </w:tcPr>
                <w:p w14:paraId="20F05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监控点处任意一次浓度值</w:t>
                  </w:r>
                </w:p>
              </w:tc>
              <w:tc>
                <w:tcPr>
                  <w:tcW w:w="2033" w:type="dxa"/>
                  <w:vMerge w:val="continue"/>
                  <w:tcBorders>
                    <w:tl2br w:val="nil"/>
                    <w:tr2bl w:val="nil"/>
                  </w:tcBorders>
                  <w:vAlign w:val="center"/>
                </w:tcPr>
                <w:p w14:paraId="3046BE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r>
          </w:tbl>
          <w:p w14:paraId="6B44B9BE">
            <w:pPr>
              <w:spacing w:line="360" w:lineRule="auto"/>
              <w:ind w:firstLine="482" w:firstLineChars="200"/>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2、废水</w:t>
            </w:r>
          </w:p>
          <w:p w14:paraId="731E5F57">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pH、COD、BOD</w:t>
            </w:r>
            <w:r>
              <w:rPr>
                <w:rFonts w:hint="eastAsia" w:ascii="Times New Roman" w:hAnsi="Times New Roman" w:cs="Times New Roman"/>
                <w:color w:val="auto"/>
                <w:sz w:val="24"/>
                <w:szCs w:val="24"/>
                <w:highlight w:val="none"/>
                <w:vertAlign w:val="subscript"/>
                <w:lang w:val="en-US" w:eastAsia="zh-CN"/>
              </w:rPr>
              <w:t>5</w:t>
            </w:r>
            <w:r>
              <w:rPr>
                <w:rFonts w:hint="eastAsia" w:ascii="Times New Roman" w:hAnsi="Times New Roman" w:cs="Times New Roman"/>
                <w:color w:val="auto"/>
                <w:sz w:val="24"/>
                <w:szCs w:val="24"/>
                <w:highlight w:val="none"/>
                <w:lang w:val="en-US" w:eastAsia="zh-CN"/>
              </w:rPr>
              <w:t>、SS、动植物油执行《污水综合排放标准》（GB8978-1996）三级标准，氨氮、总磷参照《污水排入城镇下水道水质标准》（GB/T31962-2015）要求。</w:t>
            </w:r>
          </w:p>
          <w:p w14:paraId="42FEC928">
            <w:pPr>
              <w:pStyle w:val="116"/>
              <w:bidi w:val="0"/>
              <w:rPr>
                <w:rFonts w:hint="default"/>
                <w:color w:val="auto"/>
                <w:lang w:val="en-US" w:eastAsia="zh-CN"/>
              </w:rPr>
            </w:pPr>
            <w:r>
              <w:rPr>
                <w:rFonts w:hint="eastAsia"/>
                <w:color w:val="auto"/>
                <w:lang w:val="en-US" w:eastAsia="zh-CN"/>
              </w:rPr>
              <w:t>废水排放标准</w:t>
            </w:r>
          </w:p>
          <w:tbl>
            <w:tblPr>
              <w:tblStyle w:val="4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746"/>
              <w:gridCol w:w="1037"/>
              <w:gridCol w:w="1037"/>
              <w:gridCol w:w="1037"/>
              <w:gridCol w:w="1037"/>
              <w:gridCol w:w="932"/>
              <w:gridCol w:w="1144"/>
            </w:tblGrid>
            <w:tr w14:paraId="10717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5" w:type="pct"/>
                  <w:tcBorders>
                    <w:tl2br w:val="nil"/>
                    <w:tr2bl w:val="nil"/>
                  </w:tcBorders>
                  <w:vAlign w:val="center"/>
                </w:tcPr>
                <w:p w14:paraId="4BB98D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污染物</w:t>
                  </w:r>
                </w:p>
              </w:tc>
              <w:tc>
                <w:tcPr>
                  <w:tcW w:w="423" w:type="pct"/>
                  <w:tcBorders>
                    <w:tl2br w:val="nil"/>
                    <w:tr2bl w:val="nil"/>
                  </w:tcBorders>
                  <w:vAlign w:val="center"/>
                </w:tcPr>
                <w:p w14:paraId="6C717E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pH</w:t>
                  </w:r>
                </w:p>
              </w:tc>
              <w:tc>
                <w:tcPr>
                  <w:tcW w:w="588" w:type="pct"/>
                  <w:tcBorders>
                    <w:tl2br w:val="nil"/>
                    <w:tr2bl w:val="nil"/>
                  </w:tcBorders>
                  <w:vAlign w:val="center"/>
                </w:tcPr>
                <w:p w14:paraId="042BEB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COD</w:t>
                  </w:r>
                </w:p>
              </w:tc>
              <w:tc>
                <w:tcPr>
                  <w:tcW w:w="588" w:type="pct"/>
                  <w:tcBorders>
                    <w:tl2br w:val="nil"/>
                    <w:tr2bl w:val="nil"/>
                  </w:tcBorders>
                  <w:vAlign w:val="center"/>
                </w:tcPr>
                <w:p w14:paraId="1C5956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BOD</w:t>
                  </w:r>
                  <w:r>
                    <w:rPr>
                      <w:rFonts w:hint="eastAsia" w:ascii="Times New Roman" w:hAnsi="Times New Roman" w:cs="Times New Roman"/>
                      <w:b/>
                      <w:bCs/>
                      <w:color w:val="auto"/>
                      <w:sz w:val="21"/>
                      <w:szCs w:val="21"/>
                      <w:highlight w:val="none"/>
                      <w:vertAlign w:val="subscript"/>
                      <w:lang w:val="en-US" w:eastAsia="zh-CN"/>
                    </w:rPr>
                    <w:t>5</w:t>
                  </w:r>
                </w:p>
              </w:tc>
              <w:tc>
                <w:tcPr>
                  <w:tcW w:w="588" w:type="pct"/>
                  <w:tcBorders>
                    <w:tl2br w:val="nil"/>
                    <w:tr2bl w:val="nil"/>
                  </w:tcBorders>
                  <w:vAlign w:val="center"/>
                </w:tcPr>
                <w:p w14:paraId="56F979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SS</w:t>
                  </w:r>
                </w:p>
              </w:tc>
              <w:tc>
                <w:tcPr>
                  <w:tcW w:w="588" w:type="pct"/>
                  <w:tcBorders>
                    <w:tl2br w:val="nil"/>
                    <w:tr2bl w:val="nil"/>
                  </w:tcBorders>
                  <w:vAlign w:val="center"/>
                </w:tcPr>
                <w:p w14:paraId="3C7784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氨氮</w:t>
                  </w:r>
                </w:p>
              </w:tc>
              <w:tc>
                <w:tcPr>
                  <w:tcW w:w="528" w:type="pct"/>
                  <w:tcBorders>
                    <w:tl2br w:val="nil"/>
                    <w:tr2bl w:val="nil"/>
                  </w:tcBorders>
                  <w:vAlign w:val="center"/>
                </w:tcPr>
                <w:p w14:paraId="01728B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总磷</w:t>
                  </w:r>
                </w:p>
              </w:tc>
              <w:tc>
                <w:tcPr>
                  <w:tcW w:w="649" w:type="pct"/>
                  <w:tcBorders>
                    <w:tl2br w:val="nil"/>
                    <w:tr2bl w:val="nil"/>
                  </w:tcBorders>
                  <w:vAlign w:val="center"/>
                </w:tcPr>
                <w:p w14:paraId="795725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动植物油</w:t>
                  </w:r>
                </w:p>
              </w:tc>
            </w:tr>
            <w:tr w14:paraId="4D2BB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5" w:type="pct"/>
                  <w:tcBorders>
                    <w:tl2br w:val="nil"/>
                    <w:tr2bl w:val="nil"/>
                  </w:tcBorders>
                  <w:vAlign w:val="center"/>
                </w:tcPr>
                <w:p w14:paraId="10D80F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GB8978-1996三级标准</w:t>
                  </w:r>
                </w:p>
              </w:tc>
              <w:tc>
                <w:tcPr>
                  <w:tcW w:w="423" w:type="pct"/>
                  <w:tcBorders>
                    <w:tl2br w:val="nil"/>
                    <w:tr2bl w:val="nil"/>
                  </w:tcBorders>
                  <w:vAlign w:val="center"/>
                </w:tcPr>
                <w:p w14:paraId="19C710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6~9</w:t>
                  </w:r>
                </w:p>
              </w:tc>
              <w:tc>
                <w:tcPr>
                  <w:tcW w:w="588" w:type="pct"/>
                  <w:tcBorders>
                    <w:tl2br w:val="nil"/>
                    <w:tr2bl w:val="nil"/>
                  </w:tcBorders>
                  <w:vAlign w:val="center"/>
                </w:tcPr>
                <w:p w14:paraId="18C514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500</w:t>
                  </w:r>
                </w:p>
              </w:tc>
              <w:tc>
                <w:tcPr>
                  <w:tcW w:w="588" w:type="pct"/>
                  <w:tcBorders>
                    <w:tl2br w:val="nil"/>
                    <w:tr2bl w:val="nil"/>
                  </w:tcBorders>
                  <w:vAlign w:val="center"/>
                </w:tcPr>
                <w:p w14:paraId="4B13CE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300</w:t>
                  </w:r>
                </w:p>
              </w:tc>
              <w:tc>
                <w:tcPr>
                  <w:tcW w:w="588" w:type="pct"/>
                  <w:tcBorders>
                    <w:tl2br w:val="nil"/>
                    <w:tr2bl w:val="nil"/>
                  </w:tcBorders>
                  <w:vAlign w:val="center"/>
                </w:tcPr>
                <w:p w14:paraId="0A3E97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400</w:t>
                  </w:r>
                </w:p>
              </w:tc>
              <w:tc>
                <w:tcPr>
                  <w:tcW w:w="588" w:type="pct"/>
                  <w:tcBorders>
                    <w:tl2br w:val="nil"/>
                    <w:tr2bl w:val="nil"/>
                  </w:tcBorders>
                  <w:vAlign w:val="center"/>
                </w:tcPr>
                <w:p w14:paraId="122264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528" w:type="pct"/>
                  <w:tcBorders>
                    <w:tl2br w:val="nil"/>
                    <w:tr2bl w:val="nil"/>
                  </w:tcBorders>
                  <w:vAlign w:val="center"/>
                </w:tcPr>
                <w:p w14:paraId="48C76E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649" w:type="pct"/>
                  <w:tcBorders>
                    <w:tl2br w:val="nil"/>
                    <w:tr2bl w:val="nil"/>
                  </w:tcBorders>
                  <w:vAlign w:val="center"/>
                </w:tcPr>
                <w:p w14:paraId="33D87D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100</w:t>
                  </w:r>
                </w:p>
              </w:tc>
            </w:tr>
            <w:tr w14:paraId="6C2E4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5" w:type="pct"/>
                  <w:tcBorders>
                    <w:tl2br w:val="nil"/>
                    <w:tr2bl w:val="nil"/>
                  </w:tcBorders>
                  <w:vAlign w:val="center"/>
                </w:tcPr>
                <w:p w14:paraId="169757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GB/T31962-2015</w:t>
                  </w:r>
                </w:p>
                <w:p w14:paraId="27E87E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B级标准</w:t>
                  </w:r>
                </w:p>
              </w:tc>
              <w:tc>
                <w:tcPr>
                  <w:tcW w:w="423" w:type="pct"/>
                  <w:tcBorders>
                    <w:tl2br w:val="nil"/>
                    <w:tr2bl w:val="nil"/>
                  </w:tcBorders>
                  <w:vAlign w:val="center"/>
                </w:tcPr>
                <w:p w14:paraId="68AB2E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588" w:type="pct"/>
                  <w:tcBorders>
                    <w:tl2br w:val="nil"/>
                    <w:tr2bl w:val="nil"/>
                  </w:tcBorders>
                  <w:vAlign w:val="center"/>
                </w:tcPr>
                <w:p w14:paraId="4B0C90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588" w:type="pct"/>
                  <w:tcBorders>
                    <w:tl2br w:val="nil"/>
                    <w:tr2bl w:val="nil"/>
                  </w:tcBorders>
                  <w:vAlign w:val="center"/>
                </w:tcPr>
                <w:p w14:paraId="439123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588" w:type="pct"/>
                  <w:tcBorders>
                    <w:tl2br w:val="nil"/>
                    <w:tr2bl w:val="nil"/>
                  </w:tcBorders>
                  <w:vAlign w:val="center"/>
                </w:tcPr>
                <w:p w14:paraId="6D0568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588" w:type="pct"/>
                  <w:tcBorders>
                    <w:tl2br w:val="nil"/>
                    <w:tr2bl w:val="nil"/>
                  </w:tcBorders>
                  <w:vAlign w:val="center"/>
                </w:tcPr>
                <w:p w14:paraId="2EBA2A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w:t>
                  </w:r>
                </w:p>
              </w:tc>
              <w:tc>
                <w:tcPr>
                  <w:tcW w:w="528" w:type="pct"/>
                  <w:tcBorders>
                    <w:tl2br w:val="nil"/>
                    <w:tr2bl w:val="nil"/>
                  </w:tcBorders>
                  <w:vAlign w:val="center"/>
                </w:tcPr>
                <w:p w14:paraId="630E54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w:t>
                  </w:r>
                </w:p>
              </w:tc>
              <w:tc>
                <w:tcPr>
                  <w:tcW w:w="649" w:type="pct"/>
                  <w:tcBorders>
                    <w:tl2br w:val="nil"/>
                    <w:tr2bl w:val="nil"/>
                  </w:tcBorders>
                  <w:vAlign w:val="center"/>
                </w:tcPr>
                <w:p w14:paraId="06B54B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bl>
          <w:p w14:paraId="46D9C5C7">
            <w:pPr>
              <w:spacing w:line="360" w:lineRule="auto"/>
              <w:ind w:firstLine="482" w:firstLineChars="200"/>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3、噪声</w:t>
            </w:r>
          </w:p>
          <w:p w14:paraId="7BFB3477">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施工期执行《建筑施工场界环境噪声排放标准》（GB12523-2011）</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营运期执行《工业企业厂界环境噪声排放标准》（GB12348-2008）</w:t>
            </w:r>
            <w:r>
              <w:rPr>
                <w:rFonts w:hint="eastAsia" w:ascii="Times New Roman" w:hAnsi="Times New Roman" w:cs="Times New Roman"/>
                <w:color w:val="auto"/>
                <w:sz w:val="24"/>
                <w:szCs w:val="24"/>
                <w:highlight w:val="none"/>
              </w:rPr>
              <w:t>2类声环境功能区类别对应排放限值要求</w:t>
            </w:r>
            <w:r>
              <w:rPr>
                <w:rFonts w:ascii="Times New Roman" w:hAnsi="Times New Roman" w:cs="Times New Roman"/>
                <w:color w:val="auto"/>
                <w:sz w:val="24"/>
                <w:szCs w:val="24"/>
                <w:highlight w:val="none"/>
              </w:rPr>
              <w:t>。</w:t>
            </w:r>
          </w:p>
          <w:p w14:paraId="3DFFDBD1">
            <w:pPr>
              <w:pStyle w:val="116"/>
              <w:bidi w:val="0"/>
              <w:rPr>
                <w:color w:val="auto"/>
              </w:rPr>
            </w:pPr>
            <w:r>
              <w:rPr>
                <w:color w:val="auto"/>
              </w:rPr>
              <w:t>噪声排放标准限值</w:t>
            </w:r>
            <w:r>
              <w:rPr>
                <w:rFonts w:hint="eastAsia"/>
                <w:color w:val="auto"/>
              </w:rPr>
              <w:t xml:space="preserve">    单位：dB（A）</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8"/>
              <w:gridCol w:w="2829"/>
              <w:gridCol w:w="2829"/>
            </w:tblGrid>
            <w:tr w14:paraId="09D1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7" w:type="pct"/>
                  <w:tcBorders>
                    <w:top w:val="single" w:color="auto" w:sz="12" w:space="0"/>
                  </w:tcBorders>
                  <w:shd w:val="clear" w:color="auto" w:fill="auto"/>
                  <w:vAlign w:val="center"/>
                </w:tcPr>
                <w:p w14:paraId="07E2B05E">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项目</w:t>
                  </w:r>
                </w:p>
              </w:tc>
              <w:tc>
                <w:tcPr>
                  <w:tcW w:w="1606" w:type="pct"/>
                  <w:tcBorders>
                    <w:top w:val="single" w:color="auto" w:sz="12" w:space="0"/>
                  </w:tcBorders>
                  <w:shd w:val="clear" w:color="auto" w:fill="auto"/>
                  <w:vAlign w:val="center"/>
                </w:tcPr>
                <w:p w14:paraId="2AC8E532">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昼间</w:t>
                  </w:r>
                </w:p>
              </w:tc>
              <w:tc>
                <w:tcPr>
                  <w:tcW w:w="1606" w:type="pct"/>
                  <w:tcBorders>
                    <w:top w:val="single" w:color="auto" w:sz="12" w:space="0"/>
                    <w:right w:val="nil"/>
                  </w:tcBorders>
                  <w:shd w:val="clear" w:color="auto" w:fill="auto"/>
                  <w:vAlign w:val="center"/>
                </w:tcPr>
                <w:p w14:paraId="45E8986E">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夜间</w:t>
                  </w:r>
                </w:p>
              </w:tc>
            </w:tr>
            <w:tr w14:paraId="5435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7" w:type="pct"/>
                  <w:tcBorders>
                    <w:left w:val="nil"/>
                    <w:bottom w:val="single" w:color="auto" w:sz="12" w:space="0"/>
                  </w:tcBorders>
                  <w:shd w:val="clear" w:color="auto" w:fill="auto"/>
                  <w:vAlign w:val="center"/>
                </w:tcPr>
                <w:p w14:paraId="650874F7">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施工期排放限值</w:t>
                  </w:r>
                </w:p>
              </w:tc>
              <w:tc>
                <w:tcPr>
                  <w:tcW w:w="1606" w:type="pct"/>
                  <w:tcBorders>
                    <w:bottom w:val="single" w:color="auto" w:sz="12" w:space="0"/>
                  </w:tcBorders>
                  <w:shd w:val="clear" w:color="auto" w:fill="auto"/>
                  <w:vAlign w:val="center"/>
                </w:tcPr>
                <w:p w14:paraId="4DE7D3FA">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70</w:t>
                  </w:r>
                </w:p>
              </w:tc>
              <w:tc>
                <w:tcPr>
                  <w:tcW w:w="1606" w:type="pct"/>
                  <w:tcBorders>
                    <w:bottom w:val="single" w:color="auto" w:sz="12" w:space="0"/>
                    <w:right w:val="nil"/>
                  </w:tcBorders>
                  <w:shd w:val="clear" w:color="auto" w:fill="auto"/>
                  <w:vAlign w:val="center"/>
                </w:tcPr>
                <w:p w14:paraId="43EA96AC">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55</w:t>
                  </w:r>
                </w:p>
              </w:tc>
            </w:tr>
            <w:tr w14:paraId="3166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7" w:type="pct"/>
                  <w:tcBorders>
                    <w:left w:val="nil"/>
                    <w:bottom w:val="single" w:color="auto" w:sz="12" w:space="0"/>
                  </w:tcBorders>
                  <w:shd w:val="clear" w:color="auto" w:fill="auto"/>
                  <w:vAlign w:val="center"/>
                </w:tcPr>
                <w:p w14:paraId="27892728">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运营期排放限值</w:t>
                  </w:r>
                </w:p>
              </w:tc>
              <w:tc>
                <w:tcPr>
                  <w:tcW w:w="1606" w:type="pct"/>
                  <w:tcBorders>
                    <w:bottom w:val="single" w:color="auto" w:sz="12" w:space="0"/>
                  </w:tcBorders>
                  <w:shd w:val="clear" w:color="auto" w:fill="auto"/>
                  <w:vAlign w:val="center"/>
                </w:tcPr>
                <w:p w14:paraId="1132C661">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w:t>
                  </w:r>
                  <w:r>
                    <w:rPr>
                      <w:rFonts w:hint="eastAsia" w:ascii="Times New Roman" w:hAnsi="Times New Roman" w:cs="Times New Roman"/>
                      <w:color w:val="auto"/>
                      <w:szCs w:val="21"/>
                      <w:highlight w:val="none"/>
                    </w:rPr>
                    <w:t>0</w:t>
                  </w:r>
                </w:p>
              </w:tc>
              <w:tc>
                <w:tcPr>
                  <w:tcW w:w="1606" w:type="pct"/>
                  <w:tcBorders>
                    <w:bottom w:val="single" w:color="auto" w:sz="12" w:space="0"/>
                    <w:right w:val="nil"/>
                  </w:tcBorders>
                  <w:shd w:val="clear" w:color="auto" w:fill="auto"/>
                  <w:vAlign w:val="center"/>
                </w:tcPr>
                <w:p w14:paraId="11CDD6F9">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50</w:t>
                  </w:r>
                </w:p>
              </w:tc>
            </w:tr>
          </w:tbl>
          <w:p w14:paraId="00A64B2E">
            <w:pPr>
              <w:spacing w:line="360" w:lineRule="auto"/>
              <w:ind w:firstLine="482" w:firstLineChars="200"/>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4、固体废物</w:t>
            </w:r>
          </w:p>
          <w:p w14:paraId="2E07082D">
            <w:pPr>
              <w:spacing w:line="360" w:lineRule="auto"/>
              <w:ind w:firstLine="480" w:firstLineChars="200"/>
              <w:rPr>
                <w:color w:val="auto"/>
                <w:sz w:val="24"/>
                <w:szCs w:val="24"/>
                <w:highlight w:val="none"/>
              </w:rPr>
            </w:pPr>
            <w:r>
              <w:rPr>
                <w:rFonts w:hint="eastAsia" w:ascii="Times New Roman" w:hAnsi="Times New Roman" w:eastAsia="宋体" w:cs="Times New Roman"/>
                <w:color w:val="auto"/>
                <w:sz w:val="24"/>
                <w:szCs w:val="30"/>
              </w:rPr>
              <w:t>本项目一般固体废物贮存过程采取暂存间形式，一般固废</w:t>
            </w:r>
            <w:r>
              <w:rPr>
                <w:rFonts w:hint="eastAsia" w:ascii="Times New Roman" w:hAnsi="Times New Roman" w:eastAsia="宋体" w:cs="Times New Roman"/>
                <w:color w:val="auto"/>
                <w:sz w:val="24"/>
                <w:szCs w:val="30"/>
                <w:lang w:val="en-US" w:eastAsia="zh-CN"/>
              </w:rPr>
              <w:t>按照</w:t>
            </w:r>
            <w:r>
              <w:rPr>
                <w:rFonts w:hint="eastAsia" w:ascii="Times New Roman" w:hAnsi="Times New Roman" w:eastAsia="宋体" w:cs="Times New Roman"/>
                <w:color w:val="auto"/>
                <w:sz w:val="24"/>
                <w:szCs w:val="30"/>
              </w:rPr>
              <w:t>《中华人民共和国固体废物污染环境防治法》《一般固体分类与代码》（GB/T39198-2020）进行分类、储存和处置，并落实储存过程中需要满足相应防渗漏、防雨淋、防扬尘等环境保护要求。危险废物执行《危险废物贮存污染控制标准》（GB18597-2023）</w:t>
            </w:r>
            <w:r>
              <w:rPr>
                <w:rFonts w:hint="eastAsia" w:ascii="Times New Roman" w:hAnsi="Times New Roman" w:eastAsia="宋体" w:cs="Times New Roman"/>
                <w:color w:val="auto"/>
                <w:sz w:val="24"/>
                <w:szCs w:val="30"/>
                <w:lang w:eastAsia="zh-CN"/>
              </w:rPr>
              <w:t>。</w:t>
            </w:r>
          </w:p>
        </w:tc>
      </w:tr>
      <w:tr w14:paraId="7792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7797B04">
            <w:pPr>
              <w:jc w:val="center"/>
              <w:rPr>
                <w:color w:val="auto"/>
                <w:sz w:val="24"/>
                <w:szCs w:val="24"/>
                <w:highlight w:val="none"/>
              </w:rPr>
            </w:pPr>
            <w:r>
              <w:rPr>
                <w:rFonts w:hint="eastAsia"/>
                <w:color w:val="auto"/>
                <w:sz w:val="24"/>
                <w:szCs w:val="24"/>
                <w:highlight w:val="none"/>
              </w:rPr>
              <w:t>总量控制指标</w:t>
            </w:r>
          </w:p>
        </w:tc>
        <w:tc>
          <w:tcPr>
            <w:tcW w:w="9032" w:type="dxa"/>
          </w:tcPr>
          <w:p w14:paraId="73FBB5B4">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本项目涉及总量控制指标为化学需氧量（COD）、氨氮（NH</w:t>
            </w:r>
            <w:r>
              <w:rPr>
                <w:rFonts w:ascii="Times New Roman" w:hAnsi="Times New Roman" w:cs="Times New Roman"/>
                <w:color w:val="auto"/>
                <w:sz w:val="24"/>
                <w:szCs w:val="24"/>
                <w:highlight w:val="none"/>
                <w:vertAlign w:val="subscript"/>
              </w:rPr>
              <w:t>3</w:t>
            </w:r>
            <w:r>
              <w:rPr>
                <w:rFonts w:ascii="Times New Roman" w:hAnsi="Times New Roman" w:cs="Times New Roman"/>
                <w:color w:val="auto"/>
                <w:sz w:val="24"/>
                <w:szCs w:val="24"/>
                <w:highlight w:val="none"/>
              </w:rPr>
              <w:t>-N），主要污染物计算如下：</w:t>
            </w:r>
          </w:p>
          <w:p w14:paraId="55E72099">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1、废水</w:t>
            </w:r>
            <w:r>
              <w:rPr>
                <w:rFonts w:ascii="Times New Roman" w:hAnsi="Times New Roman" w:cs="Times New Roman"/>
                <w:b/>
                <w:color w:val="auto"/>
                <w:sz w:val="24"/>
                <w:szCs w:val="24"/>
                <w:highlight w:val="none"/>
              </w:rPr>
              <w:t>污染物总量控制指标</w:t>
            </w:r>
          </w:p>
          <w:p w14:paraId="24C36B49">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本项目废水经污水处理站处理后</w:t>
            </w:r>
            <w:r>
              <w:rPr>
                <w:rFonts w:hint="eastAsia" w:ascii="Times New Roman" w:hAnsi="Times New Roman" w:cs="Times New Roman"/>
                <w:color w:val="auto"/>
                <w:sz w:val="24"/>
                <w:szCs w:val="24"/>
                <w:highlight w:val="none"/>
                <w:lang w:eastAsia="zh-CN"/>
              </w:rPr>
              <w:t>达到</w:t>
            </w:r>
            <w:r>
              <w:rPr>
                <w:rFonts w:hint="eastAsia" w:ascii="Times New Roman" w:hAnsi="Times New Roman" w:cs="Times New Roman"/>
                <w:color w:val="auto"/>
                <w:sz w:val="24"/>
                <w:szCs w:val="24"/>
                <w:highlight w:val="none"/>
                <w:lang w:val="en-US" w:eastAsia="zh-CN"/>
              </w:rPr>
              <w:t>《污水综合排放标准》（GB8978-1996）三级标准</w:t>
            </w:r>
            <w:r>
              <w:rPr>
                <w:rFonts w:ascii="Times New Roman" w:hAnsi="Times New Roman" w:cs="Times New Roman"/>
                <w:color w:val="auto"/>
                <w:sz w:val="24"/>
                <w:szCs w:val="24"/>
                <w:highlight w:val="none"/>
              </w:rPr>
              <w:t>后（氨氮、总磷执行《污水排入城镇下水道水质标准》（GB/T31962-2015）B级标准）排入市政污水管网，再经</w:t>
            </w:r>
            <w:r>
              <w:rPr>
                <w:rFonts w:hint="eastAsia" w:ascii="Times New Roman" w:hAnsi="Times New Roman" w:cs="Times New Roman"/>
                <w:color w:val="auto"/>
                <w:sz w:val="24"/>
                <w:szCs w:val="24"/>
                <w:highlight w:val="none"/>
                <w:lang w:eastAsia="zh-CN"/>
              </w:rPr>
              <w:t>马尔康市城市生活污水处理厂</w:t>
            </w:r>
            <w:r>
              <w:rPr>
                <w:rFonts w:ascii="Times New Roman" w:hAnsi="Times New Roman" w:cs="Times New Roman"/>
                <w:color w:val="auto"/>
                <w:sz w:val="24"/>
                <w:szCs w:val="24"/>
                <w:highlight w:val="none"/>
              </w:rPr>
              <w:t>处理达</w:t>
            </w:r>
            <w:r>
              <w:rPr>
                <w:rFonts w:hint="default" w:ascii="Times New Roman" w:hAnsi="Times New Roman" w:eastAsia="宋体" w:cs="Times New Roman"/>
                <w:color w:val="auto"/>
                <w:sz w:val="24"/>
                <w:szCs w:val="24"/>
                <w:highlight w:val="none"/>
                <w:lang w:val="en-US" w:eastAsia="zh-CN"/>
              </w:rPr>
              <w:t>《城镇污水处理厂污染物排放标准》（GB18918-2002）一级A标准</w:t>
            </w:r>
            <w:r>
              <w:rPr>
                <w:rFonts w:ascii="Times New Roman" w:hAnsi="Times New Roman" w:cs="Times New Roman"/>
                <w:color w:val="auto"/>
                <w:sz w:val="24"/>
                <w:szCs w:val="24"/>
                <w:highlight w:val="none"/>
              </w:rPr>
              <w:t>后排入</w:t>
            </w:r>
            <w:r>
              <w:rPr>
                <w:rFonts w:hint="eastAsia" w:ascii="Times New Roman" w:hAnsi="Times New Roman" w:cs="Times New Roman"/>
                <w:color w:val="auto"/>
                <w:sz w:val="24"/>
                <w:szCs w:val="24"/>
                <w:highlight w:val="none"/>
                <w:lang w:val="en-US" w:eastAsia="zh-CN"/>
              </w:rPr>
              <w:t>梭磨河</w:t>
            </w:r>
            <w:r>
              <w:rPr>
                <w:rFonts w:ascii="Times New Roman" w:hAnsi="Times New Roman" w:cs="Times New Roman"/>
                <w:color w:val="auto"/>
                <w:sz w:val="24"/>
                <w:szCs w:val="24"/>
                <w:highlight w:val="none"/>
              </w:rPr>
              <w:t>。</w:t>
            </w:r>
          </w:p>
          <w:p w14:paraId="7BF150F4">
            <w:pPr>
              <w:spacing w:line="360" w:lineRule="auto"/>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按照《关于贯彻落实</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rPr>
              <w:t>建设项目主要污染物排放总量指标审核及管理暂行办法</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rPr>
              <w:t>的通知》（川环办发〔2015〕</w:t>
            </w:r>
            <w:r>
              <w:rPr>
                <w:rFonts w:ascii="Times New Roman" w:hAnsi="Times New Roman" w:cs="Times New Roman"/>
                <w:color w:val="auto"/>
                <w:sz w:val="24"/>
                <w:szCs w:val="24"/>
                <w:highlight w:val="none"/>
              </w:rPr>
              <w:t>333</w:t>
            </w:r>
            <w:r>
              <w:rPr>
                <w:rFonts w:hint="eastAsia" w:ascii="Times New Roman" w:hAnsi="Times New Roman" w:cs="Times New Roman"/>
                <w:color w:val="auto"/>
                <w:sz w:val="24"/>
                <w:szCs w:val="24"/>
                <w:highlight w:val="none"/>
              </w:rPr>
              <w:t>号）文件要求，本项目综合</w:t>
            </w:r>
            <w:r>
              <w:rPr>
                <w:rFonts w:hint="eastAsia" w:ascii="Times New Roman" w:hAnsi="Times New Roman" w:cs="Times New Roman"/>
                <w:color w:val="auto"/>
                <w:sz w:val="24"/>
                <w:szCs w:val="24"/>
                <w:highlight w:val="none"/>
                <w:lang w:val="en-US" w:eastAsia="zh-CN"/>
              </w:rPr>
              <w:t>污水</w:t>
            </w:r>
            <w:r>
              <w:rPr>
                <w:rFonts w:hint="eastAsia" w:ascii="Times New Roman" w:hAnsi="Times New Roman" w:cs="Times New Roman"/>
                <w:color w:val="auto"/>
                <w:sz w:val="24"/>
                <w:szCs w:val="24"/>
                <w:highlight w:val="none"/>
              </w:rPr>
              <w:t>以及末端污水处理厂污染物排放量采用排放标准法进行计算。</w:t>
            </w:r>
          </w:p>
          <w:p w14:paraId="57A05669">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w:t>
            </w:r>
            <w:r>
              <w:rPr>
                <w:rFonts w:hint="eastAsia" w:ascii="Times New Roman" w:hAnsi="Times New Roman" w:cs="Times New Roman"/>
                <w:color w:val="auto"/>
                <w:sz w:val="24"/>
                <w:szCs w:val="24"/>
                <w:highlight w:val="none"/>
                <w:lang w:val="en-US" w:eastAsia="zh-CN"/>
              </w:rPr>
              <w:t>改建后全校</w:t>
            </w:r>
            <w:r>
              <w:rPr>
                <w:rFonts w:hint="eastAsia" w:ascii="Times New Roman" w:hAnsi="Times New Roman" w:cs="Times New Roman"/>
                <w:color w:val="auto"/>
                <w:sz w:val="24"/>
                <w:szCs w:val="24"/>
                <w:highlight w:val="none"/>
              </w:rPr>
              <w:t>废水排放总量为</w:t>
            </w:r>
            <w:r>
              <w:rPr>
                <w:rFonts w:hint="eastAsia" w:ascii="Times New Roman" w:hAnsi="Times New Roman" w:cs="Times New Roman"/>
                <w:color w:val="auto"/>
                <w:sz w:val="24"/>
                <w:szCs w:val="24"/>
                <w:highlight w:val="none"/>
                <w:lang w:val="en-US" w:eastAsia="zh-CN"/>
              </w:rPr>
              <w:t>19756.41</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/a。</w:t>
            </w:r>
          </w:p>
          <w:p w14:paraId="26A486B3">
            <w:pPr>
              <w:spacing w:line="360" w:lineRule="auto"/>
              <w:ind w:firstLine="480" w:firstLineChars="200"/>
              <w:rPr>
                <w:rFonts w:ascii="Times New Roman" w:hAnsi="Times New Roman" w:cs="Times New Roman"/>
                <w:color w:val="auto"/>
                <w:sz w:val="24"/>
                <w:szCs w:val="24"/>
                <w:highlight w:val="none"/>
              </w:rPr>
            </w:pPr>
            <w:r>
              <w:rPr>
                <w:rFonts w:hint="eastAsia" w:ascii="宋体" w:hAnsi="宋体" w:eastAsia="宋体" w:cs="宋体"/>
                <w:color w:val="auto"/>
                <w:sz w:val="24"/>
                <w:szCs w:val="24"/>
                <w:highlight w:val="none"/>
              </w:rPr>
              <w:t>①</w:t>
            </w:r>
            <w:r>
              <w:rPr>
                <w:rFonts w:hint="eastAsia" w:ascii="Times New Roman" w:hAnsi="Times New Roman" w:cs="Times New Roman"/>
                <w:color w:val="auto"/>
                <w:sz w:val="24"/>
                <w:szCs w:val="24"/>
                <w:highlight w:val="none"/>
              </w:rPr>
              <w:t>经本项目</w:t>
            </w:r>
            <w:r>
              <w:rPr>
                <w:rFonts w:hint="eastAsia" w:ascii="Times New Roman" w:hAnsi="Times New Roman" w:cs="Times New Roman"/>
                <w:color w:val="auto"/>
                <w:sz w:val="24"/>
                <w:szCs w:val="24"/>
                <w:highlight w:val="none"/>
                <w:lang w:val="en-US" w:eastAsia="zh-CN"/>
              </w:rPr>
              <w:t>污水处理设施</w:t>
            </w:r>
            <w:r>
              <w:rPr>
                <w:rFonts w:hint="eastAsia" w:ascii="Times New Roman" w:hAnsi="Times New Roman" w:cs="Times New Roman"/>
                <w:color w:val="auto"/>
                <w:sz w:val="24"/>
                <w:szCs w:val="24"/>
                <w:highlight w:val="none"/>
              </w:rPr>
              <w:t>处理后排放量：</w:t>
            </w:r>
          </w:p>
          <w:p w14:paraId="68865BBF">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COD</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19756.41</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500</w:t>
            </w:r>
            <w:r>
              <w:rPr>
                <w:rFonts w:ascii="Times New Roman" w:hAnsi="Times New Roman" w:cs="Times New Roman"/>
                <w:color w:val="auto"/>
                <w:sz w:val="24"/>
                <w:szCs w:val="24"/>
                <w:highlight w:val="none"/>
              </w:rPr>
              <w:t>mg/L</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10</w:t>
            </w:r>
            <w:r>
              <w:rPr>
                <w:rFonts w:ascii="Times New Roman" w:hAnsi="Times New Roman" w:cs="Times New Roman"/>
                <w:color w:val="auto"/>
                <w:sz w:val="24"/>
                <w:szCs w:val="24"/>
                <w:highlight w:val="none"/>
                <w:vertAlign w:val="superscript"/>
              </w:rPr>
              <w:t>-6</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9.8782</w:t>
            </w:r>
            <w:r>
              <w:rPr>
                <w:rFonts w:ascii="Times New Roman" w:hAnsi="Times New Roman" w:cs="Times New Roman"/>
                <w:color w:val="auto"/>
                <w:sz w:val="24"/>
                <w:szCs w:val="24"/>
                <w:highlight w:val="none"/>
              </w:rPr>
              <w:t>t/a</w:t>
            </w:r>
          </w:p>
          <w:p w14:paraId="4483CEDF">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NH</w:t>
            </w:r>
            <w:r>
              <w:rPr>
                <w:rFonts w:ascii="Times New Roman" w:hAnsi="Times New Roman" w:cs="Times New Roman"/>
                <w:color w:val="auto"/>
                <w:sz w:val="24"/>
                <w:szCs w:val="24"/>
                <w:highlight w:val="none"/>
                <w:vertAlign w:val="subscript"/>
              </w:rPr>
              <w:t>3</w:t>
            </w:r>
            <w:r>
              <w:rPr>
                <w:rFonts w:ascii="Times New Roman" w:hAnsi="Times New Roman" w:cs="Times New Roman"/>
                <w:color w:val="auto"/>
                <w:sz w:val="24"/>
                <w:szCs w:val="24"/>
                <w:highlight w:val="none"/>
              </w:rPr>
              <w:t>-N</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19756.41</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rPr>
              <w:t>×4</w:t>
            </w:r>
            <w:r>
              <w:rPr>
                <w:rFonts w:ascii="Times New Roman" w:hAnsi="Times New Roman" w:cs="Times New Roman"/>
                <w:color w:val="auto"/>
                <w:sz w:val="24"/>
                <w:szCs w:val="24"/>
                <w:highlight w:val="none"/>
              </w:rPr>
              <w:t>5mg/L</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10</w:t>
            </w:r>
            <w:r>
              <w:rPr>
                <w:rFonts w:ascii="Times New Roman" w:hAnsi="Times New Roman" w:cs="Times New Roman"/>
                <w:color w:val="auto"/>
                <w:sz w:val="24"/>
                <w:szCs w:val="24"/>
                <w:highlight w:val="none"/>
                <w:vertAlign w:val="superscript"/>
              </w:rPr>
              <w:t>-6</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0.8890</w:t>
            </w:r>
            <w:r>
              <w:rPr>
                <w:rFonts w:ascii="Times New Roman" w:hAnsi="Times New Roman" w:cs="Times New Roman"/>
                <w:color w:val="auto"/>
                <w:sz w:val="24"/>
                <w:szCs w:val="24"/>
                <w:highlight w:val="none"/>
              </w:rPr>
              <w:t>t/a</w:t>
            </w:r>
          </w:p>
          <w:p w14:paraId="5FB59E51">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TP：</w:t>
            </w:r>
            <w:r>
              <w:rPr>
                <w:rFonts w:hint="eastAsia" w:ascii="Times New Roman" w:hAnsi="Times New Roman" w:cs="Times New Roman"/>
                <w:color w:val="auto"/>
                <w:sz w:val="24"/>
                <w:szCs w:val="24"/>
                <w:highlight w:val="none"/>
                <w:lang w:val="en-US" w:eastAsia="zh-CN"/>
              </w:rPr>
              <w:t>19756.41</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8</w:t>
            </w:r>
            <w:r>
              <w:rPr>
                <w:rFonts w:ascii="Times New Roman" w:hAnsi="Times New Roman" w:cs="Times New Roman"/>
                <w:color w:val="auto"/>
                <w:sz w:val="24"/>
                <w:szCs w:val="24"/>
                <w:highlight w:val="none"/>
              </w:rPr>
              <w:t>mg/L</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10</w:t>
            </w:r>
            <w:r>
              <w:rPr>
                <w:rFonts w:ascii="Times New Roman" w:hAnsi="Times New Roman" w:cs="Times New Roman"/>
                <w:color w:val="auto"/>
                <w:sz w:val="24"/>
                <w:szCs w:val="24"/>
                <w:highlight w:val="none"/>
                <w:vertAlign w:val="superscript"/>
              </w:rPr>
              <w:t>-6</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0.1581</w:t>
            </w:r>
            <w:r>
              <w:rPr>
                <w:rFonts w:ascii="Times New Roman" w:hAnsi="Times New Roman" w:cs="Times New Roman"/>
                <w:color w:val="auto"/>
                <w:sz w:val="24"/>
                <w:szCs w:val="24"/>
                <w:highlight w:val="none"/>
              </w:rPr>
              <w:t>t/a</w:t>
            </w:r>
          </w:p>
          <w:p w14:paraId="27578D51">
            <w:pPr>
              <w:spacing w:line="360" w:lineRule="auto"/>
              <w:ind w:firstLine="480" w:firstLineChars="200"/>
              <w:rPr>
                <w:rFonts w:ascii="Times New Roman" w:hAnsi="Times New Roman" w:cs="Times New Roman"/>
                <w:color w:val="auto"/>
                <w:sz w:val="24"/>
                <w:szCs w:val="24"/>
                <w:highlight w:val="none"/>
              </w:rPr>
            </w:pPr>
            <w:r>
              <w:rPr>
                <w:rFonts w:hint="eastAsia" w:ascii="宋体" w:hAnsi="宋体" w:eastAsia="宋体" w:cs="宋体"/>
                <w:color w:val="auto"/>
                <w:sz w:val="24"/>
                <w:szCs w:val="24"/>
                <w:highlight w:val="none"/>
              </w:rPr>
              <w:t>②</w:t>
            </w:r>
            <w:r>
              <w:rPr>
                <w:rFonts w:hint="eastAsia" w:ascii="Times New Roman" w:hAnsi="Times New Roman" w:cs="Times New Roman"/>
                <w:color w:val="auto"/>
                <w:sz w:val="24"/>
                <w:szCs w:val="24"/>
                <w:highlight w:val="none"/>
              </w:rPr>
              <w:t>经</w:t>
            </w:r>
            <w:r>
              <w:rPr>
                <w:rFonts w:hint="eastAsia" w:ascii="Times New Roman" w:hAnsi="Times New Roman" w:cs="Times New Roman"/>
                <w:color w:val="auto"/>
                <w:sz w:val="24"/>
                <w:szCs w:val="24"/>
                <w:highlight w:val="none"/>
                <w:lang w:eastAsia="zh-CN"/>
              </w:rPr>
              <w:t>马尔康市城市生活污水处理厂</w:t>
            </w:r>
            <w:r>
              <w:rPr>
                <w:rFonts w:hint="eastAsia" w:ascii="Times New Roman" w:hAnsi="Times New Roman" w:cs="Times New Roman"/>
                <w:color w:val="auto"/>
                <w:sz w:val="24"/>
                <w:szCs w:val="24"/>
                <w:highlight w:val="none"/>
              </w:rPr>
              <w:t>处理后排放量：</w:t>
            </w:r>
          </w:p>
          <w:p w14:paraId="2CD5A115">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COD</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19756.41</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50</w:t>
            </w:r>
            <w:r>
              <w:rPr>
                <w:rFonts w:ascii="Times New Roman" w:hAnsi="Times New Roman" w:cs="Times New Roman"/>
                <w:color w:val="auto"/>
                <w:sz w:val="24"/>
                <w:szCs w:val="24"/>
                <w:highlight w:val="none"/>
              </w:rPr>
              <w:t>mg/L</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10</w:t>
            </w:r>
            <w:r>
              <w:rPr>
                <w:rFonts w:ascii="Times New Roman" w:hAnsi="Times New Roman" w:cs="Times New Roman"/>
                <w:color w:val="auto"/>
                <w:sz w:val="24"/>
                <w:szCs w:val="24"/>
                <w:highlight w:val="none"/>
                <w:vertAlign w:val="superscript"/>
              </w:rPr>
              <w:t>-6</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0.9878</w:t>
            </w:r>
            <w:r>
              <w:rPr>
                <w:rFonts w:ascii="Times New Roman" w:hAnsi="Times New Roman" w:cs="Times New Roman"/>
                <w:color w:val="auto"/>
                <w:sz w:val="24"/>
                <w:szCs w:val="24"/>
                <w:highlight w:val="none"/>
              </w:rPr>
              <w:t>/a</w:t>
            </w:r>
          </w:p>
          <w:p w14:paraId="6EC0902D">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NH</w:t>
            </w:r>
            <w:r>
              <w:rPr>
                <w:rFonts w:ascii="Times New Roman" w:hAnsi="Times New Roman" w:cs="Times New Roman"/>
                <w:color w:val="auto"/>
                <w:sz w:val="24"/>
                <w:szCs w:val="24"/>
                <w:highlight w:val="none"/>
                <w:vertAlign w:val="subscript"/>
              </w:rPr>
              <w:t>3</w:t>
            </w:r>
            <w:r>
              <w:rPr>
                <w:rFonts w:ascii="Times New Roman" w:hAnsi="Times New Roman" w:cs="Times New Roman"/>
                <w:color w:val="auto"/>
                <w:sz w:val="24"/>
                <w:szCs w:val="24"/>
                <w:highlight w:val="none"/>
              </w:rPr>
              <w:t>-N</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19756.41</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5</w:t>
            </w:r>
            <w:r>
              <w:rPr>
                <w:rFonts w:ascii="Times New Roman" w:hAnsi="Times New Roman" w:cs="Times New Roman"/>
                <w:color w:val="auto"/>
                <w:sz w:val="24"/>
                <w:szCs w:val="24"/>
                <w:highlight w:val="none"/>
              </w:rPr>
              <w:t>mg/L</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10</w:t>
            </w:r>
            <w:r>
              <w:rPr>
                <w:rFonts w:ascii="Times New Roman" w:hAnsi="Times New Roman" w:cs="Times New Roman"/>
                <w:color w:val="auto"/>
                <w:sz w:val="24"/>
                <w:szCs w:val="24"/>
                <w:highlight w:val="none"/>
                <w:vertAlign w:val="superscript"/>
              </w:rPr>
              <w:t>-6</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0.0988</w:t>
            </w:r>
            <w:r>
              <w:rPr>
                <w:rFonts w:ascii="Times New Roman" w:hAnsi="Times New Roman" w:cs="Times New Roman"/>
                <w:color w:val="auto"/>
                <w:sz w:val="24"/>
                <w:szCs w:val="24"/>
                <w:highlight w:val="none"/>
              </w:rPr>
              <w:t>t/a</w:t>
            </w:r>
          </w:p>
          <w:p w14:paraId="41E3D589">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TP：</w:t>
            </w:r>
            <w:r>
              <w:rPr>
                <w:rFonts w:hint="eastAsia" w:ascii="Times New Roman" w:hAnsi="Times New Roman" w:cs="Times New Roman"/>
                <w:color w:val="auto"/>
                <w:sz w:val="24"/>
                <w:szCs w:val="24"/>
                <w:highlight w:val="none"/>
                <w:lang w:val="en-US" w:eastAsia="zh-CN"/>
              </w:rPr>
              <w:t>19756.41</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0.5</w:t>
            </w:r>
            <w:r>
              <w:rPr>
                <w:rFonts w:ascii="Times New Roman" w:hAnsi="Times New Roman" w:cs="Times New Roman"/>
                <w:color w:val="auto"/>
                <w:sz w:val="24"/>
                <w:szCs w:val="24"/>
                <w:highlight w:val="none"/>
              </w:rPr>
              <w:t>mg/L</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10</w:t>
            </w:r>
            <w:r>
              <w:rPr>
                <w:rFonts w:ascii="Times New Roman" w:hAnsi="Times New Roman" w:cs="Times New Roman"/>
                <w:color w:val="auto"/>
                <w:sz w:val="24"/>
                <w:szCs w:val="24"/>
                <w:highlight w:val="none"/>
                <w:vertAlign w:val="superscript"/>
              </w:rPr>
              <w:t>-6</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0.0099</w:t>
            </w:r>
            <w:r>
              <w:rPr>
                <w:rFonts w:ascii="Times New Roman" w:hAnsi="Times New Roman" w:cs="Times New Roman"/>
                <w:color w:val="auto"/>
                <w:sz w:val="24"/>
                <w:szCs w:val="24"/>
                <w:highlight w:val="none"/>
              </w:rPr>
              <w:t>t/a</w:t>
            </w:r>
          </w:p>
          <w:p w14:paraId="3310B588">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2</w:t>
            </w:r>
            <w:r>
              <w:rPr>
                <w:rFonts w:hint="eastAsia" w:ascii="Times New Roman" w:hAnsi="Times New Roman" w:cs="Times New Roman"/>
                <w:b/>
                <w:color w:val="auto"/>
                <w:sz w:val="24"/>
                <w:szCs w:val="24"/>
                <w:highlight w:val="none"/>
              </w:rPr>
              <w:t>、</w:t>
            </w:r>
            <w:r>
              <w:rPr>
                <w:rFonts w:hint="eastAsia" w:ascii="Times New Roman" w:hAnsi="Times New Roman" w:cs="Times New Roman"/>
                <w:b/>
                <w:color w:val="auto"/>
                <w:sz w:val="24"/>
                <w:szCs w:val="24"/>
                <w:highlight w:val="none"/>
                <w:lang w:val="en-US" w:eastAsia="zh-CN"/>
              </w:rPr>
              <w:t>废气</w:t>
            </w:r>
            <w:r>
              <w:rPr>
                <w:rFonts w:ascii="Times New Roman" w:hAnsi="Times New Roman" w:cs="Times New Roman"/>
                <w:b/>
                <w:color w:val="auto"/>
                <w:sz w:val="24"/>
                <w:szCs w:val="24"/>
                <w:highlight w:val="none"/>
              </w:rPr>
              <w:t>污染物总量控制指标</w:t>
            </w:r>
          </w:p>
          <w:p w14:paraId="4261BF7E">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不涉及废气污染物总量。</w:t>
            </w:r>
          </w:p>
          <w:p w14:paraId="17DCE37D">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项目总量控制指标见下表所示：</w:t>
            </w:r>
          </w:p>
          <w:p w14:paraId="27E8928D">
            <w:pPr>
              <w:pStyle w:val="116"/>
              <w:bidi w:val="0"/>
              <w:rPr>
                <w:color w:val="auto"/>
              </w:rPr>
            </w:pPr>
            <w:r>
              <w:rPr>
                <w:rFonts w:hint="eastAsia"/>
                <w:color w:val="auto"/>
                <w:lang w:val="en-US" w:eastAsia="zh-CN"/>
              </w:rPr>
              <w:t>污染物总量控制建议指标</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474"/>
              <w:gridCol w:w="2439"/>
              <w:gridCol w:w="1580"/>
              <w:gridCol w:w="2068"/>
            </w:tblGrid>
            <w:tr w14:paraId="03611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46" w:type="pct"/>
                  <w:gridSpan w:val="2"/>
                  <w:tcBorders>
                    <w:tl2br w:val="nil"/>
                    <w:tr2bl w:val="nil"/>
                  </w:tcBorders>
                  <w:vAlign w:val="center"/>
                </w:tcPr>
                <w:p w14:paraId="13E88084">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总量控制污染物</w:t>
                  </w:r>
                </w:p>
              </w:tc>
              <w:tc>
                <w:tcPr>
                  <w:tcW w:w="1383" w:type="pct"/>
                  <w:tcBorders>
                    <w:tl2br w:val="nil"/>
                    <w:tr2bl w:val="nil"/>
                  </w:tcBorders>
                  <w:vAlign w:val="center"/>
                </w:tcPr>
                <w:p w14:paraId="069B5A4A">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污染物名称</w:t>
                  </w:r>
                </w:p>
              </w:tc>
              <w:tc>
                <w:tcPr>
                  <w:tcW w:w="896" w:type="pct"/>
                  <w:tcBorders>
                    <w:tl2br w:val="nil"/>
                    <w:tr2bl w:val="nil"/>
                  </w:tcBorders>
                  <w:vAlign w:val="center"/>
                </w:tcPr>
                <w:p w14:paraId="4215F730">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单位</w:t>
                  </w:r>
                </w:p>
              </w:tc>
              <w:tc>
                <w:tcPr>
                  <w:tcW w:w="1173" w:type="pct"/>
                  <w:tcBorders>
                    <w:tl2br w:val="nil"/>
                    <w:tr2bl w:val="nil"/>
                  </w:tcBorders>
                  <w:vAlign w:val="center"/>
                </w:tcPr>
                <w:p w14:paraId="068DDF24">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本项目建成后</w:t>
                  </w:r>
                  <w:r>
                    <w:rPr>
                      <w:rFonts w:hint="eastAsia" w:ascii="Times New Roman" w:hAnsi="Times New Roman" w:eastAsia="宋体" w:cs="Times New Roman"/>
                      <w:b/>
                      <w:bCs/>
                      <w:color w:val="auto"/>
                      <w:sz w:val="21"/>
                      <w:szCs w:val="21"/>
                      <w:highlight w:val="none"/>
                      <w:lang w:val="en-US" w:eastAsia="zh-CN"/>
                    </w:rPr>
                    <w:t>全校</w:t>
                  </w:r>
                  <w:r>
                    <w:rPr>
                      <w:rFonts w:hint="default" w:ascii="Times New Roman" w:hAnsi="Times New Roman" w:eastAsia="宋体" w:cs="Times New Roman"/>
                      <w:b/>
                      <w:bCs/>
                      <w:color w:val="auto"/>
                      <w:sz w:val="21"/>
                      <w:szCs w:val="21"/>
                      <w:highlight w:val="none"/>
                      <w:lang w:val="en-US" w:eastAsia="zh-CN"/>
                    </w:rPr>
                    <w:t>排放量</w:t>
                  </w:r>
                </w:p>
              </w:tc>
            </w:tr>
            <w:tr w14:paraId="56AF1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10" w:type="pct"/>
                  <w:vMerge w:val="restart"/>
                  <w:tcBorders>
                    <w:tl2br w:val="nil"/>
                    <w:tr2bl w:val="nil"/>
                  </w:tcBorders>
                  <w:vAlign w:val="center"/>
                </w:tcPr>
                <w:p w14:paraId="3A3117EE">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水污染物</w:t>
                  </w:r>
                </w:p>
              </w:tc>
              <w:tc>
                <w:tcPr>
                  <w:tcW w:w="835" w:type="pct"/>
                  <w:vMerge w:val="restart"/>
                  <w:tcBorders>
                    <w:tl2br w:val="nil"/>
                    <w:tr2bl w:val="nil"/>
                  </w:tcBorders>
                  <w:vAlign w:val="center"/>
                </w:tcPr>
                <w:p w14:paraId="12B573F2">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学校总</w:t>
                  </w:r>
                  <w:r>
                    <w:rPr>
                      <w:rFonts w:hint="default" w:ascii="Times New Roman" w:hAnsi="Times New Roman" w:eastAsia="宋体" w:cs="Times New Roman"/>
                      <w:bCs/>
                      <w:color w:val="auto"/>
                      <w:sz w:val="21"/>
                      <w:szCs w:val="21"/>
                      <w:highlight w:val="none"/>
                      <w:lang w:val="en-US" w:eastAsia="zh-CN"/>
                    </w:rPr>
                    <w:t>排口</w:t>
                  </w:r>
                </w:p>
              </w:tc>
              <w:tc>
                <w:tcPr>
                  <w:tcW w:w="1383" w:type="pct"/>
                  <w:tcBorders>
                    <w:tl2br w:val="nil"/>
                    <w:tr2bl w:val="nil"/>
                  </w:tcBorders>
                  <w:vAlign w:val="center"/>
                </w:tcPr>
                <w:p w14:paraId="500C6D32">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COD</w:t>
                  </w:r>
                </w:p>
              </w:tc>
              <w:tc>
                <w:tcPr>
                  <w:tcW w:w="896" w:type="pct"/>
                  <w:tcBorders>
                    <w:tl2br w:val="nil"/>
                    <w:tr2bl w:val="nil"/>
                  </w:tcBorders>
                  <w:vAlign w:val="center"/>
                </w:tcPr>
                <w:p w14:paraId="0BEEF36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t/a</w:t>
                  </w:r>
                </w:p>
              </w:tc>
              <w:tc>
                <w:tcPr>
                  <w:tcW w:w="1173" w:type="pct"/>
                  <w:tcBorders>
                    <w:tl2br w:val="nil"/>
                    <w:tr2bl w:val="nil"/>
                  </w:tcBorders>
                  <w:vAlign w:val="center"/>
                </w:tcPr>
                <w:p w14:paraId="3CC1D59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9.8782</w:t>
                  </w:r>
                </w:p>
              </w:tc>
            </w:tr>
            <w:tr w14:paraId="37059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0" w:type="pct"/>
                  <w:vMerge w:val="continue"/>
                  <w:tcBorders>
                    <w:tl2br w:val="nil"/>
                    <w:tr2bl w:val="nil"/>
                  </w:tcBorders>
                  <w:vAlign w:val="center"/>
                </w:tcPr>
                <w:p w14:paraId="75B49FEB">
                  <w:pPr>
                    <w:jc w:val="center"/>
                    <w:rPr>
                      <w:rFonts w:hint="default" w:ascii="Times New Roman" w:hAnsi="Times New Roman" w:eastAsia="宋体" w:cs="Times New Roman"/>
                      <w:bCs/>
                      <w:color w:val="auto"/>
                      <w:sz w:val="21"/>
                      <w:szCs w:val="21"/>
                      <w:highlight w:val="none"/>
                    </w:rPr>
                  </w:pPr>
                </w:p>
              </w:tc>
              <w:tc>
                <w:tcPr>
                  <w:tcW w:w="835" w:type="pct"/>
                  <w:vMerge w:val="continue"/>
                  <w:tcBorders>
                    <w:tl2br w:val="nil"/>
                    <w:tr2bl w:val="nil"/>
                  </w:tcBorders>
                  <w:vAlign w:val="center"/>
                </w:tcPr>
                <w:p w14:paraId="38434A8E">
                  <w:pPr>
                    <w:jc w:val="center"/>
                    <w:rPr>
                      <w:rFonts w:hint="default" w:ascii="Times New Roman" w:hAnsi="Times New Roman" w:eastAsia="宋体" w:cs="Times New Roman"/>
                      <w:bCs/>
                      <w:color w:val="auto"/>
                      <w:sz w:val="21"/>
                      <w:szCs w:val="21"/>
                      <w:highlight w:val="none"/>
                    </w:rPr>
                  </w:pPr>
                </w:p>
              </w:tc>
              <w:tc>
                <w:tcPr>
                  <w:tcW w:w="1383" w:type="pct"/>
                  <w:tcBorders>
                    <w:tl2br w:val="nil"/>
                    <w:tr2bl w:val="nil"/>
                  </w:tcBorders>
                  <w:vAlign w:val="center"/>
                </w:tcPr>
                <w:p w14:paraId="0BB130F7">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氨氮</w:t>
                  </w:r>
                </w:p>
              </w:tc>
              <w:tc>
                <w:tcPr>
                  <w:tcW w:w="896" w:type="pct"/>
                  <w:tcBorders>
                    <w:tl2br w:val="nil"/>
                    <w:tr2bl w:val="nil"/>
                  </w:tcBorders>
                  <w:vAlign w:val="center"/>
                </w:tcPr>
                <w:p w14:paraId="09AFE693">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t/a</w:t>
                  </w:r>
                </w:p>
              </w:tc>
              <w:tc>
                <w:tcPr>
                  <w:tcW w:w="1173" w:type="pct"/>
                  <w:tcBorders>
                    <w:tl2br w:val="nil"/>
                    <w:tr2bl w:val="nil"/>
                  </w:tcBorders>
                  <w:vAlign w:val="center"/>
                </w:tcPr>
                <w:p w14:paraId="1435016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0.8890</w:t>
                  </w:r>
                </w:p>
              </w:tc>
            </w:tr>
            <w:tr w14:paraId="4F685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0" w:type="pct"/>
                  <w:vMerge w:val="continue"/>
                  <w:tcBorders>
                    <w:tl2br w:val="nil"/>
                    <w:tr2bl w:val="nil"/>
                  </w:tcBorders>
                  <w:vAlign w:val="center"/>
                </w:tcPr>
                <w:p w14:paraId="5A075780">
                  <w:pPr>
                    <w:jc w:val="center"/>
                    <w:rPr>
                      <w:rFonts w:hint="default" w:ascii="Times New Roman" w:hAnsi="Times New Roman" w:eastAsia="宋体" w:cs="Times New Roman"/>
                      <w:bCs/>
                      <w:color w:val="auto"/>
                      <w:sz w:val="21"/>
                      <w:szCs w:val="21"/>
                      <w:highlight w:val="none"/>
                    </w:rPr>
                  </w:pPr>
                </w:p>
              </w:tc>
              <w:tc>
                <w:tcPr>
                  <w:tcW w:w="835" w:type="pct"/>
                  <w:vMerge w:val="continue"/>
                  <w:tcBorders>
                    <w:tl2br w:val="nil"/>
                    <w:tr2bl w:val="nil"/>
                  </w:tcBorders>
                  <w:vAlign w:val="center"/>
                </w:tcPr>
                <w:p w14:paraId="5A4D253E">
                  <w:pPr>
                    <w:jc w:val="center"/>
                    <w:rPr>
                      <w:rFonts w:hint="default" w:ascii="Times New Roman" w:hAnsi="Times New Roman" w:eastAsia="宋体" w:cs="Times New Roman"/>
                      <w:bCs/>
                      <w:color w:val="auto"/>
                      <w:sz w:val="21"/>
                      <w:szCs w:val="21"/>
                      <w:highlight w:val="none"/>
                    </w:rPr>
                  </w:pPr>
                </w:p>
              </w:tc>
              <w:tc>
                <w:tcPr>
                  <w:tcW w:w="1383" w:type="pct"/>
                  <w:tcBorders>
                    <w:tl2br w:val="nil"/>
                    <w:tr2bl w:val="nil"/>
                  </w:tcBorders>
                  <w:vAlign w:val="center"/>
                </w:tcPr>
                <w:p w14:paraId="329F8253">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总磷</w:t>
                  </w:r>
                </w:p>
              </w:tc>
              <w:tc>
                <w:tcPr>
                  <w:tcW w:w="896" w:type="pct"/>
                  <w:tcBorders>
                    <w:tl2br w:val="nil"/>
                    <w:tr2bl w:val="nil"/>
                  </w:tcBorders>
                  <w:vAlign w:val="center"/>
                </w:tcPr>
                <w:p w14:paraId="63AEADA6">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t/a</w:t>
                  </w:r>
                </w:p>
              </w:tc>
              <w:tc>
                <w:tcPr>
                  <w:tcW w:w="1173" w:type="pct"/>
                  <w:tcBorders>
                    <w:tl2br w:val="nil"/>
                    <w:tr2bl w:val="nil"/>
                  </w:tcBorders>
                  <w:vAlign w:val="center"/>
                </w:tcPr>
                <w:p w14:paraId="7952E3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0.1581</w:t>
                  </w:r>
                </w:p>
              </w:tc>
            </w:tr>
            <w:tr w14:paraId="2CC6C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0" w:type="pct"/>
                  <w:vMerge w:val="continue"/>
                  <w:tcBorders>
                    <w:tl2br w:val="nil"/>
                    <w:tr2bl w:val="nil"/>
                  </w:tcBorders>
                  <w:vAlign w:val="center"/>
                </w:tcPr>
                <w:p w14:paraId="595F8E7B">
                  <w:pPr>
                    <w:jc w:val="center"/>
                    <w:rPr>
                      <w:rFonts w:hint="default" w:ascii="Times New Roman" w:hAnsi="Times New Roman" w:eastAsia="宋体" w:cs="Times New Roman"/>
                      <w:bCs/>
                      <w:color w:val="auto"/>
                      <w:sz w:val="21"/>
                      <w:szCs w:val="21"/>
                      <w:highlight w:val="none"/>
                    </w:rPr>
                  </w:pPr>
                </w:p>
              </w:tc>
              <w:tc>
                <w:tcPr>
                  <w:tcW w:w="835" w:type="pct"/>
                  <w:vMerge w:val="restart"/>
                  <w:tcBorders>
                    <w:tl2br w:val="nil"/>
                    <w:tr2bl w:val="nil"/>
                  </w:tcBorders>
                  <w:vAlign w:val="center"/>
                </w:tcPr>
                <w:p w14:paraId="59B021FA">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污水处理厂排口</w:t>
                  </w:r>
                </w:p>
              </w:tc>
              <w:tc>
                <w:tcPr>
                  <w:tcW w:w="1383" w:type="pct"/>
                  <w:tcBorders>
                    <w:tl2br w:val="nil"/>
                    <w:tr2bl w:val="nil"/>
                  </w:tcBorders>
                  <w:vAlign w:val="center"/>
                </w:tcPr>
                <w:p w14:paraId="6F28F0BD">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COD</w:t>
                  </w:r>
                </w:p>
              </w:tc>
              <w:tc>
                <w:tcPr>
                  <w:tcW w:w="896" w:type="pct"/>
                  <w:tcBorders>
                    <w:tl2br w:val="nil"/>
                    <w:tr2bl w:val="nil"/>
                  </w:tcBorders>
                  <w:vAlign w:val="center"/>
                </w:tcPr>
                <w:p w14:paraId="391A87B0">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t/a</w:t>
                  </w:r>
                </w:p>
              </w:tc>
              <w:tc>
                <w:tcPr>
                  <w:tcW w:w="1173" w:type="pct"/>
                  <w:tcBorders>
                    <w:tl2br w:val="nil"/>
                    <w:tr2bl w:val="nil"/>
                  </w:tcBorders>
                  <w:vAlign w:val="center"/>
                </w:tcPr>
                <w:p w14:paraId="2C42FF3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0.9878</w:t>
                  </w:r>
                </w:p>
              </w:tc>
            </w:tr>
            <w:tr w14:paraId="734629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0" w:type="pct"/>
                  <w:vMerge w:val="continue"/>
                  <w:tcBorders>
                    <w:tl2br w:val="nil"/>
                    <w:tr2bl w:val="nil"/>
                  </w:tcBorders>
                  <w:vAlign w:val="center"/>
                </w:tcPr>
                <w:p w14:paraId="5A395956">
                  <w:pPr>
                    <w:jc w:val="center"/>
                    <w:rPr>
                      <w:rFonts w:hint="default" w:ascii="Times New Roman" w:hAnsi="Times New Roman" w:eastAsia="宋体" w:cs="Times New Roman"/>
                      <w:bCs/>
                      <w:color w:val="auto"/>
                      <w:sz w:val="21"/>
                      <w:szCs w:val="21"/>
                      <w:highlight w:val="none"/>
                    </w:rPr>
                  </w:pPr>
                </w:p>
              </w:tc>
              <w:tc>
                <w:tcPr>
                  <w:tcW w:w="835" w:type="pct"/>
                  <w:vMerge w:val="continue"/>
                  <w:tcBorders>
                    <w:tl2br w:val="nil"/>
                    <w:tr2bl w:val="nil"/>
                  </w:tcBorders>
                  <w:vAlign w:val="center"/>
                </w:tcPr>
                <w:p w14:paraId="5F24B6AB">
                  <w:pPr>
                    <w:jc w:val="center"/>
                    <w:rPr>
                      <w:rFonts w:hint="default" w:ascii="Times New Roman" w:hAnsi="Times New Roman" w:eastAsia="宋体" w:cs="Times New Roman"/>
                      <w:bCs/>
                      <w:color w:val="auto"/>
                      <w:sz w:val="21"/>
                      <w:szCs w:val="21"/>
                      <w:highlight w:val="none"/>
                    </w:rPr>
                  </w:pPr>
                </w:p>
              </w:tc>
              <w:tc>
                <w:tcPr>
                  <w:tcW w:w="1383" w:type="pct"/>
                  <w:tcBorders>
                    <w:tl2br w:val="nil"/>
                    <w:tr2bl w:val="nil"/>
                  </w:tcBorders>
                  <w:vAlign w:val="center"/>
                </w:tcPr>
                <w:p w14:paraId="38C310FF">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氨氮</w:t>
                  </w:r>
                </w:p>
              </w:tc>
              <w:tc>
                <w:tcPr>
                  <w:tcW w:w="896" w:type="pct"/>
                  <w:tcBorders>
                    <w:tl2br w:val="nil"/>
                    <w:tr2bl w:val="nil"/>
                  </w:tcBorders>
                  <w:vAlign w:val="center"/>
                </w:tcPr>
                <w:p w14:paraId="53D80BE0">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t/a</w:t>
                  </w:r>
                </w:p>
              </w:tc>
              <w:tc>
                <w:tcPr>
                  <w:tcW w:w="1173" w:type="pct"/>
                  <w:tcBorders>
                    <w:tl2br w:val="nil"/>
                    <w:tr2bl w:val="nil"/>
                  </w:tcBorders>
                  <w:vAlign w:val="center"/>
                </w:tcPr>
                <w:p w14:paraId="04F49BC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0.0988</w:t>
                  </w:r>
                </w:p>
              </w:tc>
            </w:tr>
            <w:tr w14:paraId="218CC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0" w:type="pct"/>
                  <w:vMerge w:val="continue"/>
                  <w:tcBorders>
                    <w:tl2br w:val="nil"/>
                    <w:tr2bl w:val="nil"/>
                  </w:tcBorders>
                  <w:vAlign w:val="center"/>
                </w:tcPr>
                <w:p w14:paraId="5AEF1F11">
                  <w:pPr>
                    <w:jc w:val="center"/>
                    <w:rPr>
                      <w:rFonts w:hint="default" w:ascii="Times New Roman" w:hAnsi="Times New Roman" w:eastAsia="宋体" w:cs="Times New Roman"/>
                      <w:bCs/>
                      <w:color w:val="auto"/>
                      <w:sz w:val="21"/>
                      <w:szCs w:val="21"/>
                      <w:highlight w:val="none"/>
                    </w:rPr>
                  </w:pPr>
                </w:p>
              </w:tc>
              <w:tc>
                <w:tcPr>
                  <w:tcW w:w="835" w:type="pct"/>
                  <w:vMerge w:val="continue"/>
                  <w:tcBorders>
                    <w:tl2br w:val="nil"/>
                    <w:tr2bl w:val="nil"/>
                  </w:tcBorders>
                  <w:vAlign w:val="center"/>
                </w:tcPr>
                <w:p w14:paraId="17A83E4A">
                  <w:pPr>
                    <w:jc w:val="center"/>
                    <w:rPr>
                      <w:rFonts w:hint="default" w:ascii="Times New Roman" w:hAnsi="Times New Roman" w:eastAsia="宋体" w:cs="Times New Roman"/>
                      <w:bCs/>
                      <w:color w:val="auto"/>
                      <w:sz w:val="21"/>
                      <w:szCs w:val="21"/>
                      <w:highlight w:val="none"/>
                    </w:rPr>
                  </w:pPr>
                </w:p>
              </w:tc>
              <w:tc>
                <w:tcPr>
                  <w:tcW w:w="1383" w:type="pct"/>
                  <w:tcBorders>
                    <w:tl2br w:val="nil"/>
                    <w:tr2bl w:val="nil"/>
                  </w:tcBorders>
                  <w:vAlign w:val="center"/>
                </w:tcPr>
                <w:p w14:paraId="7CF718D4">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总磷</w:t>
                  </w:r>
                </w:p>
              </w:tc>
              <w:tc>
                <w:tcPr>
                  <w:tcW w:w="896" w:type="pct"/>
                  <w:tcBorders>
                    <w:tl2br w:val="nil"/>
                    <w:tr2bl w:val="nil"/>
                  </w:tcBorders>
                  <w:vAlign w:val="center"/>
                </w:tcPr>
                <w:p w14:paraId="156CC122">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t/a</w:t>
                  </w:r>
                </w:p>
              </w:tc>
              <w:tc>
                <w:tcPr>
                  <w:tcW w:w="1173" w:type="pct"/>
                  <w:tcBorders>
                    <w:tl2br w:val="nil"/>
                    <w:tr2bl w:val="nil"/>
                  </w:tcBorders>
                  <w:vAlign w:val="center"/>
                </w:tcPr>
                <w:p w14:paraId="74A1C0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0.0099</w:t>
                  </w:r>
                </w:p>
              </w:tc>
            </w:tr>
          </w:tbl>
          <w:p w14:paraId="01D853D7">
            <w:pPr>
              <w:pStyle w:val="11"/>
              <w:rPr>
                <w:color w:val="auto"/>
              </w:rPr>
            </w:pPr>
          </w:p>
          <w:p w14:paraId="01DC1A07">
            <w:pPr>
              <w:pStyle w:val="11"/>
              <w:rPr>
                <w:color w:val="auto"/>
              </w:rPr>
            </w:pPr>
          </w:p>
          <w:p w14:paraId="30C90A1B">
            <w:pPr>
              <w:rPr>
                <w:color w:val="auto"/>
              </w:rPr>
            </w:pPr>
          </w:p>
          <w:p w14:paraId="1941A11D">
            <w:pPr>
              <w:rPr>
                <w:color w:val="auto"/>
              </w:rPr>
            </w:pPr>
          </w:p>
          <w:p w14:paraId="596BF66A">
            <w:pPr>
              <w:rPr>
                <w:color w:val="auto"/>
              </w:rPr>
            </w:pPr>
          </w:p>
          <w:p w14:paraId="6A996E65">
            <w:pPr>
              <w:rPr>
                <w:color w:val="auto"/>
              </w:rPr>
            </w:pPr>
          </w:p>
          <w:p w14:paraId="702D6D0C">
            <w:pPr>
              <w:rPr>
                <w:color w:val="auto"/>
              </w:rPr>
            </w:pPr>
          </w:p>
          <w:p w14:paraId="1D4BE2E5">
            <w:pPr>
              <w:rPr>
                <w:color w:val="auto"/>
              </w:rPr>
            </w:pPr>
          </w:p>
          <w:p w14:paraId="649BB9D8">
            <w:pPr>
              <w:rPr>
                <w:color w:val="auto"/>
              </w:rPr>
            </w:pPr>
          </w:p>
          <w:p w14:paraId="0A389003">
            <w:pPr>
              <w:rPr>
                <w:color w:val="auto"/>
              </w:rPr>
            </w:pPr>
          </w:p>
          <w:p w14:paraId="0064A5CA">
            <w:pPr>
              <w:rPr>
                <w:color w:val="auto"/>
              </w:rPr>
            </w:pPr>
          </w:p>
          <w:p w14:paraId="38563249">
            <w:pPr>
              <w:rPr>
                <w:color w:val="auto"/>
              </w:rPr>
            </w:pPr>
          </w:p>
          <w:p w14:paraId="5472225B">
            <w:pPr>
              <w:rPr>
                <w:color w:val="auto"/>
              </w:rPr>
            </w:pPr>
          </w:p>
          <w:p w14:paraId="6F9FFBB2">
            <w:pPr>
              <w:rPr>
                <w:color w:val="auto"/>
              </w:rPr>
            </w:pPr>
          </w:p>
          <w:p w14:paraId="0A141018">
            <w:pPr>
              <w:rPr>
                <w:color w:val="auto"/>
              </w:rPr>
            </w:pPr>
          </w:p>
          <w:p w14:paraId="717DD71B">
            <w:pPr>
              <w:pStyle w:val="11"/>
              <w:rPr>
                <w:color w:val="auto"/>
              </w:rPr>
            </w:pPr>
          </w:p>
        </w:tc>
      </w:tr>
    </w:tbl>
    <w:p w14:paraId="73AFF4ED">
      <w:pPr>
        <w:rPr>
          <w:color w:val="auto"/>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14:paraId="7BFCED3C">
      <w:pPr>
        <w:pStyle w:val="36"/>
        <w:rPr>
          <w:rFonts w:ascii="黑体" w:hAnsi="黑体" w:eastAsia="黑体"/>
          <w:b w:val="0"/>
          <w:color w:val="auto"/>
          <w:sz w:val="30"/>
          <w:szCs w:val="30"/>
          <w:highlight w:val="none"/>
        </w:rPr>
      </w:pPr>
      <w:bookmarkStart w:id="5" w:name="_Toc130804818"/>
      <w:r>
        <w:rPr>
          <w:rFonts w:hint="eastAsia" w:ascii="黑体" w:hAnsi="黑体" w:eastAsia="黑体"/>
          <w:b w:val="0"/>
          <w:color w:val="auto"/>
          <w:sz w:val="30"/>
          <w:szCs w:val="30"/>
          <w:highlight w:val="none"/>
        </w:rPr>
        <w:t>四、主要环境影响和环保措施</w:t>
      </w:r>
      <w:bookmarkEnd w:id="5"/>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890"/>
      </w:tblGrid>
      <w:tr w14:paraId="7430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3D18338B">
            <w:pPr>
              <w:jc w:val="center"/>
              <w:rPr>
                <w:color w:val="auto"/>
                <w:sz w:val="24"/>
                <w:szCs w:val="24"/>
                <w:highlight w:val="none"/>
              </w:rPr>
            </w:pPr>
            <w:r>
              <w:rPr>
                <w:rFonts w:hint="eastAsia"/>
                <w:color w:val="auto"/>
                <w:sz w:val="24"/>
                <w:szCs w:val="24"/>
                <w:highlight w:val="none"/>
              </w:rPr>
              <w:t>施工期环境保护措施</w:t>
            </w:r>
          </w:p>
        </w:tc>
        <w:tc>
          <w:tcPr>
            <w:tcW w:w="8890" w:type="dxa"/>
            <w:vAlign w:val="center"/>
          </w:tcPr>
          <w:p w14:paraId="61B84456">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1、大气污染物</w:t>
            </w:r>
          </w:p>
          <w:p w14:paraId="650E4AD7">
            <w:pPr>
              <w:adjustRightInd w:val="0"/>
              <w:snapToGrid w:val="0"/>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（1）</w:t>
            </w:r>
            <w:r>
              <w:rPr>
                <w:rFonts w:hint="default" w:ascii="Times New Roman" w:hAnsi="Times New Roman" w:cs="Times New Roman"/>
                <w:b/>
                <w:color w:val="auto"/>
                <w:sz w:val="24"/>
              </w:rPr>
              <w:t>施工扬尘</w:t>
            </w:r>
          </w:p>
          <w:p w14:paraId="1E260BF5">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施工扬尘污染造成大气中TSP值增高，施工扬尘的起尘量与许多因素有关，影响起尘量的因素包括：基础开挖、施工渣土堆场、进出车辆带泥砂量、起尘高度、采取的防护措施、空气湿度、风速等。</w:t>
            </w:r>
            <w:r>
              <w:rPr>
                <w:rFonts w:hint="default" w:ascii="Times New Roman" w:hAnsi="Times New Roman" w:cs="Times New Roman"/>
                <w:b/>
                <w:bCs/>
                <w:color w:val="auto"/>
                <w:sz w:val="24"/>
                <w:u w:val="single"/>
              </w:rPr>
              <w:t>环评要求：施工期扬尘不能污染大气环境</w:t>
            </w:r>
            <w:r>
              <w:rPr>
                <w:rFonts w:hint="default" w:ascii="Times New Roman" w:hAnsi="Times New Roman" w:cs="Times New Roman"/>
                <w:color w:val="auto"/>
                <w:sz w:val="24"/>
              </w:rPr>
              <w:t>，施工单位必须严格按照《防治城市扬尘污染技术规范》（HJ/T393-2007）、《关于印发四川省建筑工程扬尘污染防治技术导则（试行）的通知》（川建发〔2019〕16号）进行施工，采取以下扬尘防治措施：</w:t>
            </w:r>
          </w:p>
          <w:p w14:paraId="5D6D75C5">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①施工场地采取封闭围挡施工的方式，设置2.5m高围挡；施工阶段采取湿法作业，防止扬尘扩散。</w:t>
            </w:r>
          </w:p>
          <w:p w14:paraId="0AB0127F">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②施工车辆实施限速管理，施工现场主要运输道路定期洒水抑尘；施工场地设置喷淋、冲洗等防尘降尘设施，对驶离车辆实施冲洗，配套设置地面排水沟、沉淀池。</w:t>
            </w:r>
          </w:p>
          <w:p w14:paraId="79D268B3">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③运输车辆严禁超载行驶，采取密闭运输，装填时进行压实，装填高度严禁超过车斗防护栏，装卸作业时采取有效防护措施，不得遗撒、泄漏、违规倾倒；运输时选择对周围环境影响较小的运输路线，定时对运输路线进行清扫。</w:t>
            </w:r>
          </w:p>
          <w:p w14:paraId="5EC6B499">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④禁止在风天进行渣土堆放作业，建筑垃圾及时清运，并对堆场以防尘布覆盖，禁止露天堆放；施工场地禁止设置混凝土搅拌站，所需混凝土均外购成品使用。</w:t>
            </w:r>
          </w:p>
          <w:p w14:paraId="36BB55D2">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⑤风速大于4m/s时停止施工；尽量避免冬季进行土方作业，做到</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慎开工，早</w:t>
            </w:r>
            <w:r>
              <w:rPr>
                <w:rFonts w:hint="default" w:ascii="Times New Roman" w:hAnsi="Times New Roman" w:cs="Times New Roman"/>
                <w:color w:val="auto"/>
                <w:sz w:val="24"/>
              </w:rPr>
              <w:t>完工”。</w:t>
            </w:r>
          </w:p>
          <w:p w14:paraId="4C105706">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u w:val="single"/>
              </w:rPr>
              <w:t>施工单位必须严格按照《关于印发四川省建筑工程扬尘污染防治技术导则（试行）的通知》（川建发〔2019〕16号）中要求要求，严格落实</w:t>
            </w:r>
            <w:r>
              <w:rPr>
                <w:rFonts w:hint="default" w:ascii="Times New Roman" w:hAnsi="Times New Roman" w:cs="Times New Roman"/>
                <w:b/>
                <w:bCs/>
                <w:color w:val="auto"/>
                <w:sz w:val="24"/>
                <w:u w:val="single"/>
                <w:lang w:eastAsia="zh-CN"/>
              </w:rPr>
              <w:t>“</w:t>
            </w:r>
            <w:r>
              <w:rPr>
                <w:rFonts w:hint="default" w:ascii="Times New Roman" w:hAnsi="Times New Roman" w:cs="Times New Roman"/>
                <w:b/>
                <w:bCs/>
                <w:color w:val="auto"/>
                <w:sz w:val="24"/>
                <w:u w:val="single"/>
              </w:rPr>
              <w:t>六个百分百”要求，包括：工地周边围挡、物料堆放覆盖、出入车辆冲洗、施工现场道路及材料堆场硬化、工地湿法作业及渣土车辆密闭运输。</w:t>
            </w:r>
          </w:p>
          <w:p w14:paraId="5E52246D">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（2）施工机械废气</w:t>
            </w:r>
          </w:p>
          <w:p w14:paraId="0CC94EF8">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施工过程中车辆及施工机械产生的尾气主要含CO、碳氢化合物、NO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 xml:space="preserve">等污染物。 </w:t>
            </w:r>
          </w:p>
          <w:p w14:paraId="7F3590E9">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防治措施如下：</w:t>
            </w:r>
          </w:p>
          <w:p w14:paraId="3A85346C">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①加强施工机械的保养维护，提高机械的正常使用率。</w:t>
            </w:r>
          </w:p>
          <w:p w14:paraId="278A253A">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②加强对机械、车辆的维修保养，禁止以柴油为燃料的施工机械超负荷工作，减少烟度和颗粒物排放；禁止使用机械装用国Ⅱ及以下排放标准的柴油发动机的工程机械，主要包括但不限于以下机械类型：装载机、挖掘机、推土机、压路机、履带吊车、平地机、沥青摊铺机、打桩机、旋挖机、铲车、叉车等。 </w:t>
            </w:r>
          </w:p>
          <w:p w14:paraId="3722945C">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③动力机械多选择使用电动工具，严格控制内燃机械的使用。</w:t>
            </w:r>
          </w:p>
          <w:p w14:paraId="0B0B1B54">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生态环境部办公厅发布《关于实施汽车国六排放标准有关事宜的公告》，并明确指出，自2023年7月1日起，全国范围全面实施国六排放标准6b阶段，禁止生产、进口、销售不符合国六排放标准6b阶段的汽车。因此公路运输全部使用6b及以上排放标准重型载货车辆（含燃气）或新能源车辆等清洁运输方式。本环评要求企业施工期运输车辆全部达到6b及以上排放标准（含燃气）或使用新能源车辆。采取上述措施后，施工期废气经宽敞的地带扩散后对周围环境空气质量影响较小。</w:t>
            </w:r>
          </w:p>
          <w:p w14:paraId="7402862E">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（3）装修废气</w:t>
            </w:r>
          </w:p>
          <w:p w14:paraId="21BB2079">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装修废气主要产生于建筑物室内外装修阶段。装修废气的主要污染因子是作为稀释剂的二甲苯，此外还有较少量的醋酸丁酯、乙醇、丁醇等，该废气的排放属无组织排放。</w:t>
            </w:r>
          </w:p>
          <w:p w14:paraId="47AECA09">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防治措施：</w:t>
            </w:r>
          </w:p>
          <w:p w14:paraId="5CE2BB85">
            <w:pPr>
              <w:adjustRightInd w:val="0"/>
              <w:snapToGrid w:val="0"/>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szCs w:val="24"/>
              </w:rPr>
              <w:t>项目喷涂时间选择在逆温气象状况弱的中午至下午时间段，使有机废气迅速扩散，避免其滞留在呼吸带。</w:t>
            </w:r>
          </w:p>
          <w:p w14:paraId="5B6E12DA">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②室内装修时安设排气扇强制换气。</w:t>
            </w:r>
          </w:p>
          <w:p w14:paraId="2E8C04AD">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③项目装修时使用环保型装饰材料，油漆、涂料等；由于装修阶段废气排放周期短，项目所在场地扩散条件较好，施工单位采用以上防治措施后，项目装修施工产生的有机废气可实现达标排放。</w:t>
            </w:r>
          </w:p>
          <w:p w14:paraId="09FF6D0D">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2、水污染物</w:t>
            </w:r>
          </w:p>
          <w:p w14:paraId="45510804">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（1）施工废水</w:t>
            </w:r>
          </w:p>
          <w:p w14:paraId="5253A51C">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本项目施工期间机械修配依靠城镇维修设施。施工废水主要来源于机械的冲洗、材料的洗刷施工中排出的泥浆等。该部分废水中的主要污染物为pH（一般大于7）、SS、COD、石油类。污水中COD浓度值最高约500m/L、BOD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约400mg/L、SS约1000mg/L。本项目施工期施工废水预计排放量为30m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/d，环评要求采取以下污染防治措施：</w:t>
            </w:r>
          </w:p>
          <w:p w14:paraId="059406C8">
            <w:pPr>
              <w:adjustRightInd w:val="0"/>
              <w:snapToGrid w:val="0"/>
              <w:spacing w:line="360" w:lineRule="auto"/>
              <w:ind w:firstLine="480" w:firstLineChars="200"/>
              <w:rPr>
                <w:rFonts w:hint="default" w:ascii="Times New Roman" w:hAnsi="Times New Roman" w:cs="Times New Roman"/>
                <w:color w:val="auto"/>
                <w:sz w:val="24"/>
              </w:rPr>
            </w:pPr>
            <w:r>
              <w:rPr>
                <w:rFonts w:hint="eastAsia" w:ascii="宋体" w:hAnsi="宋体" w:eastAsia="宋体" w:cs="宋体"/>
                <w:color w:val="auto"/>
                <w:sz w:val="24"/>
              </w:rPr>
              <w:t>①</w:t>
            </w:r>
            <w:r>
              <w:rPr>
                <w:rFonts w:hint="default" w:ascii="Times New Roman" w:hAnsi="Times New Roman" w:cs="Times New Roman"/>
                <w:color w:val="auto"/>
                <w:sz w:val="24"/>
              </w:rPr>
              <w:t xml:space="preserve">应施工前做好施工场地规划，施工现场应当设置完善的临时供排水设施，保持排水畅通。 </w:t>
            </w:r>
          </w:p>
          <w:p w14:paraId="01F6F5C0">
            <w:pPr>
              <w:adjustRightInd w:val="0"/>
              <w:snapToGrid w:val="0"/>
              <w:spacing w:line="360" w:lineRule="auto"/>
              <w:ind w:firstLine="480" w:firstLineChars="200"/>
              <w:rPr>
                <w:rFonts w:hint="default" w:ascii="Times New Roman" w:hAnsi="Times New Roman" w:cs="Times New Roman"/>
                <w:color w:val="auto"/>
                <w:sz w:val="24"/>
              </w:rPr>
            </w:pPr>
            <w:r>
              <w:rPr>
                <w:rFonts w:hint="eastAsia" w:ascii="宋体" w:hAnsi="宋体" w:eastAsia="宋体" w:cs="宋体"/>
                <w:color w:val="auto"/>
                <w:sz w:val="24"/>
              </w:rPr>
              <w:t>②</w:t>
            </w:r>
            <w:r>
              <w:rPr>
                <w:rFonts w:hint="default" w:ascii="Times New Roman" w:hAnsi="Times New Roman" w:cs="Times New Roman"/>
                <w:color w:val="auto"/>
                <w:sz w:val="24"/>
              </w:rPr>
              <w:t xml:space="preserve">施工现场出入口设置车辆冲洗设施和排水、废浆沉淀设施，运输车辆应当冲洗干净后出场。 </w:t>
            </w:r>
          </w:p>
          <w:p w14:paraId="0FC79E6B">
            <w:pPr>
              <w:adjustRightInd w:val="0"/>
              <w:snapToGrid w:val="0"/>
              <w:spacing w:line="360" w:lineRule="auto"/>
              <w:ind w:firstLine="480" w:firstLineChars="200"/>
              <w:rPr>
                <w:rFonts w:hint="default" w:ascii="Times New Roman" w:hAnsi="Times New Roman" w:cs="Times New Roman"/>
                <w:color w:val="auto"/>
                <w:sz w:val="24"/>
              </w:rPr>
            </w:pPr>
            <w:r>
              <w:rPr>
                <w:rFonts w:hint="eastAsia" w:ascii="宋体" w:hAnsi="宋体" w:eastAsia="宋体" w:cs="宋体"/>
                <w:color w:val="auto"/>
                <w:sz w:val="24"/>
              </w:rPr>
              <w:t>③</w:t>
            </w:r>
            <w:r>
              <w:rPr>
                <w:rFonts w:hint="default" w:ascii="Times New Roman" w:hAnsi="Times New Roman" w:cs="Times New Roman"/>
                <w:color w:val="auto"/>
                <w:sz w:val="24"/>
              </w:rPr>
              <w:t xml:space="preserve">施工过程中产生的施工废水经隔油沉淀池沉淀后全部回用于施工现场洒水抑尘，不得向自然水域排放。 </w:t>
            </w:r>
          </w:p>
          <w:p w14:paraId="7C09E04D">
            <w:pPr>
              <w:adjustRightInd w:val="0"/>
              <w:snapToGrid w:val="0"/>
              <w:spacing w:line="360" w:lineRule="auto"/>
              <w:ind w:firstLine="480" w:firstLineChars="200"/>
              <w:rPr>
                <w:rFonts w:hint="default" w:ascii="Times New Roman" w:hAnsi="Times New Roman" w:cs="Times New Roman"/>
                <w:color w:val="auto"/>
                <w:sz w:val="24"/>
              </w:rPr>
            </w:pPr>
            <w:r>
              <w:rPr>
                <w:rFonts w:hint="eastAsia" w:ascii="宋体" w:hAnsi="宋体" w:eastAsia="宋体" w:cs="宋体"/>
                <w:color w:val="auto"/>
                <w:sz w:val="24"/>
              </w:rPr>
              <w:t>④</w:t>
            </w:r>
            <w:r>
              <w:rPr>
                <w:rFonts w:hint="default" w:ascii="Times New Roman" w:hAnsi="Times New Roman" w:cs="Times New Roman"/>
                <w:color w:val="auto"/>
                <w:sz w:val="24"/>
              </w:rPr>
              <w:t xml:space="preserve">施工场地降雨产生的含泥沙排水携带着大量的污染物、泥沙和悬浮固体，这部分污染物应该加强管理，建设方需注意做好相关疏导、排放的管理工作。施工场地须注意堆砌物的合理放置，不能乱堆乱放，建筑施工材料在堆存期间应进行覆盖。 </w:t>
            </w:r>
          </w:p>
          <w:p w14:paraId="3927915E">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（2）生活污水</w:t>
            </w:r>
          </w:p>
          <w:p w14:paraId="341ACA5F">
            <w:pPr>
              <w:autoSpaceDE w:val="0"/>
              <w:autoSpaceDN w:val="0"/>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本项目</w:t>
            </w:r>
            <w:r>
              <w:rPr>
                <w:rFonts w:hint="eastAsia" w:ascii="Times New Roman" w:hAnsi="Times New Roman" w:cs="Times New Roman"/>
                <w:color w:val="auto"/>
                <w:sz w:val="24"/>
                <w:lang w:val="en-US" w:eastAsia="zh-CN"/>
              </w:rPr>
              <w:t>不</w:t>
            </w:r>
            <w:r>
              <w:rPr>
                <w:rFonts w:hint="default" w:ascii="Times New Roman" w:hAnsi="Times New Roman" w:cs="Times New Roman"/>
                <w:color w:val="auto"/>
                <w:sz w:val="24"/>
              </w:rPr>
              <w:t>设施工营地，</w:t>
            </w:r>
            <w:r>
              <w:rPr>
                <w:rFonts w:hint="default" w:ascii="Times New Roman" w:hAnsi="Times New Roman" w:cs="Times New Roman"/>
                <w:bCs/>
                <w:color w:val="auto"/>
                <w:sz w:val="24"/>
              </w:rPr>
              <w:t>施工现场生活污水</w:t>
            </w:r>
            <w:r>
              <w:rPr>
                <w:rFonts w:hint="eastAsia" w:ascii="Times New Roman" w:hAnsi="Times New Roman" w:cs="Times New Roman"/>
                <w:bCs/>
                <w:color w:val="auto"/>
                <w:sz w:val="24"/>
                <w:lang w:val="en-US" w:eastAsia="zh-CN"/>
              </w:rPr>
              <w:t>依托学校已建预处理池处理后排入市政污水管网最终进入马尔康市城市生活污水处理厂。</w:t>
            </w:r>
          </w:p>
          <w:p w14:paraId="39BC23C9">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3、噪声</w:t>
            </w:r>
          </w:p>
          <w:p w14:paraId="12DA3FF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主要分为场地平整、基础施工和设备安装三个阶段。其中场地平整阶段常用机械设备有：液压挖掘机、装载机、推土机等；基础施工阶段常用机械设备有：装载机、推土机、钻机、车载起重机、卡车等；设备安装阶段常用机械设备有：卡车和电焊机等。根据《噪声与振动控制手册》（马大猷）给出的各类设备噪声值，各种施工机械的噪声源强分布情况见下表。</w:t>
            </w:r>
          </w:p>
          <w:p w14:paraId="4F502D64">
            <w:pPr>
              <w:spacing w:line="360" w:lineRule="auto"/>
              <w:jc w:val="center"/>
              <w:rPr>
                <w:rFonts w:hint="default" w:ascii="Times New Roman" w:hAnsi="Times New Roman" w:eastAsia="黑体" w:cs="Times New Roman"/>
                <w:color w:val="auto"/>
              </w:rPr>
            </w:pPr>
            <w:r>
              <w:rPr>
                <w:rFonts w:hint="default" w:ascii="Times New Roman" w:hAnsi="Times New Roman" w:eastAsia="黑体" w:cs="Times New Roman"/>
                <w:color w:val="auto"/>
              </w:rPr>
              <w:t>表4-1  项目施工期主要设备噪声源强</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868"/>
              <w:gridCol w:w="1909"/>
              <w:gridCol w:w="2128"/>
              <w:gridCol w:w="2060"/>
            </w:tblGrid>
            <w:tr w14:paraId="1F1E9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08" w:type="pct"/>
                  <w:tcBorders>
                    <w:tl2br w:val="nil"/>
                    <w:tr2bl w:val="nil"/>
                  </w:tcBorders>
                  <w:noWrap w:val="0"/>
                  <w:vAlign w:val="center"/>
                </w:tcPr>
                <w:p w14:paraId="486CEDF1">
                  <w:pPr>
                    <w:adjustRightInd w:val="0"/>
                    <w:snapToGrid w:val="0"/>
                    <w:ind w:left="-50" w:right="-50"/>
                    <w:jc w:val="center"/>
                    <w:rPr>
                      <w:rFonts w:hint="default" w:ascii="Times New Roman" w:hAnsi="Times New Roman" w:cs="Times New Roman"/>
                      <w:b/>
                      <w:bCs w:val="0"/>
                      <w:color w:val="auto"/>
                    </w:rPr>
                  </w:pPr>
                  <w:r>
                    <w:rPr>
                      <w:rFonts w:hint="default" w:ascii="Times New Roman" w:hAnsi="Times New Roman" w:cs="Times New Roman"/>
                      <w:b/>
                      <w:bCs w:val="0"/>
                      <w:color w:val="auto"/>
                    </w:rPr>
                    <w:t>序号</w:t>
                  </w:r>
                </w:p>
              </w:tc>
              <w:tc>
                <w:tcPr>
                  <w:tcW w:w="1076" w:type="pct"/>
                  <w:tcBorders>
                    <w:tl2br w:val="nil"/>
                    <w:tr2bl w:val="nil"/>
                  </w:tcBorders>
                  <w:noWrap w:val="0"/>
                  <w:vAlign w:val="center"/>
                </w:tcPr>
                <w:p w14:paraId="64E44ED9">
                  <w:pPr>
                    <w:adjustRightInd w:val="0"/>
                    <w:snapToGrid w:val="0"/>
                    <w:ind w:left="-50" w:right="-50"/>
                    <w:jc w:val="center"/>
                    <w:rPr>
                      <w:rFonts w:hint="default" w:ascii="Times New Roman" w:hAnsi="Times New Roman" w:cs="Times New Roman"/>
                      <w:b/>
                      <w:bCs w:val="0"/>
                      <w:color w:val="auto"/>
                    </w:rPr>
                  </w:pPr>
                  <w:r>
                    <w:rPr>
                      <w:rFonts w:hint="default" w:ascii="Times New Roman" w:hAnsi="Times New Roman" w:cs="Times New Roman"/>
                      <w:b/>
                      <w:bCs w:val="0"/>
                      <w:color w:val="auto"/>
                    </w:rPr>
                    <w:t>机械类型</w:t>
                  </w:r>
                </w:p>
              </w:tc>
              <w:tc>
                <w:tcPr>
                  <w:tcW w:w="1100" w:type="pct"/>
                  <w:tcBorders>
                    <w:tl2br w:val="nil"/>
                    <w:tr2bl w:val="nil"/>
                  </w:tcBorders>
                  <w:noWrap w:val="0"/>
                  <w:vAlign w:val="center"/>
                </w:tcPr>
                <w:p w14:paraId="679D3C42">
                  <w:pPr>
                    <w:adjustRightInd w:val="0"/>
                    <w:snapToGrid w:val="0"/>
                    <w:ind w:left="-50" w:right="-50"/>
                    <w:jc w:val="center"/>
                    <w:rPr>
                      <w:rFonts w:hint="default" w:ascii="Times New Roman" w:hAnsi="Times New Roman" w:cs="Times New Roman"/>
                      <w:b/>
                      <w:bCs w:val="0"/>
                      <w:color w:val="auto"/>
                    </w:rPr>
                  </w:pPr>
                  <w:r>
                    <w:rPr>
                      <w:rFonts w:hint="default" w:ascii="Times New Roman" w:hAnsi="Times New Roman" w:cs="Times New Roman"/>
                      <w:b/>
                      <w:bCs w:val="0"/>
                      <w:color w:val="auto"/>
                    </w:rPr>
                    <w:t>型号</w:t>
                  </w:r>
                </w:p>
              </w:tc>
              <w:tc>
                <w:tcPr>
                  <w:tcW w:w="1227" w:type="pct"/>
                  <w:tcBorders>
                    <w:tl2br w:val="nil"/>
                    <w:tr2bl w:val="nil"/>
                  </w:tcBorders>
                  <w:noWrap w:val="0"/>
                  <w:vAlign w:val="center"/>
                </w:tcPr>
                <w:p w14:paraId="691C2E90">
                  <w:pPr>
                    <w:adjustRightInd w:val="0"/>
                    <w:snapToGrid w:val="0"/>
                    <w:ind w:left="-50" w:right="-50"/>
                    <w:jc w:val="center"/>
                    <w:rPr>
                      <w:rFonts w:hint="default" w:ascii="Times New Roman" w:hAnsi="Times New Roman" w:cs="Times New Roman"/>
                      <w:b/>
                      <w:bCs w:val="0"/>
                      <w:color w:val="auto"/>
                    </w:rPr>
                  </w:pPr>
                  <w:r>
                    <w:rPr>
                      <w:rFonts w:hint="default" w:ascii="Times New Roman" w:hAnsi="Times New Roman" w:cs="Times New Roman"/>
                      <w:b/>
                      <w:bCs w:val="0"/>
                      <w:color w:val="auto"/>
                    </w:rPr>
                    <w:t>测点距机械距离/m</w:t>
                  </w:r>
                </w:p>
              </w:tc>
              <w:tc>
                <w:tcPr>
                  <w:tcW w:w="1187" w:type="pct"/>
                  <w:tcBorders>
                    <w:tl2br w:val="nil"/>
                    <w:tr2bl w:val="nil"/>
                  </w:tcBorders>
                  <w:noWrap w:val="0"/>
                  <w:vAlign w:val="center"/>
                </w:tcPr>
                <w:p w14:paraId="708B0E92">
                  <w:pPr>
                    <w:adjustRightInd w:val="0"/>
                    <w:snapToGrid w:val="0"/>
                    <w:ind w:left="-50" w:right="-50"/>
                    <w:jc w:val="center"/>
                    <w:rPr>
                      <w:rFonts w:hint="default" w:ascii="Times New Roman" w:hAnsi="Times New Roman" w:cs="Times New Roman"/>
                      <w:b/>
                      <w:bCs w:val="0"/>
                      <w:color w:val="auto"/>
                    </w:rPr>
                  </w:pPr>
                  <w:r>
                    <w:rPr>
                      <w:rFonts w:hint="default" w:ascii="Times New Roman" w:hAnsi="Times New Roman" w:cs="Times New Roman"/>
                      <w:b/>
                      <w:bCs w:val="0"/>
                      <w:color w:val="auto"/>
                    </w:rPr>
                    <w:t>最大声压级/dB（A）</w:t>
                  </w:r>
                </w:p>
              </w:tc>
            </w:tr>
            <w:tr w14:paraId="3FDE5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1" w:hRule="atLeast"/>
                <w:jc w:val="center"/>
              </w:trPr>
              <w:tc>
                <w:tcPr>
                  <w:tcW w:w="408" w:type="pct"/>
                  <w:tcBorders>
                    <w:tl2br w:val="nil"/>
                    <w:tr2bl w:val="nil"/>
                  </w:tcBorders>
                  <w:noWrap w:val="0"/>
                  <w:vAlign w:val="center"/>
                </w:tcPr>
                <w:p w14:paraId="746F4AAE">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1</w:t>
                  </w:r>
                </w:p>
              </w:tc>
              <w:tc>
                <w:tcPr>
                  <w:tcW w:w="1076" w:type="pct"/>
                  <w:tcBorders>
                    <w:tl2br w:val="nil"/>
                    <w:tr2bl w:val="nil"/>
                  </w:tcBorders>
                  <w:noWrap w:val="0"/>
                  <w:vAlign w:val="center"/>
                </w:tcPr>
                <w:p w14:paraId="7510A37A">
                  <w:pPr>
                    <w:pStyle w:val="94"/>
                    <w:rPr>
                      <w:rFonts w:hint="default" w:ascii="Times New Roman" w:hAnsi="Times New Roman" w:cs="Times New Roman"/>
                      <w:bCs/>
                      <w:color w:val="auto"/>
                      <w:szCs w:val="21"/>
                    </w:rPr>
                  </w:pPr>
                  <w:r>
                    <w:rPr>
                      <w:rFonts w:hint="default" w:ascii="Times New Roman" w:hAnsi="Times New Roman" w:cs="Times New Roman"/>
                      <w:bCs/>
                      <w:color w:val="auto"/>
                      <w:szCs w:val="21"/>
                    </w:rPr>
                    <w:t>液压挖掘机</w:t>
                  </w:r>
                </w:p>
              </w:tc>
              <w:tc>
                <w:tcPr>
                  <w:tcW w:w="1100" w:type="pct"/>
                  <w:tcBorders>
                    <w:tl2br w:val="nil"/>
                    <w:tr2bl w:val="nil"/>
                  </w:tcBorders>
                  <w:noWrap w:val="0"/>
                  <w:vAlign w:val="center"/>
                </w:tcPr>
                <w:p w14:paraId="64A170F8">
                  <w:pPr>
                    <w:pStyle w:val="94"/>
                    <w:rPr>
                      <w:rFonts w:hint="default" w:ascii="Times New Roman" w:hAnsi="Times New Roman" w:cs="Times New Roman"/>
                      <w:bCs/>
                      <w:color w:val="auto"/>
                      <w:szCs w:val="21"/>
                    </w:rPr>
                  </w:pPr>
                  <w:r>
                    <w:rPr>
                      <w:rFonts w:hint="default" w:ascii="Times New Roman" w:hAnsi="Times New Roman" w:cs="Times New Roman"/>
                      <w:bCs/>
                      <w:color w:val="auto"/>
                      <w:szCs w:val="21"/>
                    </w:rPr>
                    <w:t>1.0m</w:t>
                  </w:r>
                  <w:r>
                    <w:rPr>
                      <w:rFonts w:hint="default" w:ascii="Times New Roman" w:hAnsi="Times New Roman" w:cs="Times New Roman"/>
                      <w:bCs/>
                      <w:color w:val="auto"/>
                      <w:szCs w:val="21"/>
                      <w:vertAlign w:val="superscript"/>
                    </w:rPr>
                    <w:t>3</w:t>
                  </w:r>
                </w:p>
              </w:tc>
              <w:tc>
                <w:tcPr>
                  <w:tcW w:w="1227" w:type="pct"/>
                  <w:tcBorders>
                    <w:tl2br w:val="nil"/>
                    <w:tr2bl w:val="nil"/>
                  </w:tcBorders>
                  <w:noWrap w:val="0"/>
                  <w:vAlign w:val="center"/>
                </w:tcPr>
                <w:p w14:paraId="673BA964">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5</w:t>
                  </w:r>
                </w:p>
              </w:tc>
              <w:tc>
                <w:tcPr>
                  <w:tcW w:w="1187" w:type="pct"/>
                  <w:tcBorders>
                    <w:tl2br w:val="nil"/>
                    <w:tr2bl w:val="nil"/>
                  </w:tcBorders>
                  <w:noWrap w:val="0"/>
                  <w:vAlign w:val="center"/>
                </w:tcPr>
                <w:p w14:paraId="577648CC">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84</w:t>
                  </w:r>
                </w:p>
              </w:tc>
            </w:tr>
            <w:tr w14:paraId="2EAA45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8" w:type="pct"/>
                  <w:tcBorders>
                    <w:tl2br w:val="nil"/>
                    <w:tr2bl w:val="nil"/>
                  </w:tcBorders>
                  <w:noWrap w:val="0"/>
                  <w:vAlign w:val="center"/>
                </w:tcPr>
                <w:p w14:paraId="5E97B235">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2</w:t>
                  </w:r>
                </w:p>
              </w:tc>
              <w:tc>
                <w:tcPr>
                  <w:tcW w:w="1076" w:type="pct"/>
                  <w:tcBorders>
                    <w:tl2br w:val="nil"/>
                    <w:tr2bl w:val="nil"/>
                  </w:tcBorders>
                  <w:noWrap w:val="0"/>
                  <w:vAlign w:val="center"/>
                </w:tcPr>
                <w:p w14:paraId="720C50B4">
                  <w:pPr>
                    <w:pStyle w:val="94"/>
                    <w:rPr>
                      <w:rFonts w:hint="default" w:ascii="Times New Roman" w:hAnsi="Times New Roman" w:cs="Times New Roman"/>
                      <w:bCs/>
                      <w:color w:val="auto"/>
                      <w:szCs w:val="21"/>
                    </w:rPr>
                  </w:pPr>
                  <w:r>
                    <w:rPr>
                      <w:rFonts w:hint="default" w:ascii="Times New Roman" w:hAnsi="Times New Roman" w:cs="Times New Roman"/>
                      <w:bCs/>
                      <w:color w:val="auto"/>
                      <w:szCs w:val="21"/>
                    </w:rPr>
                    <w:t>装载机</w:t>
                  </w:r>
                </w:p>
              </w:tc>
              <w:tc>
                <w:tcPr>
                  <w:tcW w:w="1100" w:type="pct"/>
                  <w:tcBorders>
                    <w:tl2br w:val="nil"/>
                    <w:tr2bl w:val="nil"/>
                  </w:tcBorders>
                  <w:noWrap w:val="0"/>
                  <w:vAlign w:val="center"/>
                </w:tcPr>
                <w:p w14:paraId="67503744">
                  <w:pPr>
                    <w:pStyle w:val="94"/>
                    <w:rPr>
                      <w:rFonts w:hint="default" w:ascii="Times New Roman" w:hAnsi="Times New Roman" w:cs="Times New Roman"/>
                      <w:bCs/>
                      <w:color w:val="auto"/>
                      <w:szCs w:val="21"/>
                    </w:rPr>
                  </w:pPr>
                  <w:r>
                    <w:rPr>
                      <w:rFonts w:hint="default" w:ascii="Times New Roman" w:hAnsi="Times New Roman" w:cs="Times New Roman"/>
                      <w:bCs/>
                      <w:color w:val="auto"/>
                      <w:szCs w:val="21"/>
                    </w:rPr>
                    <w:t>ZL40</w:t>
                  </w:r>
                </w:p>
              </w:tc>
              <w:tc>
                <w:tcPr>
                  <w:tcW w:w="1227" w:type="pct"/>
                  <w:tcBorders>
                    <w:tl2br w:val="nil"/>
                    <w:tr2bl w:val="nil"/>
                  </w:tcBorders>
                  <w:noWrap w:val="0"/>
                  <w:vAlign w:val="center"/>
                </w:tcPr>
                <w:p w14:paraId="4AB299DF">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5</w:t>
                  </w:r>
                </w:p>
              </w:tc>
              <w:tc>
                <w:tcPr>
                  <w:tcW w:w="1187" w:type="pct"/>
                  <w:tcBorders>
                    <w:tl2br w:val="nil"/>
                    <w:tr2bl w:val="nil"/>
                  </w:tcBorders>
                  <w:noWrap w:val="0"/>
                  <w:vAlign w:val="center"/>
                </w:tcPr>
                <w:p w14:paraId="5B04E36A">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80</w:t>
                  </w:r>
                </w:p>
              </w:tc>
            </w:tr>
            <w:tr w14:paraId="38016A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8" w:type="dxa"/>
                  <w:tcBorders>
                    <w:tl2br w:val="nil"/>
                    <w:tr2bl w:val="nil"/>
                  </w:tcBorders>
                  <w:noWrap w:val="0"/>
                  <w:vAlign w:val="center"/>
                </w:tcPr>
                <w:p w14:paraId="41E310B0">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3</w:t>
                  </w:r>
                </w:p>
              </w:tc>
              <w:tc>
                <w:tcPr>
                  <w:tcW w:w="1076" w:type="pct"/>
                  <w:tcBorders>
                    <w:tl2br w:val="nil"/>
                    <w:tr2bl w:val="nil"/>
                  </w:tcBorders>
                  <w:noWrap w:val="0"/>
                  <w:vAlign w:val="center"/>
                </w:tcPr>
                <w:p w14:paraId="04D0EC03">
                  <w:pPr>
                    <w:pStyle w:val="94"/>
                    <w:rPr>
                      <w:rFonts w:hint="default" w:ascii="Times New Roman" w:hAnsi="Times New Roman" w:cs="Times New Roman"/>
                      <w:bCs/>
                      <w:color w:val="auto"/>
                      <w:szCs w:val="21"/>
                    </w:rPr>
                  </w:pPr>
                  <w:r>
                    <w:rPr>
                      <w:rFonts w:hint="default" w:ascii="Times New Roman" w:hAnsi="Times New Roman" w:cs="Times New Roman"/>
                      <w:bCs/>
                      <w:color w:val="auto"/>
                      <w:szCs w:val="21"/>
                    </w:rPr>
                    <w:t>推土机</w:t>
                  </w:r>
                </w:p>
              </w:tc>
              <w:tc>
                <w:tcPr>
                  <w:tcW w:w="1100" w:type="pct"/>
                  <w:tcBorders>
                    <w:tl2br w:val="nil"/>
                    <w:tr2bl w:val="nil"/>
                  </w:tcBorders>
                  <w:noWrap w:val="0"/>
                  <w:vAlign w:val="center"/>
                </w:tcPr>
                <w:p w14:paraId="41A980C3">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w:t>
                  </w:r>
                </w:p>
              </w:tc>
              <w:tc>
                <w:tcPr>
                  <w:tcW w:w="1227" w:type="pct"/>
                  <w:tcBorders>
                    <w:tl2br w:val="nil"/>
                    <w:tr2bl w:val="nil"/>
                  </w:tcBorders>
                  <w:noWrap w:val="0"/>
                  <w:vAlign w:val="center"/>
                </w:tcPr>
                <w:p w14:paraId="22399221">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5</w:t>
                  </w:r>
                </w:p>
              </w:tc>
              <w:tc>
                <w:tcPr>
                  <w:tcW w:w="1187" w:type="pct"/>
                  <w:tcBorders>
                    <w:tl2br w:val="nil"/>
                    <w:tr2bl w:val="nil"/>
                  </w:tcBorders>
                  <w:noWrap w:val="0"/>
                  <w:vAlign w:val="center"/>
                </w:tcPr>
                <w:p w14:paraId="7AAED67D">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86</w:t>
                  </w:r>
                </w:p>
              </w:tc>
            </w:tr>
            <w:tr w14:paraId="7454E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8" w:type="dxa"/>
                  <w:tcBorders>
                    <w:tl2br w:val="nil"/>
                    <w:tr2bl w:val="nil"/>
                  </w:tcBorders>
                  <w:noWrap w:val="0"/>
                  <w:vAlign w:val="center"/>
                </w:tcPr>
                <w:p w14:paraId="40BCB946">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4</w:t>
                  </w:r>
                </w:p>
              </w:tc>
              <w:tc>
                <w:tcPr>
                  <w:tcW w:w="1076" w:type="pct"/>
                  <w:tcBorders>
                    <w:tl2br w:val="nil"/>
                    <w:tr2bl w:val="nil"/>
                  </w:tcBorders>
                  <w:noWrap w:val="0"/>
                  <w:vAlign w:val="center"/>
                </w:tcPr>
                <w:p w14:paraId="3BC125F7">
                  <w:pPr>
                    <w:jc w:val="center"/>
                    <w:rPr>
                      <w:rFonts w:hint="default" w:ascii="Times New Roman" w:hAnsi="Times New Roman" w:cs="Times New Roman"/>
                      <w:bCs/>
                      <w:color w:val="auto"/>
                    </w:rPr>
                  </w:pPr>
                  <w:r>
                    <w:rPr>
                      <w:rFonts w:hint="default" w:ascii="Times New Roman" w:hAnsi="Times New Roman" w:eastAsia="Times New Roman" w:cs="Times New Roman"/>
                      <w:bCs/>
                      <w:color w:val="auto"/>
                    </w:rPr>
                    <w:t>钻机</w:t>
                  </w:r>
                </w:p>
              </w:tc>
              <w:tc>
                <w:tcPr>
                  <w:tcW w:w="1100" w:type="pct"/>
                  <w:tcBorders>
                    <w:tl2br w:val="nil"/>
                    <w:tr2bl w:val="nil"/>
                  </w:tcBorders>
                  <w:noWrap w:val="0"/>
                  <w:vAlign w:val="center"/>
                </w:tcPr>
                <w:p w14:paraId="7C79CCBF">
                  <w:pPr>
                    <w:jc w:val="center"/>
                    <w:rPr>
                      <w:rFonts w:hint="default" w:ascii="Times New Roman" w:hAnsi="Times New Roman" w:cs="Times New Roman"/>
                      <w:bCs/>
                      <w:color w:val="auto"/>
                    </w:rPr>
                  </w:pPr>
                  <w:r>
                    <w:rPr>
                      <w:rFonts w:hint="default" w:ascii="Times New Roman" w:hAnsi="Times New Roman" w:cs="Times New Roman"/>
                      <w:bCs/>
                      <w:color w:val="auto"/>
                    </w:rPr>
                    <w:t>/</w:t>
                  </w:r>
                </w:p>
              </w:tc>
              <w:tc>
                <w:tcPr>
                  <w:tcW w:w="1227" w:type="pct"/>
                  <w:tcBorders>
                    <w:tl2br w:val="nil"/>
                    <w:tr2bl w:val="nil"/>
                  </w:tcBorders>
                  <w:noWrap w:val="0"/>
                  <w:vAlign w:val="center"/>
                </w:tcPr>
                <w:p w14:paraId="01B0CD70">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5</w:t>
                  </w:r>
                </w:p>
              </w:tc>
              <w:tc>
                <w:tcPr>
                  <w:tcW w:w="1187" w:type="pct"/>
                  <w:tcBorders>
                    <w:tl2br w:val="nil"/>
                    <w:tr2bl w:val="nil"/>
                  </w:tcBorders>
                  <w:noWrap w:val="0"/>
                  <w:vAlign w:val="center"/>
                </w:tcPr>
                <w:p w14:paraId="2AEBC5A5">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95</w:t>
                  </w:r>
                </w:p>
              </w:tc>
            </w:tr>
            <w:tr w14:paraId="09B84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8" w:type="dxa"/>
                  <w:tcBorders>
                    <w:tl2br w:val="nil"/>
                    <w:tr2bl w:val="nil"/>
                  </w:tcBorders>
                  <w:noWrap w:val="0"/>
                  <w:vAlign w:val="center"/>
                </w:tcPr>
                <w:p w14:paraId="689495A0">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5</w:t>
                  </w:r>
                </w:p>
              </w:tc>
              <w:tc>
                <w:tcPr>
                  <w:tcW w:w="1076" w:type="pct"/>
                  <w:tcBorders>
                    <w:tl2br w:val="nil"/>
                    <w:tr2bl w:val="nil"/>
                  </w:tcBorders>
                  <w:noWrap w:val="0"/>
                  <w:vAlign w:val="center"/>
                </w:tcPr>
                <w:p w14:paraId="5830B095">
                  <w:pPr>
                    <w:pStyle w:val="94"/>
                    <w:rPr>
                      <w:rFonts w:hint="default" w:ascii="Times New Roman" w:hAnsi="Times New Roman" w:cs="Times New Roman"/>
                      <w:bCs/>
                      <w:color w:val="auto"/>
                      <w:szCs w:val="21"/>
                    </w:rPr>
                  </w:pPr>
                  <w:r>
                    <w:rPr>
                      <w:rFonts w:hint="default" w:ascii="Times New Roman" w:hAnsi="Times New Roman" w:eastAsia="Times New Roman" w:cs="Times New Roman"/>
                      <w:bCs/>
                      <w:color w:val="auto"/>
                    </w:rPr>
                    <w:t>车载起重机</w:t>
                  </w:r>
                </w:p>
              </w:tc>
              <w:tc>
                <w:tcPr>
                  <w:tcW w:w="1100" w:type="pct"/>
                  <w:tcBorders>
                    <w:tl2br w:val="nil"/>
                    <w:tr2bl w:val="nil"/>
                  </w:tcBorders>
                  <w:noWrap w:val="0"/>
                  <w:vAlign w:val="center"/>
                </w:tcPr>
                <w:p w14:paraId="7B6CE187">
                  <w:pPr>
                    <w:pStyle w:val="94"/>
                    <w:rPr>
                      <w:rFonts w:hint="default" w:ascii="Times New Roman" w:hAnsi="Times New Roman" w:cs="Times New Roman"/>
                      <w:bCs/>
                      <w:color w:val="auto"/>
                      <w:szCs w:val="21"/>
                    </w:rPr>
                  </w:pPr>
                  <w:r>
                    <w:rPr>
                      <w:rFonts w:hint="default" w:ascii="Times New Roman" w:hAnsi="Times New Roman" w:cs="Times New Roman"/>
                      <w:bCs/>
                      <w:color w:val="auto"/>
                      <w:szCs w:val="21"/>
                    </w:rPr>
                    <w:t>5t</w:t>
                  </w:r>
                </w:p>
              </w:tc>
              <w:tc>
                <w:tcPr>
                  <w:tcW w:w="1227" w:type="pct"/>
                  <w:tcBorders>
                    <w:tl2br w:val="nil"/>
                    <w:tr2bl w:val="nil"/>
                  </w:tcBorders>
                  <w:noWrap w:val="0"/>
                  <w:vAlign w:val="center"/>
                </w:tcPr>
                <w:p w14:paraId="3264FB79">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5</w:t>
                  </w:r>
                </w:p>
              </w:tc>
              <w:tc>
                <w:tcPr>
                  <w:tcW w:w="1187" w:type="pct"/>
                  <w:tcBorders>
                    <w:tl2br w:val="nil"/>
                    <w:tr2bl w:val="nil"/>
                  </w:tcBorders>
                  <w:noWrap w:val="0"/>
                  <w:vAlign w:val="center"/>
                </w:tcPr>
                <w:p w14:paraId="4D3B089C">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95</w:t>
                  </w:r>
                </w:p>
              </w:tc>
            </w:tr>
            <w:tr w14:paraId="1B1ED0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8" w:type="dxa"/>
                  <w:tcBorders>
                    <w:tl2br w:val="nil"/>
                    <w:tr2bl w:val="nil"/>
                  </w:tcBorders>
                  <w:noWrap w:val="0"/>
                  <w:vAlign w:val="center"/>
                </w:tcPr>
                <w:p w14:paraId="1AB699DC">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6</w:t>
                  </w:r>
                </w:p>
              </w:tc>
              <w:tc>
                <w:tcPr>
                  <w:tcW w:w="1076" w:type="pct"/>
                  <w:tcBorders>
                    <w:tl2br w:val="nil"/>
                    <w:tr2bl w:val="nil"/>
                  </w:tcBorders>
                  <w:noWrap w:val="0"/>
                  <w:vAlign w:val="center"/>
                </w:tcPr>
                <w:p w14:paraId="620B1B86">
                  <w:pPr>
                    <w:pStyle w:val="94"/>
                    <w:rPr>
                      <w:rFonts w:hint="default" w:ascii="Times New Roman" w:hAnsi="Times New Roman" w:cs="Times New Roman"/>
                      <w:bCs/>
                      <w:color w:val="auto"/>
                      <w:szCs w:val="21"/>
                    </w:rPr>
                  </w:pPr>
                  <w:r>
                    <w:rPr>
                      <w:rFonts w:hint="default" w:ascii="Times New Roman" w:hAnsi="Times New Roman" w:cs="Times New Roman"/>
                      <w:bCs/>
                      <w:color w:val="auto"/>
                      <w:szCs w:val="21"/>
                    </w:rPr>
                    <w:t>卡车</w:t>
                  </w:r>
                </w:p>
              </w:tc>
              <w:tc>
                <w:tcPr>
                  <w:tcW w:w="1100" w:type="pct"/>
                  <w:tcBorders>
                    <w:tl2br w:val="nil"/>
                    <w:tr2bl w:val="nil"/>
                  </w:tcBorders>
                  <w:noWrap w:val="0"/>
                  <w:vAlign w:val="center"/>
                </w:tcPr>
                <w:p w14:paraId="0597BFB8">
                  <w:pPr>
                    <w:pStyle w:val="94"/>
                    <w:rPr>
                      <w:rFonts w:hint="default" w:ascii="Times New Roman" w:hAnsi="Times New Roman" w:cs="Times New Roman"/>
                      <w:bCs/>
                      <w:color w:val="auto"/>
                      <w:szCs w:val="21"/>
                    </w:rPr>
                  </w:pPr>
                  <w:r>
                    <w:rPr>
                      <w:rFonts w:hint="default" w:ascii="Times New Roman" w:hAnsi="Times New Roman" w:cs="Times New Roman"/>
                      <w:bCs/>
                      <w:color w:val="auto"/>
                      <w:szCs w:val="21"/>
                    </w:rPr>
                    <w:t>20t</w:t>
                  </w:r>
                </w:p>
              </w:tc>
              <w:tc>
                <w:tcPr>
                  <w:tcW w:w="1227" w:type="pct"/>
                  <w:tcBorders>
                    <w:tl2br w:val="nil"/>
                    <w:tr2bl w:val="nil"/>
                  </w:tcBorders>
                  <w:noWrap w:val="0"/>
                  <w:vAlign w:val="center"/>
                </w:tcPr>
                <w:p w14:paraId="36B1A1DE">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5</w:t>
                  </w:r>
                </w:p>
              </w:tc>
              <w:tc>
                <w:tcPr>
                  <w:tcW w:w="1187" w:type="pct"/>
                  <w:tcBorders>
                    <w:tl2br w:val="nil"/>
                    <w:tr2bl w:val="nil"/>
                  </w:tcBorders>
                  <w:noWrap w:val="0"/>
                  <w:vAlign w:val="center"/>
                </w:tcPr>
                <w:p w14:paraId="7C8F67B4">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91</w:t>
                  </w:r>
                </w:p>
              </w:tc>
            </w:tr>
            <w:tr w14:paraId="06212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08" w:type="pct"/>
                  <w:tcBorders>
                    <w:tl2br w:val="nil"/>
                    <w:tr2bl w:val="nil"/>
                  </w:tcBorders>
                  <w:noWrap w:val="0"/>
                  <w:vAlign w:val="center"/>
                </w:tcPr>
                <w:p w14:paraId="391DE09D">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7</w:t>
                  </w:r>
                </w:p>
              </w:tc>
              <w:tc>
                <w:tcPr>
                  <w:tcW w:w="1076" w:type="pct"/>
                  <w:tcBorders>
                    <w:tl2br w:val="nil"/>
                    <w:tr2bl w:val="nil"/>
                  </w:tcBorders>
                  <w:noWrap w:val="0"/>
                  <w:vAlign w:val="center"/>
                </w:tcPr>
                <w:p w14:paraId="60F42492">
                  <w:pPr>
                    <w:pStyle w:val="94"/>
                    <w:rPr>
                      <w:rFonts w:hint="default" w:ascii="Times New Roman" w:hAnsi="Times New Roman" w:cs="Times New Roman"/>
                      <w:bCs/>
                      <w:color w:val="auto"/>
                      <w:szCs w:val="21"/>
                    </w:rPr>
                  </w:pPr>
                  <w:r>
                    <w:rPr>
                      <w:rFonts w:hint="default" w:ascii="Times New Roman" w:hAnsi="Times New Roman" w:cs="Times New Roman"/>
                      <w:bCs/>
                      <w:color w:val="auto"/>
                      <w:szCs w:val="21"/>
                    </w:rPr>
                    <w:t>电焊机</w:t>
                  </w:r>
                </w:p>
              </w:tc>
              <w:tc>
                <w:tcPr>
                  <w:tcW w:w="1100" w:type="pct"/>
                  <w:tcBorders>
                    <w:tl2br w:val="nil"/>
                    <w:tr2bl w:val="nil"/>
                  </w:tcBorders>
                  <w:noWrap w:val="0"/>
                  <w:vAlign w:val="center"/>
                </w:tcPr>
                <w:p w14:paraId="49DDB485">
                  <w:pPr>
                    <w:pStyle w:val="94"/>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1227" w:type="pct"/>
                  <w:tcBorders>
                    <w:tl2br w:val="nil"/>
                    <w:tr2bl w:val="nil"/>
                  </w:tcBorders>
                  <w:noWrap w:val="0"/>
                  <w:vAlign w:val="center"/>
                </w:tcPr>
                <w:p w14:paraId="3672B2B5">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5</w:t>
                  </w:r>
                </w:p>
              </w:tc>
              <w:tc>
                <w:tcPr>
                  <w:tcW w:w="1187" w:type="pct"/>
                  <w:tcBorders>
                    <w:tl2br w:val="nil"/>
                    <w:tr2bl w:val="nil"/>
                  </w:tcBorders>
                  <w:noWrap w:val="0"/>
                  <w:vAlign w:val="center"/>
                </w:tcPr>
                <w:p w14:paraId="3000B9B4">
                  <w:pPr>
                    <w:adjustRightInd w:val="0"/>
                    <w:snapToGrid w:val="0"/>
                    <w:ind w:left="-50" w:right="-50"/>
                    <w:jc w:val="center"/>
                    <w:rPr>
                      <w:rFonts w:hint="default" w:ascii="Times New Roman" w:hAnsi="Times New Roman" w:cs="Times New Roman"/>
                      <w:bCs/>
                      <w:color w:val="auto"/>
                    </w:rPr>
                  </w:pPr>
                  <w:r>
                    <w:rPr>
                      <w:rFonts w:hint="default" w:ascii="Times New Roman" w:hAnsi="Times New Roman" w:cs="Times New Roman"/>
                      <w:bCs/>
                      <w:color w:val="auto"/>
                    </w:rPr>
                    <w:t>80</w:t>
                  </w:r>
                </w:p>
              </w:tc>
            </w:tr>
          </w:tbl>
          <w:p w14:paraId="10D9E8A5">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施工期噪声主要来源于施工现场的各类机械设备噪声，将对外环境带来一定的影响。为实现施工噪声达标排放，环评要求施工期采取以下噪声防治措施：</w:t>
            </w:r>
          </w:p>
          <w:p w14:paraId="5281C34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①施工现场合理布局，相对集中固定声源，将高噪声设备尽量布置在项目中部。</w:t>
            </w:r>
          </w:p>
          <w:p w14:paraId="2308623F">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②高噪声固定设备应采用固定式或活动隔声屏进行降噪处理，同时尽可能避免多台高噪声设备同时作业。</w:t>
            </w:r>
          </w:p>
          <w:p w14:paraId="7053C58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③加强施工管理，严格执行地方环境管理规定，中高考期间禁止施工，合理安排夜间施工以避免夜间高噪声施工作业。</w:t>
            </w:r>
          </w:p>
          <w:p w14:paraId="45F8ECF8">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④施工期不得使用高音喇叭进行宣传或指挥生产。</w:t>
            </w:r>
          </w:p>
          <w:p w14:paraId="13C7CC4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⑤保障施工车辆进出通道畅通并加强交通管理，以避免由于运输作业影响交通秩序而产生的车辆鸣笛噪声污染。</w:t>
            </w:r>
          </w:p>
          <w:p w14:paraId="7974D77F">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⑥严禁夜间施工。若必须连续施工作业的工点，施工单位应视具体情况及时与</w:t>
            </w:r>
            <w:r>
              <w:rPr>
                <w:rFonts w:hint="default" w:ascii="Times New Roman" w:hAnsi="Times New Roman" w:cs="Times New Roman"/>
                <w:color w:val="auto"/>
                <w:sz w:val="24"/>
                <w:szCs w:val="24"/>
                <w:lang w:val="en-US" w:eastAsia="zh-CN"/>
              </w:rPr>
              <w:t>相关部门</w:t>
            </w:r>
            <w:r>
              <w:rPr>
                <w:rFonts w:hint="default" w:ascii="Times New Roman" w:hAnsi="Times New Roman" w:cs="Times New Roman"/>
                <w:color w:val="auto"/>
                <w:sz w:val="24"/>
                <w:szCs w:val="24"/>
              </w:rPr>
              <w:t>取得联系，按规定申领夜间施工证，同时发布公告最大限度地争取民众支持。</w:t>
            </w:r>
          </w:p>
          <w:p w14:paraId="58F039E1">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施工期经过采取上述噪声治理措施后，厂界噪声可以满足《建筑施工场界环境噪声排放标准》（GB12523-2011）标准的要求，实现达标排放。</w:t>
            </w:r>
          </w:p>
          <w:p w14:paraId="6BA11AB8">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4、固体废物</w:t>
            </w:r>
          </w:p>
          <w:p w14:paraId="0532483A">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（1）土石方</w:t>
            </w:r>
          </w:p>
          <w:p w14:paraId="6D295433">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施工弃土主要来源于主体工程基础开挖，本项目的施工挖方首先用于项目的绿化工程用地，无法利用的作为弃方进行处理，</w:t>
            </w:r>
            <w:r>
              <w:rPr>
                <w:rFonts w:hint="default" w:ascii="Times New Roman" w:hAnsi="Times New Roman" w:cs="Times New Roman"/>
                <w:color w:val="auto"/>
                <w:sz w:val="24"/>
                <w:szCs w:val="24"/>
                <w:lang w:val="en-US" w:eastAsia="zh-CN"/>
              </w:rPr>
              <w:t>废弃土石方</w:t>
            </w:r>
            <w:r>
              <w:rPr>
                <w:rFonts w:hint="default" w:ascii="Times New Roman" w:hAnsi="Times New Roman" w:cs="Times New Roman"/>
                <w:color w:val="auto"/>
                <w:sz w:val="24"/>
                <w:szCs w:val="24"/>
              </w:rPr>
              <w:t>均委托专业渣土运输公司运至政府指定的</w:t>
            </w:r>
            <w:r>
              <w:rPr>
                <w:rFonts w:hint="default" w:ascii="Times New Roman" w:hAnsi="Times New Roman" w:cs="Times New Roman"/>
                <w:color w:val="auto"/>
                <w:sz w:val="24"/>
                <w:szCs w:val="24"/>
                <w:lang w:val="en-US" w:eastAsia="zh-CN"/>
              </w:rPr>
              <w:t>废弃土石方堆场</w:t>
            </w:r>
            <w:r>
              <w:rPr>
                <w:rFonts w:hint="default" w:ascii="Times New Roman" w:hAnsi="Times New Roman" w:cs="Times New Roman"/>
                <w:color w:val="auto"/>
                <w:sz w:val="24"/>
                <w:szCs w:val="24"/>
              </w:rPr>
              <w:t>。</w:t>
            </w:r>
          </w:p>
          <w:p w14:paraId="5356247D">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（2）建筑垃圾</w:t>
            </w:r>
          </w:p>
          <w:p w14:paraId="1410D764">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施工过程中产生的建筑垃圾主要包括废弃的水泥包装袋、废钢筋、管材边角料、少量的砂石、碎砖块等。以每建筑1万m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建筑，产生200t的建筑垃圾计算，项目总建筑面积</w:t>
            </w:r>
            <w:r>
              <w:rPr>
                <w:rFonts w:hint="eastAsia" w:ascii="Times New Roman" w:hAnsi="Times New Roman" w:cs="Times New Roman"/>
                <w:color w:val="auto"/>
                <w:sz w:val="24"/>
                <w:szCs w:val="24"/>
                <w:lang w:val="en-US" w:eastAsia="zh-CN"/>
              </w:rPr>
              <w:t>2000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，估算其产生量约</w:t>
            </w:r>
            <w:r>
              <w:rPr>
                <w:rFonts w:hint="eastAsia" w:ascii="Times New Roman" w:hAnsi="Times New Roman" w:cs="Times New Roman"/>
                <w:color w:val="auto"/>
                <w:sz w:val="24"/>
                <w:szCs w:val="24"/>
                <w:lang w:val="en-US" w:eastAsia="zh-CN"/>
              </w:rPr>
              <w:t>40</w:t>
            </w:r>
            <w:r>
              <w:rPr>
                <w:rFonts w:hint="default" w:ascii="Times New Roman" w:hAnsi="Times New Roman" w:cs="Times New Roman"/>
                <w:color w:val="auto"/>
                <w:sz w:val="24"/>
                <w:szCs w:val="24"/>
              </w:rPr>
              <w:t>t。施工建筑垃圾严禁随意倾倒，</w:t>
            </w:r>
            <w:r>
              <w:rPr>
                <w:rFonts w:hint="default" w:ascii="Times New Roman" w:hAnsi="Times New Roman" w:cs="Times New Roman"/>
                <w:color w:val="auto"/>
                <w:sz w:val="24"/>
                <w:szCs w:val="24"/>
                <w:lang w:val="en-US" w:eastAsia="zh-CN"/>
              </w:rPr>
              <w:t>能</w:t>
            </w:r>
            <w:r>
              <w:rPr>
                <w:rFonts w:hint="default" w:ascii="Times New Roman" w:hAnsi="Times New Roman" w:cs="Times New Roman"/>
                <w:color w:val="auto"/>
                <w:sz w:val="24"/>
                <w:szCs w:val="24"/>
              </w:rPr>
              <w:t>回收利用</w:t>
            </w:r>
            <w:r>
              <w:rPr>
                <w:rFonts w:hint="default" w:ascii="Times New Roman" w:hAnsi="Times New Roman" w:cs="Times New Roman"/>
                <w:color w:val="auto"/>
                <w:sz w:val="24"/>
                <w:szCs w:val="24"/>
                <w:lang w:val="en-US" w:eastAsia="zh-CN"/>
              </w:rPr>
              <w:t>的，分类</w:t>
            </w:r>
            <w:r>
              <w:rPr>
                <w:rFonts w:hint="default" w:ascii="Times New Roman" w:hAnsi="Times New Roman" w:cs="Times New Roman"/>
                <w:color w:val="auto"/>
                <w:sz w:val="24"/>
                <w:szCs w:val="24"/>
              </w:rPr>
              <w:t>收集后运往废品回收站，不</w:t>
            </w:r>
            <w:r>
              <w:rPr>
                <w:rFonts w:hint="default" w:ascii="Times New Roman" w:hAnsi="Times New Roman" w:cs="Times New Roman"/>
                <w:color w:val="auto"/>
                <w:sz w:val="24"/>
                <w:szCs w:val="24"/>
                <w:lang w:val="en-US" w:eastAsia="zh-CN"/>
              </w:rPr>
              <w:t>能</w:t>
            </w:r>
            <w:r>
              <w:rPr>
                <w:rFonts w:hint="default" w:ascii="Times New Roman" w:hAnsi="Times New Roman" w:cs="Times New Roman"/>
                <w:color w:val="auto"/>
                <w:sz w:val="24"/>
                <w:szCs w:val="24"/>
              </w:rPr>
              <w:t>回收利用的</w:t>
            </w:r>
            <w:r>
              <w:rPr>
                <w:rFonts w:hint="default" w:ascii="Times New Roman" w:hAnsi="Times New Roman" w:cs="Times New Roman"/>
                <w:color w:val="auto"/>
                <w:sz w:val="24"/>
                <w:szCs w:val="24"/>
                <w:lang w:val="en-US" w:eastAsia="zh-CN"/>
              </w:rPr>
              <w:t>运至</w:t>
            </w:r>
            <w:r>
              <w:rPr>
                <w:rFonts w:hint="default" w:ascii="Times New Roman" w:hAnsi="Times New Roman" w:cs="Times New Roman"/>
                <w:color w:val="auto"/>
                <w:sz w:val="24"/>
                <w:szCs w:val="24"/>
              </w:rPr>
              <w:t>政府指定建筑垃圾堆场处置。</w:t>
            </w:r>
          </w:p>
          <w:p w14:paraId="63A56DB3">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①废弃的水泥包装袋、废钢筋、管材边角料等分类收集，交由废品回收站处置；</w:t>
            </w:r>
          </w:p>
          <w:p w14:paraId="521C0223">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②少量的砂石、碎砖块、废木料、清管废渣等集中收集，统一运往指定建场。</w:t>
            </w:r>
          </w:p>
          <w:p w14:paraId="1C8CD71C">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（3）装修垃圾</w:t>
            </w:r>
          </w:p>
          <w:p w14:paraId="76B31B1C">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装修垃圾主要包括装饰材料边角料、废木料、废抹布、废包装材料，环评要求：施工期装修垃圾</w:t>
            </w:r>
            <w:r>
              <w:rPr>
                <w:rFonts w:hint="default" w:ascii="Times New Roman" w:hAnsi="Times New Roman" w:cs="Times New Roman"/>
                <w:color w:val="auto"/>
                <w:sz w:val="24"/>
                <w:lang w:val="en-US" w:eastAsia="zh-CN"/>
              </w:rPr>
              <w:t>如废包装材料</w:t>
            </w:r>
            <w:r>
              <w:rPr>
                <w:rFonts w:hint="default" w:ascii="Times New Roman" w:hAnsi="Times New Roman" w:cs="Times New Roman"/>
                <w:color w:val="auto"/>
                <w:sz w:val="24"/>
              </w:rPr>
              <w:t>能回收</w:t>
            </w:r>
            <w:r>
              <w:rPr>
                <w:rFonts w:hint="default" w:ascii="Times New Roman" w:hAnsi="Times New Roman" w:cs="Times New Roman"/>
                <w:color w:val="auto"/>
                <w:sz w:val="24"/>
                <w:lang w:val="en-US" w:eastAsia="zh-CN"/>
              </w:rPr>
              <w:t>利用的</w:t>
            </w:r>
            <w:r>
              <w:rPr>
                <w:rFonts w:hint="default" w:ascii="Times New Roman" w:hAnsi="Times New Roman" w:cs="Times New Roman"/>
                <w:color w:val="auto"/>
                <w:sz w:val="24"/>
                <w:szCs w:val="24"/>
                <w:lang w:val="en-US" w:eastAsia="zh-CN"/>
              </w:rPr>
              <w:t>分类</w:t>
            </w:r>
            <w:r>
              <w:rPr>
                <w:rFonts w:hint="default" w:ascii="Times New Roman" w:hAnsi="Times New Roman" w:cs="Times New Roman"/>
                <w:color w:val="auto"/>
                <w:sz w:val="24"/>
                <w:szCs w:val="24"/>
              </w:rPr>
              <w:t>收集后运往废品回收站</w:t>
            </w:r>
            <w:r>
              <w:rPr>
                <w:rFonts w:hint="default" w:ascii="Times New Roman" w:hAnsi="Times New Roman" w:cs="Times New Roman"/>
                <w:color w:val="auto"/>
                <w:sz w:val="24"/>
              </w:rPr>
              <w:t>，不能回收部分</w:t>
            </w:r>
            <w:r>
              <w:rPr>
                <w:rFonts w:hint="default" w:ascii="Times New Roman" w:hAnsi="Times New Roman" w:cs="Times New Roman"/>
                <w:color w:val="auto"/>
                <w:sz w:val="24"/>
                <w:lang w:val="en-US" w:eastAsia="zh-CN"/>
              </w:rPr>
              <w:t>如</w:t>
            </w:r>
            <w:r>
              <w:rPr>
                <w:rFonts w:hint="default" w:ascii="Times New Roman" w:hAnsi="Times New Roman" w:cs="Times New Roman"/>
                <w:color w:val="auto"/>
                <w:sz w:val="24"/>
              </w:rPr>
              <w:t>装饰材料边角料、废木料、废抹布应分类收集</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运至政府指定地点处置</w:t>
            </w:r>
            <w:r>
              <w:rPr>
                <w:rFonts w:hint="default" w:ascii="Times New Roman" w:hAnsi="Times New Roman" w:cs="Times New Roman"/>
                <w:color w:val="auto"/>
                <w:sz w:val="24"/>
              </w:rPr>
              <w:t>。</w:t>
            </w:r>
          </w:p>
          <w:p w14:paraId="00D00743">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w:t>
            </w:r>
            <w:r>
              <w:rPr>
                <w:rFonts w:hint="eastAsia" w:ascii="Times New Roman" w:hAnsi="Times New Roman" w:cs="Times New Roman"/>
                <w:b/>
                <w:color w:val="auto"/>
                <w:sz w:val="24"/>
                <w:lang w:val="en-US" w:eastAsia="zh-CN"/>
              </w:rPr>
              <w:t>4</w:t>
            </w:r>
            <w:r>
              <w:rPr>
                <w:rFonts w:hint="default" w:ascii="Times New Roman" w:hAnsi="Times New Roman" w:cs="Times New Roman"/>
                <w:b/>
                <w:color w:val="auto"/>
                <w:sz w:val="24"/>
              </w:rPr>
              <w:t>）生活垃圾</w:t>
            </w:r>
          </w:p>
          <w:p w14:paraId="255F3601">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本项目施工人员为20人，根据《城镇生活污染源产排污系数手册》，生活垃圾产生量按0.64kg/d人计，则本项目施工期生活垃圾产生量为12.8kg/d，经袋装收集后，由环卫部门统一清运处理。</w:t>
            </w:r>
          </w:p>
          <w:p w14:paraId="669B1AF0">
            <w:pPr>
              <w:adjustRightInd w:val="0"/>
              <w:snapToGrid w:val="0"/>
              <w:spacing w:line="360" w:lineRule="auto"/>
              <w:ind w:firstLine="442" w:firstLineChars="200"/>
              <w:rPr>
                <w:rFonts w:hint="default" w:ascii="Times New Roman" w:hAnsi="Times New Roman" w:cs="Times New Roman"/>
                <w:b/>
                <w:color w:val="auto"/>
                <w:spacing w:val="-10"/>
                <w:sz w:val="24"/>
              </w:rPr>
            </w:pPr>
            <w:r>
              <w:rPr>
                <w:rFonts w:hint="default" w:ascii="Times New Roman" w:hAnsi="Times New Roman" w:cs="Times New Roman"/>
                <w:b/>
                <w:color w:val="auto"/>
                <w:spacing w:val="-10"/>
                <w:sz w:val="24"/>
              </w:rPr>
              <w:t>（</w:t>
            </w:r>
            <w:r>
              <w:rPr>
                <w:rFonts w:hint="eastAsia" w:ascii="Times New Roman" w:hAnsi="Times New Roman" w:cs="Times New Roman"/>
                <w:b/>
                <w:color w:val="auto"/>
                <w:spacing w:val="-10"/>
                <w:sz w:val="24"/>
                <w:lang w:val="en-US" w:eastAsia="zh-CN"/>
              </w:rPr>
              <w:t>5</w:t>
            </w:r>
            <w:r>
              <w:rPr>
                <w:rFonts w:hint="default" w:ascii="Times New Roman" w:hAnsi="Times New Roman" w:cs="Times New Roman"/>
                <w:b/>
                <w:color w:val="auto"/>
                <w:spacing w:val="-10"/>
                <w:sz w:val="24"/>
              </w:rPr>
              <w:t>）油污及污泥</w:t>
            </w:r>
          </w:p>
          <w:p w14:paraId="33F288C9">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隔油池油污经打捞后立即交由有危废资质单位处置，场内不暂存；沉淀池清掏的污泥定期委托环卫部门清运处理。</w:t>
            </w:r>
          </w:p>
          <w:p w14:paraId="784B2E87">
            <w:pPr>
              <w:spacing w:line="360" w:lineRule="auto"/>
              <w:ind w:firstLine="480" w:firstLineChars="200"/>
              <w:jc w:val="both"/>
              <w:rPr>
                <w:color w:val="auto"/>
                <w:highlight w:val="none"/>
              </w:rPr>
            </w:pPr>
            <w:r>
              <w:rPr>
                <w:rFonts w:hint="default" w:ascii="Times New Roman" w:hAnsi="Times New Roman" w:cs="Times New Roman"/>
                <w:color w:val="auto"/>
                <w:sz w:val="24"/>
                <w:szCs w:val="24"/>
              </w:rPr>
              <w:t>综上，本项目施工期在采取了环评要求的各项严格污染防控措施后，各污染物能达标排放，由于施工期污染物影响是暂时性的，随着施工期的结束而消失，本项目施工期的环境和交通影响也将消除。</w:t>
            </w:r>
          </w:p>
        </w:tc>
      </w:tr>
      <w:tr w14:paraId="281C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712867DE">
            <w:pPr>
              <w:jc w:val="center"/>
              <w:rPr>
                <w:color w:val="auto"/>
                <w:sz w:val="24"/>
                <w:szCs w:val="24"/>
                <w:highlight w:val="none"/>
              </w:rPr>
            </w:pPr>
            <w:r>
              <w:rPr>
                <w:rFonts w:hint="eastAsia"/>
                <w:color w:val="auto"/>
                <w:sz w:val="24"/>
                <w:szCs w:val="24"/>
                <w:highlight w:val="none"/>
              </w:rPr>
              <w:t>运营期环境影响和保护措施</w:t>
            </w:r>
          </w:p>
        </w:tc>
        <w:tc>
          <w:tcPr>
            <w:tcW w:w="8890" w:type="dxa"/>
          </w:tcPr>
          <w:p w14:paraId="7E71F247">
            <w:pPr>
              <w:spacing w:line="360" w:lineRule="auto"/>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一、运营期大气</w:t>
            </w:r>
            <w:r>
              <w:rPr>
                <w:rFonts w:hint="eastAsia" w:ascii="Times New Roman" w:hAnsi="Times New Roman" w:cs="Times New Roman"/>
                <w:b/>
                <w:color w:val="auto"/>
                <w:sz w:val="24"/>
                <w:szCs w:val="24"/>
                <w:highlight w:val="none"/>
              </w:rPr>
              <w:t>环境影响和保护措施</w:t>
            </w:r>
          </w:p>
          <w:p w14:paraId="4429C91D">
            <w:pPr>
              <w:spacing w:line="360" w:lineRule="auto"/>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（一）产污环节、污染物种类、</w:t>
            </w:r>
            <w:r>
              <w:rPr>
                <w:rFonts w:hint="eastAsia" w:ascii="Times New Roman" w:hAnsi="Times New Roman" w:cs="Times New Roman"/>
                <w:b/>
                <w:bCs/>
                <w:color w:val="auto"/>
                <w:sz w:val="24"/>
                <w:szCs w:val="24"/>
                <w:highlight w:val="none"/>
              </w:rPr>
              <w:t>产生量</w:t>
            </w:r>
          </w:p>
          <w:p w14:paraId="64C592B2">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本项目运营期废气主要为实验室废气。</w:t>
            </w:r>
          </w:p>
          <w:p w14:paraId="58EDF77F">
            <w:pPr>
              <w:spacing w:line="360" w:lineRule="auto"/>
              <w:ind w:firstLine="482" w:firstLineChars="200"/>
              <w:rPr>
                <w:rFonts w:hint="default" w:ascii="Times New Roman" w:hAnsi="Times New Roman" w:eastAsia="宋体" w:cs="Times New Roman"/>
                <w:b/>
                <w:color w:val="auto"/>
                <w:sz w:val="24"/>
                <w:szCs w:val="24"/>
                <w:highlight w:val="none"/>
                <w:lang w:val="en-US" w:eastAsia="zh-CN"/>
              </w:rPr>
            </w:pPr>
            <w:r>
              <w:rPr>
                <w:rFonts w:hint="eastAsia" w:ascii="宋体" w:hAnsi="宋体" w:eastAsia="宋体" w:cs="宋体"/>
                <w:b/>
                <w:color w:val="auto"/>
                <w:sz w:val="24"/>
                <w:szCs w:val="24"/>
                <w:highlight w:val="none"/>
              </w:rPr>
              <w:t>①</w:t>
            </w:r>
            <w:r>
              <w:rPr>
                <w:rFonts w:hint="eastAsia" w:ascii="Times New Roman" w:hAnsi="Times New Roman" w:eastAsia="宋体" w:cs="Times New Roman"/>
                <w:b/>
                <w:color w:val="auto"/>
                <w:sz w:val="24"/>
                <w:szCs w:val="24"/>
                <w:highlight w:val="none"/>
                <w:lang w:val="en-US" w:eastAsia="zh-CN"/>
              </w:rPr>
              <w:t>实验室废气</w:t>
            </w:r>
          </w:p>
          <w:p w14:paraId="2A86F081">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化学实验中将用到盐酸、氨水、硫酸、酒精。根据建设单位提供的主要化学试剂资料，实验室内用到的挥发性无机酸主要为盐酸、硫酸，通常情况保存在密闭容器中，仅在稀释及使用过程会挥发出氯化氢气体、硫酸雾。硫酸主要是在老师演示实验中使用，年使用量小，年使用量为0.2L，且使用前要先进行稀释，稀释后不易挥发，使用时大部分反应成易溶于水的硫酸盐，挥发量极少。因此，本次评价针对氯化氢作为定性分析。</w:t>
            </w:r>
          </w:p>
          <w:p w14:paraId="2BE6D981">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实验过程中涉及氨水的使用，氨水是氨的水溶液，易挥发，实验过程中使用氨水会产生一定量的废气氨。本项目氨水年使用量为0.3L，仅开盖过程挥发少量气体，实验完成后进入废液，加之项目的操作均在常温常压下进行，故该部分废气排放量极少，无组织排放浓度满足《恶臭污染物排放标准》（GB14554-93）标准限值，对大气环境影响甚微。因此，本环评仅作定性分析。</w:t>
            </w:r>
          </w:p>
          <w:p w14:paraId="66FE2325">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实验过程中主要使用酒精有机溶剂产生的有机废气（VOCs）和盐酸产生的无机废气（氯化氢）。盐酸使用完成后大部分（约99.5%）进入实验废液中，部分（约0.5%）以气体的形式挥发；根据实验过程中酒精使用方式，酒精90%使用点位均为酒精灯燃烧消耗，根据实验过程中酒精使用方式，挥发量按照非酒精灯使用点位酒精用量的1%计。化学实验过程中盐酸使用量为0.2L/a（密度1.098kg/L，折合0.2196kg/a），HCl产生量为=0.2196kg/a×0.5%×38%=0.0004kg/a；酒精使用量为0.5L/a（密度0.85kg/L，折合0.425kg/a），VOCs产生量为=0.425×(1-90%)×1%×70%=0.0003kg/a。生物实验过程中酒精使用量为0.5L/a（密度0.85kg/L，折合0.425kg/a），VOCs产生量为=0.425×(1-90%)×1%×70%=0.0003kg/a。</w:t>
            </w:r>
          </w:p>
          <w:p w14:paraId="7204B649">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根据班次设置及教学计划，涉及盐酸使用的课时为84课时（7个班级，每个班级开展12个实验），共计63h；涉及酒精使用的课时为21课时（其中化学实验14个课时，7个班级，每个班级开展2个实验，生物实验7个课时，7个班级，每个班级开展1个实验），共计15.75h；因此化学实验过程中HCl产生速率为6.34</w:t>
            </w:r>
            <w:r>
              <w:rPr>
                <w:rFonts w:hint="default" w:ascii="Arial" w:hAnsi="Arial" w:cs="Arial"/>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10</w:t>
            </w:r>
            <w:r>
              <w:rPr>
                <w:rFonts w:hint="eastAsia" w:ascii="Times New Roman" w:hAnsi="Times New Roman" w:cs="Times New Roman"/>
                <w:color w:val="auto"/>
                <w:sz w:val="24"/>
                <w:szCs w:val="24"/>
                <w:highlight w:val="none"/>
                <w:vertAlign w:val="superscript"/>
                <w:lang w:val="en-US" w:eastAsia="zh-CN"/>
              </w:rPr>
              <w:t>-6</w:t>
            </w:r>
            <w:r>
              <w:rPr>
                <w:rFonts w:hint="default" w:ascii="Times New Roman" w:hAnsi="Times New Roman" w:cs="Times New Roman"/>
                <w:color w:val="auto"/>
                <w:sz w:val="24"/>
                <w:szCs w:val="24"/>
                <w:highlight w:val="none"/>
                <w:lang w:val="en-US" w:eastAsia="zh-CN"/>
              </w:rPr>
              <w:t>kg/h</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VOCs</w:t>
            </w:r>
            <w:r>
              <w:rPr>
                <w:rFonts w:hint="eastAsia" w:ascii="Times New Roman" w:hAnsi="Times New Roman" w:cs="Times New Roman"/>
                <w:color w:val="auto"/>
                <w:sz w:val="24"/>
                <w:szCs w:val="24"/>
                <w:highlight w:val="none"/>
                <w:lang w:val="en-US" w:eastAsia="zh-CN"/>
              </w:rPr>
              <w:t>产生速率为0..0042</w:t>
            </w:r>
            <w:r>
              <w:rPr>
                <w:rFonts w:hint="default" w:ascii="Times New Roman" w:hAnsi="Times New Roman" w:cs="Times New Roman"/>
                <w:color w:val="auto"/>
                <w:sz w:val="24"/>
                <w:szCs w:val="24"/>
                <w:highlight w:val="none"/>
                <w:lang w:val="en-US" w:eastAsia="zh-CN"/>
              </w:rPr>
              <w:t>kg/h</w:t>
            </w:r>
            <w:r>
              <w:rPr>
                <w:rFonts w:hint="eastAsia" w:ascii="Times New Roman" w:hAnsi="Times New Roman" w:cs="Times New Roman"/>
                <w:color w:val="auto"/>
                <w:sz w:val="24"/>
                <w:szCs w:val="24"/>
                <w:highlight w:val="none"/>
                <w:lang w:val="en-US" w:eastAsia="zh-CN"/>
              </w:rPr>
              <w:t>；生物实验过程中</w:t>
            </w:r>
            <w:r>
              <w:rPr>
                <w:rFonts w:hint="default" w:ascii="Times New Roman" w:hAnsi="Times New Roman" w:cs="Times New Roman"/>
                <w:color w:val="auto"/>
                <w:sz w:val="24"/>
                <w:szCs w:val="24"/>
                <w:highlight w:val="none"/>
                <w:lang w:val="en-US" w:eastAsia="zh-CN"/>
              </w:rPr>
              <w:t>VOCs</w:t>
            </w:r>
            <w:r>
              <w:rPr>
                <w:rFonts w:hint="eastAsia" w:ascii="Times New Roman" w:hAnsi="Times New Roman" w:cs="Times New Roman"/>
                <w:color w:val="auto"/>
                <w:sz w:val="24"/>
                <w:szCs w:val="24"/>
                <w:highlight w:val="none"/>
                <w:lang w:val="en-US" w:eastAsia="zh-CN"/>
              </w:rPr>
              <w:t>产生速率为0.0021</w:t>
            </w:r>
            <w:r>
              <w:rPr>
                <w:rFonts w:hint="default" w:ascii="Times New Roman" w:hAnsi="Times New Roman" w:cs="Times New Roman"/>
                <w:color w:val="auto"/>
                <w:sz w:val="24"/>
                <w:szCs w:val="24"/>
                <w:highlight w:val="none"/>
                <w:lang w:val="en-US" w:eastAsia="zh-CN"/>
              </w:rPr>
              <w:t>kg/h</w:t>
            </w:r>
            <w:r>
              <w:rPr>
                <w:rFonts w:hint="eastAsia" w:ascii="Times New Roman" w:hAnsi="Times New Roman" w:cs="Times New Roman"/>
                <w:color w:val="auto"/>
                <w:sz w:val="24"/>
                <w:szCs w:val="24"/>
                <w:highlight w:val="none"/>
                <w:lang w:val="en-US" w:eastAsia="zh-CN"/>
              </w:rPr>
              <w:t>。</w:t>
            </w:r>
          </w:p>
          <w:p w14:paraId="6E561878">
            <w:pPr>
              <w:spacing w:line="360" w:lineRule="auto"/>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（二）治理措施、排放量核算</w:t>
            </w:r>
          </w:p>
          <w:p w14:paraId="71CC4310">
            <w:pPr>
              <w:spacing w:line="360" w:lineRule="auto"/>
              <w:ind w:firstLine="482" w:firstLineChars="200"/>
              <w:rPr>
                <w:rFonts w:hint="default" w:ascii="Times New Roman" w:hAnsi="Times New Roman" w:eastAsia="宋体" w:cs="Times New Roman"/>
                <w:b/>
                <w:color w:val="auto"/>
                <w:sz w:val="24"/>
                <w:szCs w:val="24"/>
                <w:highlight w:val="none"/>
                <w:lang w:val="en-US" w:eastAsia="zh-CN"/>
              </w:rPr>
            </w:pPr>
            <w:r>
              <w:rPr>
                <w:rFonts w:hint="eastAsia" w:ascii="宋体" w:hAnsi="宋体" w:eastAsia="宋体" w:cs="宋体"/>
                <w:b/>
                <w:color w:val="auto"/>
                <w:sz w:val="24"/>
                <w:szCs w:val="24"/>
                <w:highlight w:val="none"/>
              </w:rPr>
              <w:t>①</w:t>
            </w:r>
            <w:r>
              <w:rPr>
                <w:rFonts w:hint="eastAsia" w:ascii="Times New Roman" w:hAnsi="Times New Roman" w:eastAsia="宋体" w:cs="Times New Roman"/>
                <w:b/>
                <w:color w:val="auto"/>
                <w:sz w:val="24"/>
                <w:szCs w:val="24"/>
                <w:highlight w:val="none"/>
                <w:lang w:val="en-US" w:eastAsia="zh-CN"/>
              </w:rPr>
              <w:t>实验室废气</w:t>
            </w:r>
          </w:p>
          <w:p w14:paraId="0978B54F">
            <w:pPr>
              <w:spacing w:line="360" w:lineRule="auto"/>
              <w:ind w:firstLine="48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由源强核算可知，本项目化学实验和生物实验过程中HCl和VOCs产生量较少。化学实验配液工序（稀盐酸配置）由老师在通风橱内进行配置，通过通风橱自带排风管道排至室外排放；</w:t>
            </w:r>
            <w:r>
              <w:rPr>
                <w:rFonts w:hint="eastAsia" w:ascii="Times New Roman" w:hAnsi="Times New Roman" w:cs="Times New Roman"/>
                <w:bCs/>
                <w:color w:val="auto"/>
                <w:sz w:val="24"/>
                <w:szCs w:val="24"/>
                <w:highlight w:val="none"/>
                <w:lang w:val="en-US" w:eastAsia="zh-CN"/>
              </w:rPr>
              <w:t>学生操作实验台上方设置万向集气罩，实验操作产生的废气经集气罩收集后排出室外。</w:t>
            </w:r>
          </w:p>
          <w:p w14:paraId="6474D1ED">
            <w:pPr>
              <w:spacing w:line="360" w:lineRule="auto"/>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（三）排放形式、排放口基本信息和污染物排放信息</w:t>
            </w:r>
          </w:p>
          <w:p w14:paraId="49286AF8">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1、排放形式及排放口基本信息</w:t>
            </w:r>
          </w:p>
          <w:p w14:paraId="13C188D2">
            <w:pPr>
              <w:spacing w:line="360" w:lineRule="auto"/>
              <w:ind w:firstLine="480" w:firstLineChars="200"/>
              <w:rPr>
                <w:rFonts w:hint="eastAsia"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本项目</w:t>
            </w:r>
            <w:r>
              <w:rPr>
                <w:rFonts w:hint="eastAsia" w:ascii="Times New Roman" w:hAnsi="Times New Roman" w:cs="Times New Roman"/>
                <w:color w:val="auto"/>
                <w:sz w:val="24"/>
                <w:szCs w:val="24"/>
                <w:highlight w:val="none"/>
              </w:rPr>
              <w:t>废气</w:t>
            </w:r>
            <w:r>
              <w:rPr>
                <w:rFonts w:ascii="Times New Roman" w:hAnsi="Times New Roman" w:cs="Times New Roman"/>
                <w:color w:val="auto"/>
                <w:sz w:val="24"/>
                <w:szCs w:val="24"/>
                <w:highlight w:val="none"/>
              </w:rPr>
              <w:t>的治理措施及废气排放</w:t>
            </w:r>
            <w:r>
              <w:rPr>
                <w:rFonts w:hint="eastAsia" w:ascii="Times New Roman" w:hAnsi="Times New Roman" w:cs="Times New Roman"/>
                <w:color w:val="auto"/>
                <w:sz w:val="24"/>
                <w:szCs w:val="24"/>
                <w:highlight w:val="none"/>
              </w:rPr>
              <w:t>形式</w:t>
            </w:r>
            <w:r>
              <w:rPr>
                <w:rFonts w:ascii="Times New Roman" w:hAnsi="Times New Roman" w:cs="Times New Roman"/>
                <w:color w:val="auto"/>
                <w:sz w:val="24"/>
                <w:szCs w:val="24"/>
                <w:highlight w:val="none"/>
              </w:rPr>
              <w:t>信息如下表所示</w:t>
            </w:r>
            <w:r>
              <w:rPr>
                <w:rFonts w:hint="eastAsia" w:ascii="Times New Roman" w:hAnsi="Times New Roman" w:cs="Times New Roman"/>
                <w:color w:val="auto"/>
                <w:sz w:val="24"/>
                <w:szCs w:val="24"/>
                <w:highlight w:val="none"/>
              </w:rPr>
              <w:t>。</w:t>
            </w:r>
          </w:p>
          <w:p w14:paraId="269FD7CF">
            <w:pPr>
              <w:pStyle w:val="117"/>
              <w:bidi w:val="0"/>
              <w:rPr>
                <w:color w:val="auto"/>
              </w:rPr>
            </w:pPr>
            <w:r>
              <w:rPr>
                <w:color w:val="auto"/>
              </w:rPr>
              <w:t>本项目废气治理措施及废气排放形式一览表</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012"/>
              <w:gridCol w:w="813"/>
              <w:gridCol w:w="3524"/>
              <w:gridCol w:w="723"/>
              <w:gridCol w:w="759"/>
              <w:gridCol w:w="1070"/>
            </w:tblGrid>
            <w:tr w14:paraId="12F8D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restart"/>
                  <w:tcBorders>
                    <w:tl2br w:val="nil"/>
                    <w:tr2bl w:val="nil"/>
                  </w:tcBorders>
                  <w:vAlign w:val="center"/>
                </w:tcPr>
                <w:p w14:paraId="722CE657">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废气类型</w:t>
                  </w:r>
                </w:p>
              </w:tc>
              <w:tc>
                <w:tcPr>
                  <w:tcW w:w="583" w:type="pct"/>
                  <w:vMerge w:val="restart"/>
                  <w:tcBorders>
                    <w:tl2br w:val="nil"/>
                    <w:tr2bl w:val="nil"/>
                  </w:tcBorders>
                  <w:vAlign w:val="center"/>
                </w:tcPr>
                <w:p w14:paraId="098D4D20">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污染物种类</w:t>
                  </w:r>
                </w:p>
              </w:tc>
              <w:tc>
                <w:tcPr>
                  <w:tcW w:w="468" w:type="pct"/>
                  <w:vMerge w:val="restart"/>
                  <w:tcBorders>
                    <w:tl2br w:val="nil"/>
                    <w:tr2bl w:val="nil"/>
                  </w:tcBorders>
                  <w:vAlign w:val="center"/>
                </w:tcPr>
                <w:p w14:paraId="1A829F89">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排放</w:t>
                  </w:r>
                </w:p>
                <w:p w14:paraId="1DE0B1F6">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形式</w:t>
                  </w:r>
                </w:p>
              </w:tc>
              <w:tc>
                <w:tcPr>
                  <w:tcW w:w="3504" w:type="pct"/>
                  <w:gridSpan w:val="4"/>
                  <w:tcBorders>
                    <w:tl2br w:val="nil"/>
                    <w:tr2bl w:val="nil"/>
                  </w:tcBorders>
                  <w:vAlign w:val="center"/>
                </w:tcPr>
                <w:p w14:paraId="2A6EBD34">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污染物治理设施</w:t>
                  </w:r>
                </w:p>
              </w:tc>
            </w:tr>
            <w:tr w14:paraId="670763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continue"/>
                  <w:tcBorders>
                    <w:tl2br w:val="nil"/>
                    <w:tr2bl w:val="nil"/>
                  </w:tcBorders>
                  <w:vAlign w:val="center"/>
                </w:tcPr>
                <w:p w14:paraId="55F87D09">
                  <w:pPr>
                    <w:jc w:val="center"/>
                    <w:rPr>
                      <w:rFonts w:ascii="Times New Roman" w:hAnsi="Times New Roman" w:cs="Times New Roman"/>
                      <w:b/>
                      <w:bCs/>
                      <w:color w:val="auto"/>
                      <w:szCs w:val="21"/>
                      <w:highlight w:val="none"/>
                    </w:rPr>
                  </w:pPr>
                </w:p>
              </w:tc>
              <w:tc>
                <w:tcPr>
                  <w:tcW w:w="583" w:type="pct"/>
                  <w:vMerge w:val="continue"/>
                  <w:tcBorders>
                    <w:tl2br w:val="nil"/>
                    <w:tr2bl w:val="nil"/>
                  </w:tcBorders>
                  <w:vAlign w:val="center"/>
                </w:tcPr>
                <w:p w14:paraId="2D79B5F9">
                  <w:pPr>
                    <w:jc w:val="center"/>
                    <w:rPr>
                      <w:rFonts w:ascii="Times New Roman" w:hAnsi="Times New Roman" w:cs="Times New Roman"/>
                      <w:b/>
                      <w:bCs/>
                      <w:color w:val="auto"/>
                      <w:szCs w:val="21"/>
                      <w:highlight w:val="none"/>
                    </w:rPr>
                  </w:pPr>
                </w:p>
              </w:tc>
              <w:tc>
                <w:tcPr>
                  <w:tcW w:w="468" w:type="pct"/>
                  <w:vMerge w:val="continue"/>
                  <w:tcBorders>
                    <w:tl2br w:val="nil"/>
                    <w:tr2bl w:val="nil"/>
                  </w:tcBorders>
                  <w:vAlign w:val="center"/>
                </w:tcPr>
                <w:p w14:paraId="7A7A42D9">
                  <w:pPr>
                    <w:jc w:val="center"/>
                    <w:rPr>
                      <w:rFonts w:ascii="Times New Roman" w:hAnsi="Times New Roman" w:cs="Times New Roman"/>
                      <w:b/>
                      <w:bCs/>
                      <w:color w:val="auto"/>
                      <w:szCs w:val="21"/>
                      <w:highlight w:val="none"/>
                    </w:rPr>
                  </w:pPr>
                </w:p>
              </w:tc>
              <w:tc>
                <w:tcPr>
                  <w:tcW w:w="2032" w:type="pct"/>
                  <w:tcBorders>
                    <w:tl2br w:val="nil"/>
                    <w:tr2bl w:val="nil"/>
                  </w:tcBorders>
                  <w:vAlign w:val="center"/>
                </w:tcPr>
                <w:p w14:paraId="78CB596D">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治理设施名称及工艺</w:t>
                  </w:r>
                </w:p>
              </w:tc>
              <w:tc>
                <w:tcPr>
                  <w:tcW w:w="417" w:type="pct"/>
                  <w:tcBorders>
                    <w:tl2br w:val="nil"/>
                    <w:tr2bl w:val="nil"/>
                  </w:tcBorders>
                  <w:vAlign w:val="center"/>
                </w:tcPr>
                <w:p w14:paraId="09F19D06">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收集率</w:t>
                  </w:r>
                </w:p>
              </w:tc>
              <w:tc>
                <w:tcPr>
                  <w:tcW w:w="437" w:type="pct"/>
                  <w:tcBorders>
                    <w:tl2br w:val="nil"/>
                    <w:tr2bl w:val="nil"/>
                  </w:tcBorders>
                  <w:vAlign w:val="center"/>
                </w:tcPr>
                <w:p w14:paraId="21F6DE4A">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去除率</w:t>
                  </w:r>
                </w:p>
              </w:tc>
              <w:tc>
                <w:tcPr>
                  <w:tcW w:w="617" w:type="pct"/>
                  <w:tcBorders>
                    <w:tl2br w:val="nil"/>
                    <w:tr2bl w:val="nil"/>
                  </w:tcBorders>
                  <w:vAlign w:val="center"/>
                </w:tcPr>
                <w:p w14:paraId="2DC168D6">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是否为可行性技术</w:t>
                  </w:r>
                </w:p>
              </w:tc>
            </w:tr>
            <w:tr w14:paraId="39CEA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tcBorders>
                    <w:tl2br w:val="nil"/>
                    <w:tr2bl w:val="nil"/>
                  </w:tcBorders>
                  <w:shd w:val="clear" w:color="auto" w:fill="auto"/>
                  <w:vAlign w:val="center"/>
                </w:tcPr>
                <w:p w14:paraId="5C79694E">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实验室废气</w:t>
                  </w:r>
                </w:p>
              </w:tc>
              <w:tc>
                <w:tcPr>
                  <w:tcW w:w="583" w:type="pct"/>
                  <w:tcBorders>
                    <w:tl2br w:val="nil"/>
                    <w:tr2bl w:val="nil"/>
                  </w:tcBorders>
                  <w:shd w:val="clear" w:color="auto" w:fill="auto"/>
                  <w:vAlign w:val="center"/>
                </w:tcPr>
                <w:p w14:paraId="62B1FB50">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HCl、VOCs</w:t>
                  </w:r>
                </w:p>
              </w:tc>
              <w:tc>
                <w:tcPr>
                  <w:tcW w:w="468" w:type="pct"/>
                  <w:tcBorders>
                    <w:tl2br w:val="nil"/>
                    <w:tr2bl w:val="nil"/>
                  </w:tcBorders>
                  <w:shd w:val="clear" w:color="auto" w:fill="auto"/>
                  <w:vAlign w:val="center"/>
                </w:tcPr>
                <w:p w14:paraId="6F9A793C">
                  <w:pPr>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无</w:t>
                  </w:r>
                  <w:r>
                    <w:rPr>
                      <w:rFonts w:ascii="Times New Roman" w:hAnsi="Times New Roman" w:cs="Times New Roman"/>
                      <w:color w:val="auto"/>
                      <w:szCs w:val="21"/>
                      <w:highlight w:val="none"/>
                    </w:rPr>
                    <w:t>组织</w:t>
                  </w:r>
                </w:p>
              </w:tc>
              <w:tc>
                <w:tcPr>
                  <w:tcW w:w="2032" w:type="pct"/>
                  <w:tcBorders>
                    <w:tl2br w:val="nil"/>
                    <w:tr2bl w:val="nil"/>
                  </w:tcBorders>
                  <w:shd w:val="clear" w:color="auto" w:fill="auto"/>
                  <w:vAlign w:val="center"/>
                </w:tcPr>
                <w:p w14:paraId="65F49EDB">
                  <w:pPr>
                    <w:jc w:val="center"/>
                    <w:rPr>
                      <w:rFonts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化学实验配液工序（稀盐酸配置）由老师在通风橱内进行配置，通过通风橱自带排风管道排至室外排放；</w:t>
                  </w:r>
                  <w:r>
                    <w:rPr>
                      <w:rFonts w:hint="eastAsia" w:ascii="Times New Roman" w:hAnsi="Times New Roman" w:cs="Times New Roman"/>
                      <w:bCs/>
                      <w:color w:val="auto"/>
                      <w:sz w:val="21"/>
                      <w:szCs w:val="21"/>
                      <w:highlight w:val="none"/>
                      <w:lang w:val="en-US" w:eastAsia="zh-CN"/>
                    </w:rPr>
                    <w:t>学生操作实验台上方设置万向集气罩，实验操作产生的废气经集气罩收集后排出室外。</w:t>
                  </w:r>
                </w:p>
              </w:tc>
              <w:tc>
                <w:tcPr>
                  <w:tcW w:w="417" w:type="pct"/>
                  <w:tcBorders>
                    <w:tl2br w:val="nil"/>
                    <w:tr2bl w:val="nil"/>
                  </w:tcBorders>
                  <w:shd w:val="clear" w:color="auto" w:fill="auto"/>
                  <w:vAlign w:val="center"/>
                </w:tcPr>
                <w:p w14:paraId="208B3469">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通风橱90</w:t>
                  </w:r>
                  <w:r>
                    <w:rPr>
                      <w:rFonts w:hint="eastAsia"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集气罩60%</w:t>
                  </w:r>
                </w:p>
              </w:tc>
              <w:tc>
                <w:tcPr>
                  <w:tcW w:w="437" w:type="pct"/>
                  <w:tcBorders>
                    <w:tl2br w:val="nil"/>
                    <w:tr2bl w:val="nil"/>
                  </w:tcBorders>
                  <w:shd w:val="clear" w:color="auto" w:fill="auto"/>
                  <w:vAlign w:val="center"/>
                </w:tcPr>
                <w:p w14:paraId="2FFD6A3C">
                  <w:pPr>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w:t>
                  </w:r>
                </w:p>
              </w:tc>
              <w:tc>
                <w:tcPr>
                  <w:tcW w:w="617" w:type="pct"/>
                  <w:tcBorders>
                    <w:tl2br w:val="nil"/>
                    <w:tr2bl w:val="nil"/>
                  </w:tcBorders>
                  <w:shd w:val="clear" w:color="auto" w:fill="auto"/>
                  <w:vAlign w:val="center"/>
                </w:tcPr>
                <w:p w14:paraId="3C7B2D1A">
                  <w:pPr>
                    <w:jc w:val="center"/>
                    <w:rPr>
                      <w:rFonts w:ascii="Times New Roman" w:hAnsi="Times New Roman" w:cs="Times New Roman" w:eastAsiaTheme="minorEastAsia"/>
                      <w:color w:val="auto"/>
                      <w:kern w:val="2"/>
                      <w:sz w:val="21"/>
                      <w:szCs w:val="21"/>
                      <w:highlight w:val="none"/>
                      <w:lang w:val="en-US" w:eastAsia="zh-CN" w:bidi="ar-SA"/>
                    </w:rPr>
                  </w:pPr>
                  <w:r>
                    <w:rPr>
                      <w:rFonts w:ascii="Times New Roman" w:hAnsi="Times New Roman" w:cs="Times New Roman"/>
                      <w:color w:val="auto"/>
                      <w:szCs w:val="21"/>
                      <w:highlight w:val="none"/>
                    </w:rPr>
                    <w:t>是</w:t>
                  </w:r>
                </w:p>
              </w:tc>
            </w:tr>
          </w:tbl>
          <w:p w14:paraId="1047E19B">
            <w:pPr>
              <w:pStyle w:val="49"/>
              <w:rPr>
                <w:rFonts w:hint="eastAsia" w:ascii="Times New Roman" w:hAnsi="Times New Roman" w:cs="Times New Roman"/>
                <w:color w:val="auto"/>
                <w:sz w:val="24"/>
                <w:szCs w:val="24"/>
                <w:highlight w:val="none"/>
              </w:rPr>
            </w:pPr>
          </w:p>
          <w:p w14:paraId="40A0BE1E">
            <w:pPr>
              <w:pStyle w:val="49"/>
              <w:rPr>
                <w:rFonts w:hint="eastAsia" w:ascii="Times New Roman" w:hAnsi="Times New Roman" w:cs="Times New Roman"/>
                <w:color w:val="auto"/>
                <w:sz w:val="24"/>
                <w:szCs w:val="24"/>
                <w:highlight w:val="none"/>
              </w:rPr>
            </w:pPr>
          </w:p>
          <w:p w14:paraId="698F28A8">
            <w:pPr>
              <w:pStyle w:val="49"/>
              <w:rPr>
                <w:rFonts w:hint="eastAsia" w:ascii="Times New Roman" w:hAnsi="Times New Roman" w:cs="Times New Roman"/>
                <w:color w:val="auto"/>
                <w:sz w:val="24"/>
                <w:szCs w:val="24"/>
                <w:highlight w:val="none"/>
              </w:rPr>
            </w:pPr>
          </w:p>
          <w:p w14:paraId="60D2007E">
            <w:pPr>
              <w:pStyle w:val="49"/>
              <w:rPr>
                <w:rFonts w:hint="eastAsia" w:ascii="Times New Roman" w:hAnsi="Times New Roman" w:cs="Times New Roman"/>
                <w:color w:val="auto"/>
                <w:sz w:val="24"/>
                <w:szCs w:val="24"/>
                <w:highlight w:val="none"/>
              </w:rPr>
            </w:pPr>
          </w:p>
          <w:p w14:paraId="30574A67">
            <w:pPr>
              <w:pStyle w:val="49"/>
              <w:rPr>
                <w:rFonts w:hint="eastAsia" w:ascii="Times New Roman" w:hAnsi="Times New Roman" w:cs="Times New Roman"/>
                <w:color w:val="auto"/>
                <w:sz w:val="24"/>
                <w:szCs w:val="24"/>
                <w:highlight w:val="none"/>
              </w:rPr>
            </w:pPr>
          </w:p>
        </w:tc>
      </w:tr>
    </w:tbl>
    <w:p w14:paraId="3095F373">
      <w:pPr>
        <w:rPr>
          <w:color w:val="auto"/>
          <w:highlight w:val="none"/>
        </w:rPr>
      </w:pPr>
      <w:r>
        <w:rPr>
          <w:color w:val="auto"/>
          <w:highlight w:val="none"/>
        </w:rPr>
        <w:br w:type="page"/>
      </w:r>
    </w:p>
    <w:p w14:paraId="0BD8CB08">
      <w:pPr>
        <w:pStyle w:val="39"/>
        <w:ind w:left="0" w:leftChars="0" w:firstLine="0"/>
        <w:rPr>
          <w:color w:val="auto"/>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14:paraId="2C9D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6921AB09">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2、污染物排放信息</w:t>
            </w:r>
          </w:p>
          <w:p w14:paraId="7890C8E7">
            <w:pPr>
              <w:spacing w:line="360" w:lineRule="auto"/>
              <w:ind w:firstLine="480" w:firstLineChars="200"/>
              <w:rPr>
                <w:rFonts w:ascii="Times New Roman" w:hAnsi="Times New Roman" w:eastAsia="宋体" w:cs="Times New Roman"/>
                <w:b/>
                <w:bCs/>
                <w:color w:val="auto"/>
                <w:sz w:val="24"/>
                <w:szCs w:val="24"/>
                <w:highlight w:val="none"/>
              </w:rPr>
            </w:pPr>
            <w:r>
              <w:rPr>
                <w:rFonts w:hint="eastAsia" w:ascii="Times New Roman" w:hAnsi="Times New Roman" w:cs="Times New Roman"/>
                <w:color w:val="auto"/>
                <w:sz w:val="24"/>
                <w:szCs w:val="24"/>
                <w:highlight w:val="none"/>
              </w:rPr>
              <w:t>本项目废气污染物排放信息如下表所示。</w:t>
            </w:r>
          </w:p>
          <w:p w14:paraId="49B6F142">
            <w:pPr>
              <w:pStyle w:val="117"/>
              <w:bidi w:val="0"/>
              <w:rPr>
                <w:color w:val="auto"/>
              </w:rPr>
            </w:pPr>
            <w:r>
              <w:rPr>
                <w:rFonts w:hint="eastAsia"/>
                <w:color w:val="auto"/>
              </w:rPr>
              <w:t>本项目废气污染物排放信息表</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1225"/>
              <w:gridCol w:w="1398"/>
              <w:gridCol w:w="1013"/>
              <w:gridCol w:w="4011"/>
              <w:gridCol w:w="1426"/>
              <w:gridCol w:w="1359"/>
              <w:gridCol w:w="1245"/>
              <w:gridCol w:w="1246"/>
            </w:tblGrid>
            <w:tr w14:paraId="7829F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8" w:type="pct"/>
                  <w:vMerge w:val="restart"/>
                  <w:tcBorders>
                    <w:tl2br w:val="nil"/>
                    <w:tr2bl w:val="nil"/>
                  </w:tcBorders>
                  <w:shd w:val="clear" w:color="auto" w:fill="auto"/>
                  <w:vAlign w:val="center"/>
                </w:tcPr>
                <w:p w14:paraId="3B155C8E">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s="Times New Roman"/>
                      <w:b/>
                      <w:bCs/>
                      <w:color w:val="auto"/>
                      <w:sz w:val="18"/>
                      <w:szCs w:val="18"/>
                      <w:highlight w:val="none"/>
                    </w:rPr>
                  </w:pPr>
                  <w:r>
                    <w:rPr>
                      <w:rFonts w:ascii="Times New Roman" w:hAnsi="Times New Roman" w:cs="Times New Roman"/>
                      <w:b/>
                      <w:color w:val="auto"/>
                      <w:sz w:val="18"/>
                      <w:szCs w:val="18"/>
                      <w:highlight w:val="none"/>
                    </w:rPr>
                    <w:t>污染源</w:t>
                  </w:r>
                </w:p>
              </w:tc>
              <w:tc>
                <w:tcPr>
                  <w:tcW w:w="439" w:type="pct"/>
                  <w:vMerge w:val="restart"/>
                  <w:tcBorders>
                    <w:tl2br w:val="nil"/>
                    <w:tr2bl w:val="nil"/>
                  </w:tcBorders>
                  <w:shd w:val="clear" w:color="auto" w:fill="auto"/>
                  <w:vAlign w:val="center"/>
                </w:tcPr>
                <w:p w14:paraId="5E2510B9">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s="Times New Roman"/>
                      <w:b/>
                      <w:bCs/>
                      <w:color w:val="auto"/>
                      <w:sz w:val="18"/>
                      <w:szCs w:val="18"/>
                      <w:highlight w:val="none"/>
                    </w:rPr>
                  </w:pPr>
                  <w:r>
                    <w:rPr>
                      <w:rFonts w:ascii="Times New Roman" w:hAnsi="Times New Roman" w:cs="Times New Roman"/>
                      <w:b/>
                      <w:color w:val="auto"/>
                      <w:sz w:val="18"/>
                      <w:szCs w:val="18"/>
                      <w:highlight w:val="none"/>
                    </w:rPr>
                    <w:t>污染物</w:t>
                  </w:r>
                </w:p>
              </w:tc>
              <w:tc>
                <w:tcPr>
                  <w:tcW w:w="501" w:type="pct"/>
                  <w:vMerge w:val="restart"/>
                  <w:tcBorders>
                    <w:tl2br w:val="nil"/>
                    <w:tr2bl w:val="nil"/>
                  </w:tcBorders>
                  <w:shd w:val="clear" w:color="auto" w:fill="auto"/>
                  <w:vAlign w:val="center"/>
                </w:tcPr>
                <w:p w14:paraId="3EC2BD2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s="Times New Roman"/>
                      <w:b/>
                      <w:bCs/>
                      <w:color w:val="auto"/>
                      <w:sz w:val="18"/>
                      <w:szCs w:val="18"/>
                      <w:highlight w:val="none"/>
                    </w:rPr>
                  </w:pPr>
                  <w:r>
                    <w:rPr>
                      <w:rFonts w:ascii="Times New Roman" w:hAnsi="Times New Roman" w:cs="Times New Roman"/>
                      <w:b/>
                      <w:bCs/>
                      <w:color w:val="auto"/>
                      <w:kern w:val="0"/>
                      <w:sz w:val="18"/>
                      <w:szCs w:val="18"/>
                      <w:highlight w:val="none"/>
                    </w:rPr>
                    <w:t>污染物产生量</w:t>
                  </w:r>
                  <w:r>
                    <w:rPr>
                      <w:rFonts w:hint="eastAsia" w:ascii="Times New Roman" w:hAnsi="Times New Roman" w:cs="Times New Roman"/>
                      <w:b/>
                      <w:bCs/>
                      <w:color w:val="auto"/>
                      <w:kern w:val="0"/>
                      <w:sz w:val="18"/>
                      <w:szCs w:val="18"/>
                      <w:highlight w:val="none"/>
                      <w:lang w:eastAsia="zh-CN"/>
                    </w:rPr>
                    <w:t>（</w:t>
                  </w:r>
                  <w:r>
                    <w:rPr>
                      <w:rFonts w:hint="eastAsia" w:ascii="Times New Roman" w:hAnsi="Times New Roman" w:cs="Times New Roman"/>
                      <w:b/>
                      <w:bCs/>
                      <w:color w:val="auto"/>
                      <w:kern w:val="0"/>
                      <w:sz w:val="18"/>
                      <w:szCs w:val="18"/>
                      <w:highlight w:val="none"/>
                      <w:lang w:val="en-US" w:eastAsia="zh-CN"/>
                    </w:rPr>
                    <w:t>kg</w:t>
                  </w:r>
                  <w:r>
                    <w:rPr>
                      <w:rFonts w:ascii="Times New Roman" w:hAnsi="Times New Roman" w:cs="Times New Roman"/>
                      <w:b/>
                      <w:bCs/>
                      <w:color w:val="auto"/>
                      <w:kern w:val="0"/>
                      <w:sz w:val="18"/>
                      <w:szCs w:val="18"/>
                      <w:highlight w:val="none"/>
                    </w:rPr>
                    <w:t>/a</w:t>
                  </w:r>
                  <w:r>
                    <w:rPr>
                      <w:rFonts w:hint="eastAsia" w:ascii="Times New Roman" w:hAnsi="Times New Roman" w:cs="Times New Roman"/>
                      <w:b/>
                      <w:bCs/>
                      <w:color w:val="auto"/>
                      <w:kern w:val="0"/>
                      <w:sz w:val="18"/>
                      <w:szCs w:val="18"/>
                      <w:highlight w:val="none"/>
                      <w:lang w:eastAsia="zh-CN"/>
                    </w:rPr>
                    <w:t>）</w:t>
                  </w:r>
                </w:p>
              </w:tc>
              <w:tc>
                <w:tcPr>
                  <w:tcW w:w="1800" w:type="pct"/>
                  <w:gridSpan w:val="2"/>
                  <w:tcBorders>
                    <w:tl2br w:val="nil"/>
                    <w:tr2bl w:val="nil"/>
                  </w:tcBorders>
                  <w:shd w:val="clear" w:color="auto" w:fill="auto"/>
                  <w:vAlign w:val="center"/>
                </w:tcPr>
                <w:p w14:paraId="2E46942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治理措施</w:t>
                  </w:r>
                </w:p>
              </w:tc>
              <w:tc>
                <w:tcPr>
                  <w:tcW w:w="1444" w:type="pct"/>
                  <w:gridSpan w:val="3"/>
                  <w:tcBorders>
                    <w:tl2br w:val="nil"/>
                    <w:tr2bl w:val="nil"/>
                  </w:tcBorders>
                  <w:shd w:val="clear" w:color="auto" w:fill="auto"/>
                  <w:vAlign w:val="center"/>
                </w:tcPr>
                <w:p w14:paraId="5FEA8EE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污染物排放</w:t>
                  </w:r>
                </w:p>
              </w:tc>
              <w:tc>
                <w:tcPr>
                  <w:tcW w:w="446" w:type="pct"/>
                  <w:tcBorders>
                    <w:tl2br w:val="nil"/>
                    <w:tr2bl w:val="nil"/>
                  </w:tcBorders>
                  <w:shd w:val="clear" w:color="auto" w:fill="auto"/>
                  <w:vAlign w:val="center"/>
                </w:tcPr>
                <w:p w14:paraId="675EA1A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排放标准</w:t>
                  </w:r>
                </w:p>
              </w:tc>
            </w:tr>
            <w:tr w14:paraId="7A817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8" w:type="pct"/>
                  <w:vMerge w:val="continue"/>
                  <w:tcBorders>
                    <w:tl2br w:val="nil"/>
                    <w:tr2bl w:val="nil"/>
                  </w:tcBorders>
                  <w:shd w:val="clear" w:color="auto" w:fill="auto"/>
                  <w:vAlign w:val="center"/>
                </w:tcPr>
                <w:p w14:paraId="3249A0AC">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s="Times New Roman"/>
                      <w:b/>
                      <w:bCs/>
                      <w:color w:val="auto"/>
                      <w:sz w:val="18"/>
                      <w:szCs w:val="18"/>
                      <w:highlight w:val="none"/>
                    </w:rPr>
                  </w:pPr>
                </w:p>
              </w:tc>
              <w:tc>
                <w:tcPr>
                  <w:tcW w:w="439" w:type="pct"/>
                  <w:vMerge w:val="continue"/>
                  <w:tcBorders>
                    <w:tl2br w:val="nil"/>
                    <w:tr2bl w:val="nil"/>
                  </w:tcBorders>
                  <w:shd w:val="clear" w:color="auto" w:fill="auto"/>
                  <w:vAlign w:val="center"/>
                </w:tcPr>
                <w:p w14:paraId="397FFBD8">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s="Times New Roman"/>
                      <w:b/>
                      <w:bCs/>
                      <w:color w:val="auto"/>
                      <w:sz w:val="18"/>
                      <w:szCs w:val="18"/>
                      <w:highlight w:val="none"/>
                    </w:rPr>
                  </w:pPr>
                </w:p>
              </w:tc>
              <w:tc>
                <w:tcPr>
                  <w:tcW w:w="501" w:type="pct"/>
                  <w:vMerge w:val="continue"/>
                  <w:tcBorders>
                    <w:tl2br w:val="nil"/>
                    <w:tr2bl w:val="nil"/>
                  </w:tcBorders>
                  <w:shd w:val="clear" w:color="auto" w:fill="auto"/>
                  <w:vAlign w:val="center"/>
                </w:tcPr>
                <w:p w14:paraId="7DF58AD0">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s="Times New Roman"/>
                      <w:b/>
                      <w:bCs/>
                      <w:color w:val="auto"/>
                      <w:sz w:val="18"/>
                      <w:szCs w:val="18"/>
                      <w:highlight w:val="none"/>
                    </w:rPr>
                  </w:pPr>
                </w:p>
              </w:tc>
              <w:tc>
                <w:tcPr>
                  <w:tcW w:w="363" w:type="pct"/>
                  <w:vMerge w:val="restart"/>
                  <w:tcBorders>
                    <w:tl2br w:val="nil"/>
                    <w:tr2bl w:val="nil"/>
                  </w:tcBorders>
                  <w:shd w:val="clear" w:color="auto" w:fill="auto"/>
                  <w:vAlign w:val="center"/>
                </w:tcPr>
                <w:p w14:paraId="51A9A10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s="Times New Roman"/>
                      <w:b/>
                      <w:bCs/>
                      <w:color w:val="auto"/>
                      <w:sz w:val="18"/>
                      <w:szCs w:val="18"/>
                      <w:highlight w:val="none"/>
                    </w:rPr>
                  </w:pPr>
                  <w:r>
                    <w:rPr>
                      <w:rFonts w:ascii="Times New Roman" w:hAnsi="Times New Roman" w:cs="Times New Roman"/>
                      <w:b/>
                      <w:bCs/>
                      <w:color w:val="auto"/>
                      <w:kern w:val="0"/>
                      <w:sz w:val="18"/>
                      <w:szCs w:val="18"/>
                      <w:highlight w:val="none"/>
                    </w:rPr>
                    <w:t>收集效率</w:t>
                  </w:r>
                  <w:r>
                    <w:rPr>
                      <w:rFonts w:hint="eastAsia" w:ascii="Times New Roman" w:hAnsi="Times New Roman" w:cs="Times New Roman"/>
                      <w:b/>
                      <w:bCs/>
                      <w:color w:val="auto"/>
                      <w:kern w:val="0"/>
                      <w:sz w:val="18"/>
                      <w:szCs w:val="18"/>
                      <w:highlight w:val="none"/>
                      <w:lang w:eastAsia="zh-CN"/>
                    </w:rPr>
                    <w:t>（</w:t>
                  </w:r>
                  <w:r>
                    <w:rPr>
                      <w:rFonts w:ascii="Times New Roman" w:hAnsi="Times New Roman" w:cs="Times New Roman"/>
                      <w:b/>
                      <w:bCs/>
                      <w:color w:val="auto"/>
                      <w:kern w:val="0"/>
                      <w:sz w:val="18"/>
                      <w:szCs w:val="18"/>
                      <w:highlight w:val="none"/>
                    </w:rPr>
                    <w:t>%</w:t>
                  </w:r>
                  <w:r>
                    <w:rPr>
                      <w:rFonts w:hint="eastAsia" w:ascii="Times New Roman" w:hAnsi="Times New Roman" w:cs="Times New Roman"/>
                      <w:b/>
                      <w:bCs/>
                      <w:color w:val="auto"/>
                      <w:kern w:val="0"/>
                      <w:sz w:val="18"/>
                      <w:szCs w:val="18"/>
                      <w:highlight w:val="none"/>
                      <w:lang w:eastAsia="zh-CN"/>
                    </w:rPr>
                    <w:t>）</w:t>
                  </w:r>
                </w:p>
              </w:tc>
              <w:tc>
                <w:tcPr>
                  <w:tcW w:w="1437" w:type="pct"/>
                  <w:vMerge w:val="restart"/>
                  <w:tcBorders>
                    <w:tl2br w:val="nil"/>
                    <w:tr2bl w:val="nil"/>
                  </w:tcBorders>
                  <w:shd w:val="clear" w:color="auto" w:fill="auto"/>
                  <w:vAlign w:val="center"/>
                </w:tcPr>
                <w:p w14:paraId="0C2BC35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s="Times New Roman"/>
                      <w:b/>
                      <w:bCs/>
                      <w:color w:val="auto"/>
                      <w:sz w:val="18"/>
                      <w:szCs w:val="18"/>
                      <w:highlight w:val="none"/>
                    </w:rPr>
                  </w:pPr>
                  <w:r>
                    <w:rPr>
                      <w:rFonts w:ascii="Times New Roman" w:hAnsi="Times New Roman" w:cs="Times New Roman"/>
                      <w:b/>
                      <w:bCs/>
                      <w:color w:val="auto"/>
                      <w:kern w:val="0"/>
                      <w:sz w:val="18"/>
                      <w:szCs w:val="18"/>
                      <w:highlight w:val="none"/>
                    </w:rPr>
                    <w:t>治理工艺</w:t>
                  </w:r>
                </w:p>
              </w:tc>
              <w:tc>
                <w:tcPr>
                  <w:tcW w:w="998" w:type="pct"/>
                  <w:gridSpan w:val="2"/>
                  <w:tcBorders>
                    <w:tl2br w:val="nil"/>
                    <w:tr2bl w:val="nil"/>
                  </w:tcBorders>
                  <w:shd w:val="clear" w:color="auto" w:fill="auto"/>
                  <w:vAlign w:val="center"/>
                </w:tcPr>
                <w:p w14:paraId="0D3E6A1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s="Times New Roman"/>
                      <w:b/>
                      <w:bCs/>
                      <w:color w:val="auto"/>
                      <w:sz w:val="18"/>
                      <w:szCs w:val="18"/>
                      <w:highlight w:val="none"/>
                    </w:rPr>
                  </w:pPr>
                  <w:r>
                    <w:rPr>
                      <w:rFonts w:ascii="Times New Roman" w:hAnsi="Times New Roman" w:cs="Times New Roman"/>
                      <w:b/>
                      <w:bCs/>
                      <w:color w:val="auto"/>
                      <w:kern w:val="0"/>
                      <w:sz w:val="18"/>
                      <w:szCs w:val="18"/>
                      <w:highlight w:val="none"/>
                    </w:rPr>
                    <w:t>无组织</w:t>
                  </w:r>
                </w:p>
              </w:tc>
              <w:tc>
                <w:tcPr>
                  <w:tcW w:w="446" w:type="pct"/>
                  <w:tcBorders>
                    <w:tl2br w:val="nil"/>
                    <w:tr2bl w:val="nil"/>
                  </w:tcBorders>
                  <w:shd w:val="clear" w:color="auto" w:fill="auto"/>
                  <w:vAlign w:val="center"/>
                </w:tcPr>
                <w:p w14:paraId="64F77AE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s="Times New Roman"/>
                      <w:b/>
                      <w:bCs/>
                      <w:color w:val="auto"/>
                      <w:sz w:val="18"/>
                      <w:szCs w:val="18"/>
                      <w:highlight w:val="none"/>
                    </w:rPr>
                  </w:pPr>
                  <w:r>
                    <w:rPr>
                      <w:rFonts w:ascii="Times New Roman" w:hAnsi="Times New Roman" w:cs="Times New Roman"/>
                      <w:b/>
                      <w:bCs/>
                      <w:color w:val="auto"/>
                      <w:kern w:val="0"/>
                      <w:sz w:val="18"/>
                      <w:szCs w:val="18"/>
                      <w:highlight w:val="none"/>
                    </w:rPr>
                    <w:t>排放时间</w:t>
                  </w:r>
                </w:p>
              </w:tc>
              <w:tc>
                <w:tcPr>
                  <w:tcW w:w="446" w:type="pct"/>
                  <w:tcBorders>
                    <w:tl2br w:val="nil"/>
                    <w:tr2bl w:val="nil"/>
                  </w:tcBorders>
                  <w:shd w:val="clear" w:color="auto" w:fill="auto"/>
                  <w:vAlign w:val="center"/>
                </w:tcPr>
                <w:p w14:paraId="6939050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无组织</w:t>
                  </w:r>
                </w:p>
              </w:tc>
            </w:tr>
            <w:tr w14:paraId="73F52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8" w:type="pct"/>
                  <w:vMerge w:val="continue"/>
                  <w:tcBorders>
                    <w:tl2br w:val="nil"/>
                    <w:tr2bl w:val="nil"/>
                  </w:tcBorders>
                  <w:shd w:val="clear" w:color="auto" w:fill="auto"/>
                  <w:vAlign w:val="center"/>
                </w:tcPr>
                <w:p w14:paraId="225AE3BD">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s="Times New Roman"/>
                      <w:b/>
                      <w:bCs/>
                      <w:color w:val="auto"/>
                      <w:sz w:val="18"/>
                      <w:szCs w:val="18"/>
                      <w:highlight w:val="none"/>
                    </w:rPr>
                  </w:pPr>
                </w:p>
              </w:tc>
              <w:tc>
                <w:tcPr>
                  <w:tcW w:w="439" w:type="pct"/>
                  <w:vMerge w:val="continue"/>
                  <w:tcBorders>
                    <w:tl2br w:val="nil"/>
                    <w:tr2bl w:val="nil"/>
                  </w:tcBorders>
                  <w:shd w:val="clear" w:color="auto" w:fill="auto"/>
                  <w:vAlign w:val="center"/>
                </w:tcPr>
                <w:p w14:paraId="200DECCB">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s="Times New Roman"/>
                      <w:b/>
                      <w:bCs/>
                      <w:color w:val="auto"/>
                      <w:sz w:val="18"/>
                      <w:szCs w:val="18"/>
                      <w:highlight w:val="none"/>
                    </w:rPr>
                  </w:pPr>
                </w:p>
              </w:tc>
              <w:tc>
                <w:tcPr>
                  <w:tcW w:w="501" w:type="pct"/>
                  <w:vMerge w:val="continue"/>
                  <w:tcBorders>
                    <w:tl2br w:val="nil"/>
                    <w:tr2bl w:val="nil"/>
                  </w:tcBorders>
                  <w:shd w:val="clear" w:color="auto" w:fill="auto"/>
                  <w:vAlign w:val="center"/>
                </w:tcPr>
                <w:p w14:paraId="6AAD58E7">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s="Times New Roman"/>
                      <w:b/>
                      <w:bCs/>
                      <w:color w:val="auto"/>
                      <w:sz w:val="18"/>
                      <w:szCs w:val="18"/>
                      <w:highlight w:val="none"/>
                    </w:rPr>
                  </w:pPr>
                </w:p>
              </w:tc>
              <w:tc>
                <w:tcPr>
                  <w:tcW w:w="363" w:type="pct"/>
                  <w:vMerge w:val="continue"/>
                  <w:tcBorders>
                    <w:tl2br w:val="nil"/>
                    <w:tr2bl w:val="nil"/>
                  </w:tcBorders>
                  <w:shd w:val="clear" w:color="auto" w:fill="auto"/>
                  <w:vAlign w:val="center"/>
                </w:tcPr>
                <w:p w14:paraId="129E674B">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s="Times New Roman"/>
                      <w:b/>
                      <w:bCs/>
                      <w:color w:val="auto"/>
                      <w:sz w:val="18"/>
                      <w:szCs w:val="18"/>
                      <w:highlight w:val="none"/>
                    </w:rPr>
                  </w:pPr>
                </w:p>
              </w:tc>
              <w:tc>
                <w:tcPr>
                  <w:tcW w:w="1437" w:type="pct"/>
                  <w:vMerge w:val="continue"/>
                  <w:tcBorders>
                    <w:tl2br w:val="nil"/>
                    <w:tr2bl w:val="nil"/>
                  </w:tcBorders>
                  <w:shd w:val="clear" w:color="auto" w:fill="auto"/>
                  <w:vAlign w:val="center"/>
                </w:tcPr>
                <w:p w14:paraId="68DCCD94">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s="Times New Roman"/>
                      <w:b/>
                      <w:bCs/>
                      <w:color w:val="auto"/>
                      <w:sz w:val="18"/>
                      <w:szCs w:val="18"/>
                      <w:highlight w:val="none"/>
                    </w:rPr>
                  </w:pPr>
                </w:p>
              </w:tc>
              <w:tc>
                <w:tcPr>
                  <w:tcW w:w="511" w:type="pct"/>
                  <w:tcBorders>
                    <w:tl2br w:val="nil"/>
                    <w:tr2bl w:val="nil"/>
                  </w:tcBorders>
                  <w:shd w:val="clear" w:color="auto" w:fill="auto"/>
                  <w:vAlign w:val="center"/>
                </w:tcPr>
                <w:p w14:paraId="5C37FB5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s="Times New Roman"/>
                      <w:b/>
                      <w:bCs/>
                      <w:color w:val="auto"/>
                      <w:sz w:val="18"/>
                      <w:szCs w:val="18"/>
                      <w:highlight w:val="none"/>
                    </w:rPr>
                  </w:pPr>
                  <w:r>
                    <w:rPr>
                      <w:rFonts w:ascii="Times New Roman" w:hAnsi="Times New Roman" w:cs="Times New Roman"/>
                      <w:b/>
                      <w:bCs/>
                      <w:color w:val="auto"/>
                      <w:kern w:val="0"/>
                      <w:sz w:val="18"/>
                      <w:szCs w:val="18"/>
                      <w:highlight w:val="none"/>
                    </w:rPr>
                    <w:t>kg/h</w:t>
                  </w:r>
                </w:p>
              </w:tc>
              <w:tc>
                <w:tcPr>
                  <w:tcW w:w="487" w:type="pct"/>
                  <w:tcBorders>
                    <w:tl2br w:val="nil"/>
                    <w:tr2bl w:val="nil"/>
                  </w:tcBorders>
                  <w:shd w:val="clear" w:color="auto" w:fill="auto"/>
                  <w:vAlign w:val="center"/>
                </w:tcPr>
                <w:p w14:paraId="01375E3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s="Times New Roman"/>
                      <w:b/>
                      <w:bCs/>
                      <w:color w:val="auto"/>
                      <w:sz w:val="18"/>
                      <w:szCs w:val="18"/>
                      <w:highlight w:val="none"/>
                    </w:rPr>
                  </w:pPr>
                  <w:r>
                    <w:rPr>
                      <w:rFonts w:hint="eastAsia" w:ascii="Times New Roman" w:hAnsi="Times New Roman" w:cs="Times New Roman"/>
                      <w:b/>
                      <w:bCs/>
                      <w:color w:val="auto"/>
                      <w:kern w:val="0"/>
                      <w:sz w:val="18"/>
                      <w:szCs w:val="18"/>
                      <w:highlight w:val="none"/>
                      <w:lang w:val="en-US" w:eastAsia="zh-CN"/>
                    </w:rPr>
                    <w:t>kg</w:t>
                  </w:r>
                  <w:r>
                    <w:rPr>
                      <w:rFonts w:ascii="Times New Roman" w:hAnsi="Times New Roman" w:cs="Times New Roman"/>
                      <w:b/>
                      <w:bCs/>
                      <w:color w:val="auto"/>
                      <w:kern w:val="0"/>
                      <w:sz w:val="18"/>
                      <w:szCs w:val="18"/>
                      <w:highlight w:val="none"/>
                    </w:rPr>
                    <w:t>/a</w:t>
                  </w:r>
                </w:p>
              </w:tc>
              <w:tc>
                <w:tcPr>
                  <w:tcW w:w="446" w:type="pct"/>
                  <w:tcBorders>
                    <w:tl2br w:val="nil"/>
                    <w:tr2bl w:val="nil"/>
                  </w:tcBorders>
                  <w:shd w:val="clear" w:color="auto" w:fill="auto"/>
                  <w:vAlign w:val="center"/>
                </w:tcPr>
                <w:p w14:paraId="32DF1E3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s="Times New Roman"/>
                      <w:b/>
                      <w:bCs/>
                      <w:color w:val="auto"/>
                      <w:sz w:val="18"/>
                      <w:szCs w:val="18"/>
                      <w:highlight w:val="none"/>
                    </w:rPr>
                  </w:pPr>
                  <w:r>
                    <w:rPr>
                      <w:rFonts w:ascii="Times New Roman" w:hAnsi="Times New Roman" w:cs="Times New Roman"/>
                      <w:b/>
                      <w:bCs/>
                      <w:color w:val="auto"/>
                      <w:kern w:val="0"/>
                      <w:sz w:val="18"/>
                      <w:szCs w:val="18"/>
                      <w:highlight w:val="none"/>
                    </w:rPr>
                    <w:t>h</w:t>
                  </w:r>
                </w:p>
              </w:tc>
              <w:tc>
                <w:tcPr>
                  <w:tcW w:w="446" w:type="pct"/>
                  <w:tcBorders>
                    <w:tl2br w:val="nil"/>
                    <w:tr2bl w:val="nil"/>
                  </w:tcBorders>
                  <w:shd w:val="clear" w:color="auto" w:fill="auto"/>
                  <w:vAlign w:val="center"/>
                </w:tcPr>
                <w:p w14:paraId="3C666B6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s="Times New Roman"/>
                      <w:b/>
                      <w:bCs/>
                      <w:color w:val="auto"/>
                      <w:sz w:val="18"/>
                      <w:szCs w:val="18"/>
                      <w:highlight w:val="none"/>
                    </w:rPr>
                  </w:pPr>
                  <w:r>
                    <w:rPr>
                      <w:rFonts w:ascii="Times New Roman" w:hAnsi="Times New Roman" w:cs="Times New Roman"/>
                      <w:b/>
                      <w:bCs/>
                      <w:color w:val="auto"/>
                      <w:kern w:val="0"/>
                      <w:sz w:val="18"/>
                      <w:szCs w:val="18"/>
                      <w:highlight w:val="none"/>
                    </w:rPr>
                    <w:t>mg/m</w:t>
                  </w:r>
                  <w:r>
                    <w:rPr>
                      <w:rFonts w:ascii="Times New Roman" w:hAnsi="Times New Roman" w:cs="Times New Roman"/>
                      <w:b/>
                      <w:bCs/>
                      <w:color w:val="auto"/>
                      <w:kern w:val="0"/>
                      <w:sz w:val="18"/>
                      <w:szCs w:val="18"/>
                      <w:highlight w:val="none"/>
                      <w:vertAlign w:val="superscript"/>
                    </w:rPr>
                    <w:t>3</w:t>
                  </w:r>
                </w:p>
              </w:tc>
            </w:tr>
            <w:tr w14:paraId="33931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368" w:type="pct"/>
                  <w:vMerge w:val="restart"/>
                  <w:tcBorders>
                    <w:tl2br w:val="nil"/>
                    <w:tr2bl w:val="nil"/>
                  </w:tcBorders>
                  <w:shd w:val="clear" w:color="auto" w:fill="auto"/>
                  <w:vAlign w:val="center"/>
                </w:tcPr>
                <w:p w14:paraId="0C06A17D">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实验室</w:t>
                  </w:r>
                </w:p>
              </w:tc>
              <w:tc>
                <w:tcPr>
                  <w:tcW w:w="439" w:type="pct"/>
                  <w:tcBorders>
                    <w:tl2br w:val="nil"/>
                    <w:tr2bl w:val="nil"/>
                  </w:tcBorders>
                  <w:shd w:val="clear" w:color="auto" w:fill="auto"/>
                  <w:vAlign w:val="center"/>
                </w:tcPr>
                <w:p w14:paraId="099AD6E3">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HCl</w:t>
                  </w:r>
                </w:p>
              </w:tc>
              <w:tc>
                <w:tcPr>
                  <w:tcW w:w="501" w:type="pct"/>
                  <w:tcBorders>
                    <w:tl2br w:val="nil"/>
                    <w:tr2bl w:val="nil"/>
                  </w:tcBorders>
                  <w:shd w:val="clear" w:color="auto" w:fill="auto"/>
                  <w:vAlign w:val="center"/>
                </w:tcPr>
                <w:p w14:paraId="5D8F29F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0.0004</w:t>
                  </w:r>
                </w:p>
              </w:tc>
              <w:tc>
                <w:tcPr>
                  <w:tcW w:w="363" w:type="pct"/>
                  <w:vMerge w:val="restart"/>
                  <w:tcBorders>
                    <w:tl2br w:val="nil"/>
                    <w:tr2bl w:val="nil"/>
                  </w:tcBorders>
                  <w:shd w:val="clear" w:color="auto" w:fill="auto"/>
                  <w:vAlign w:val="center"/>
                </w:tcPr>
                <w:p w14:paraId="7B47461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bCs/>
                      <w:color w:val="auto"/>
                      <w:sz w:val="18"/>
                      <w:szCs w:val="18"/>
                      <w:highlight w:val="none"/>
                      <w:lang w:val="en-US" w:eastAsia="zh-CN"/>
                    </w:rPr>
                  </w:pPr>
                  <w:r>
                    <w:rPr>
                      <w:rFonts w:hint="default" w:ascii="Times New Roman" w:hAnsi="Times New Roman" w:cs="Times New Roman" w:eastAsiaTheme="minorEastAsia"/>
                      <w:bCs/>
                      <w:color w:val="auto"/>
                      <w:sz w:val="18"/>
                      <w:szCs w:val="18"/>
                      <w:highlight w:val="none"/>
                      <w:lang w:val="en-US" w:eastAsia="zh-CN"/>
                    </w:rPr>
                    <w:t>通风橱90%，集气罩60%</w:t>
                  </w:r>
                </w:p>
              </w:tc>
              <w:tc>
                <w:tcPr>
                  <w:tcW w:w="1437" w:type="pct"/>
                  <w:vMerge w:val="restart"/>
                  <w:tcBorders>
                    <w:tl2br w:val="nil"/>
                    <w:tr2bl w:val="nil"/>
                  </w:tcBorders>
                  <w:shd w:val="clear" w:color="auto" w:fill="auto"/>
                  <w:vAlign w:val="center"/>
                </w:tcPr>
                <w:p w14:paraId="4AB0CFE4">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s="Times New Roman"/>
                      <w:bCs/>
                      <w:color w:val="auto"/>
                      <w:sz w:val="18"/>
                      <w:szCs w:val="18"/>
                      <w:highlight w:val="none"/>
                    </w:rPr>
                  </w:pPr>
                  <w:r>
                    <w:rPr>
                      <w:rFonts w:hint="eastAsia" w:ascii="Times New Roman" w:hAnsi="Times New Roman" w:cs="Times New Roman"/>
                      <w:bCs/>
                      <w:color w:val="auto"/>
                      <w:sz w:val="18"/>
                      <w:szCs w:val="18"/>
                      <w:highlight w:val="none"/>
                      <w:lang w:val="en-US" w:eastAsia="zh-CN"/>
                    </w:rPr>
                    <w:t>化学实验配液工序（稀盐酸配置）由老师在通风橱内进行配置，通过通风橱自带排风管道排至室外排放；学生操作实验台上方设置万向集气罩，实验操作产生的废气经集气罩收集后排出室外。</w:t>
                  </w:r>
                </w:p>
              </w:tc>
              <w:tc>
                <w:tcPr>
                  <w:tcW w:w="511" w:type="pct"/>
                  <w:tcBorders>
                    <w:tl2br w:val="nil"/>
                    <w:tr2bl w:val="nil"/>
                  </w:tcBorders>
                  <w:shd w:val="clear" w:color="auto" w:fill="auto"/>
                  <w:vAlign w:val="center"/>
                </w:tcPr>
                <w:p w14:paraId="7F2CDC7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s="Times New Roman"/>
                      <w:bCs/>
                      <w:color w:val="auto"/>
                      <w:sz w:val="18"/>
                      <w:szCs w:val="18"/>
                      <w:highlight w:val="none"/>
                    </w:rPr>
                  </w:pPr>
                  <w:r>
                    <w:rPr>
                      <w:rFonts w:hint="eastAsia" w:ascii="Times New Roman" w:hAnsi="Times New Roman" w:cs="Times New Roman"/>
                      <w:color w:val="auto"/>
                      <w:sz w:val="18"/>
                      <w:szCs w:val="18"/>
                      <w:highlight w:val="none"/>
                      <w:lang w:val="en-US" w:eastAsia="zh-CN"/>
                    </w:rPr>
                    <w:t>6.34</w:t>
                  </w:r>
                  <w:r>
                    <w:rPr>
                      <w:rFonts w:hint="default" w:ascii="Arial" w:hAnsi="Arial" w:cs="Arial"/>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10</w:t>
                  </w:r>
                  <w:r>
                    <w:rPr>
                      <w:rFonts w:hint="eastAsia" w:ascii="Times New Roman" w:hAnsi="Times New Roman" w:cs="Times New Roman"/>
                      <w:color w:val="auto"/>
                      <w:sz w:val="18"/>
                      <w:szCs w:val="18"/>
                      <w:highlight w:val="none"/>
                      <w:vertAlign w:val="superscript"/>
                      <w:lang w:val="en-US" w:eastAsia="zh-CN"/>
                    </w:rPr>
                    <w:t>-6</w:t>
                  </w:r>
                </w:p>
              </w:tc>
              <w:tc>
                <w:tcPr>
                  <w:tcW w:w="487" w:type="pct"/>
                  <w:tcBorders>
                    <w:tl2br w:val="nil"/>
                    <w:tr2bl w:val="nil"/>
                  </w:tcBorders>
                  <w:shd w:val="clear" w:color="auto" w:fill="auto"/>
                  <w:vAlign w:val="center"/>
                </w:tcPr>
                <w:p w14:paraId="1FD08D3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0.0004</w:t>
                  </w:r>
                </w:p>
              </w:tc>
              <w:tc>
                <w:tcPr>
                  <w:tcW w:w="446" w:type="pct"/>
                  <w:tcBorders>
                    <w:tl2br w:val="nil"/>
                    <w:tr2bl w:val="nil"/>
                  </w:tcBorders>
                  <w:shd w:val="clear" w:color="auto" w:fill="auto"/>
                  <w:vAlign w:val="center"/>
                </w:tcPr>
                <w:p w14:paraId="6D93148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63</w:t>
                  </w:r>
                </w:p>
              </w:tc>
              <w:tc>
                <w:tcPr>
                  <w:tcW w:w="446" w:type="pct"/>
                  <w:tcBorders>
                    <w:tl2br w:val="nil"/>
                    <w:tr2bl w:val="nil"/>
                  </w:tcBorders>
                  <w:shd w:val="clear" w:color="auto" w:fill="auto"/>
                  <w:vAlign w:val="center"/>
                </w:tcPr>
                <w:p w14:paraId="1E256BA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0.2</w:t>
                  </w:r>
                </w:p>
              </w:tc>
            </w:tr>
            <w:tr w14:paraId="22120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8" w:type="pct"/>
                  <w:vMerge w:val="continue"/>
                  <w:tcBorders>
                    <w:tl2br w:val="nil"/>
                    <w:tr2bl w:val="nil"/>
                  </w:tcBorders>
                  <w:shd w:val="clear" w:color="auto" w:fill="auto"/>
                  <w:vAlign w:val="center"/>
                </w:tcPr>
                <w:p w14:paraId="74BB62CE">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cs="Times New Roman"/>
                      <w:bCs/>
                      <w:color w:val="auto"/>
                      <w:sz w:val="18"/>
                      <w:szCs w:val="18"/>
                      <w:highlight w:val="none"/>
                      <w:lang w:val="en-US" w:eastAsia="zh-CN"/>
                    </w:rPr>
                  </w:pPr>
                </w:p>
              </w:tc>
              <w:tc>
                <w:tcPr>
                  <w:tcW w:w="439" w:type="pct"/>
                  <w:tcBorders>
                    <w:tl2br w:val="nil"/>
                    <w:tr2bl w:val="nil"/>
                  </w:tcBorders>
                  <w:shd w:val="clear" w:color="auto" w:fill="auto"/>
                  <w:vAlign w:val="center"/>
                </w:tcPr>
                <w:p w14:paraId="3C3E8232">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VOCs</w:t>
                  </w:r>
                </w:p>
              </w:tc>
              <w:tc>
                <w:tcPr>
                  <w:tcW w:w="501" w:type="pct"/>
                  <w:tcBorders>
                    <w:tl2br w:val="nil"/>
                    <w:tr2bl w:val="nil"/>
                  </w:tcBorders>
                  <w:shd w:val="clear" w:color="auto" w:fill="auto"/>
                  <w:vAlign w:val="center"/>
                </w:tcPr>
                <w:p w14:paraId="7825E3F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0.0006</w:t>
                  </w:r>
                </w:p>
              </w:tc>
              <w:tc>
                <w:tcPr>
                  <w:tcW w:w="363" w:type="pct"/>
                  <w:vMerge w:val="continue"/>
                  <w:tcBorders>
                    <w:tl2br w:val="nil"/>
                    <w:tr2bl w:val="nil"/>
                  </w:tcBorders>
                  <w:shd w:val="clear" w:color="auto" w:fill="auto"/>
                  <w:vAlign w:val="center"/>
                </w:tcPr>
                <w:p w14:paraId="798E9CF5">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s="Times New Roman"/>
                      <w:bCs/>
                      <w:color w:val="auto"/>
                      <w:sz w:val="18"/>
                      <w:szCs w:val="18"/>
                      <w:highlight w:val="none"/>
                    </w:rPr>
                  </w:pPr>
                </w:p>
              </w:tc>
              <w:tc>
                <w:tcPr>
                  <w:tcW w:w="1437" w:type="pct"/>
                  <w:vMerge w:val="continue"/>
                  <w:tcBorders>
                    <w:tl2br w:val="nil"/>
                    <w:tr2bl w:val="nil"/>
                  </w:tcBorders>
                  <w:shd w:val="clear" w:color="auto" w:fill="auto"/>
                  <w:vAlign w:val="center"/>
                </w:tcPr>
                <w:p w14:paraId="5EBFA3B8">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s="Times New Roman"/>
                      <w:bCs/>
                      <w:color w:val="auto"/>
                      <w:sz w:val="18"/>
                      <w:szCs w:val="18"/>
                      <w:highlight w:val="none"/>
                    </w:rPr>
                  </w:pPr>
                </w:p>
              </w:tc>
              <w:tc>
                <w:tcPr>
                  <w:tcW w:w="511" w:type="pct"/>
                  <w:tcBorders>
                    <w:tl2br w:val="nil"/>
                    <w:tr2bl w:val="nil"/>
                  </w:tcBorders>
                  <w:shd w:val="clear" w:color="auto" w:fill="auto"/>
                  <w:vAlign w:val="center"/>
                </w:tcPr>
                <w:p w14:paraId="5C4EEE1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0.0063</w:t>
                  </w:r>
                </w:p>
              </w:tc>
              <w:tc>
                <w:tcPr>
                  <w:tcW w:w="487" w:type="pct"/>
                  <w:tcBorders>
                    <w:tl2br w:val="nil"/>
                    <w:tr2bl w:val="nil"/>
                  </w:tcBorders>
                  <w:shd w:val="clear" w:color="auto" w:fill="auto"/>
                  <w:vAlign w:val="center"/>
                </w:tcPr>
                <w:p w14:paraId="318E3A1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0.0006</w:t>
                  </w:r>
                </w:p>
              </w:tc>
              <w:tc>
                <w:tcPr>
                  <w:tcW w:w="446" w:type="pct"/>
                  <w:tcBorders>
                    <w:tl2br w:val="nil"/>
                    <w:tr2bl w:val="nil"/>
                  </w:tcBorders>
                  <w:shd w:val="clear" w:color="auto" w:fill="auto"/>
                  <w:vAlign w:val="center"/>
                </w:tcPr>
                <w:p w14:paraId="76E58DF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15.75</w:t>
                  </w:r>
                </w:p>
              </w:tc>
              <w:tc>
                <w:tcPr>
                  <w:tcW w:w="446" w:type="pct"/>
                  <w:tcBorders>
                    <w:tl2br w:val="nil"/>
                    <w:tr2bl w:val="nil"/>
                  </w:tcBorders>
                  <w:shd w:val="clear" w:color="auto" w:fill="auto"/>
                  <w:vAlign w:val="center"/>
                </w:tcPr>
                <w:p w14:paraId="119F144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2.0</w:t>
                  </w:r>
                </w:p>
              </w:tc>
            </w:tr>
          </w:tbl>
          <w:p w14:paraId="66AD7EB7">
            <w:pPr>
              <w:spacing w:line="360" w:lineRule="auto"/>
              <w:ind w:firstLine="422" w:firstLineChars="200"/>
              <w:rPr>
                <w:rFonts w:ascii="Times New Roman" w:hAnsi="Times New Roman" w:cs="Times New Roman"/>
                <w:b/>
                <w:color w:val="auto"/>
                <w:szCs w:val="21"/>
                <w:highlight w:val="none"/>
              </w:rPr>
            </w:pPr>
          </w:p>
          <w:p w14:paraId="6D42F4FD">
            <w:pPr>
              <w:pStyle w:val="11"/>
              <w:rPr>
                <w:rFonts w:ascii="Times New Roman" w:hAnsi="Times New Roman" w:cs="Times New Roman"/>
                <w:b/>
                <w:color w:val="auto"/>
                <w:szCs w:val="21"/>
                <w:highlight w:val="none"/>
              </w:rPr>
            </w:pPr>
          </w:p>
          <w:p w14:paraId="0B534441">
            <w:pPr>
              <w:rPr>
                <w:rFonts w:ascii="Times New Roman" w:hAnsi="Times New Roman" w:cs="Times New Roman"/>
                <w:b/>
                <w:color w:val="auto"/>
                <w:szCs w:val="21"/>
                <w:highlight w:val="none"/>
              </w:rPr>
            </w:pPr>
          </w:p>
          <w:p w14:paraId="3AE635EA">
            <w:pPr>
              <w:pStyle w:val="11"/>
              <w:rPr>
                <w:rFonts w:hint="eastAsia" w:ascii="Times New Roman" w:hAnsi="Times New Roman" w:cs="Times New Roman"/>
                <w:b/>
                <w:color w:val="auto"/>
                <w:szCs w:val="21"/>
                <w:highlight w:val="none"/>
                <w:lang w:eastAsia="zh-CN"/>
              </w:rPr>
            </w:pPr>
          </w:p>
          <w:p w14:paraId="6CF63BDE">
            <w:pPr>
              <w:rPr>
                <w:rFonts w:hint="eastAsia" w:ascii="Times New Roman" w:hAnsi="Times New Roman" w:cs="Times New Roman"/>
                <w:b/>
                <w:color w:val="auto"/>
                <w:szCs w:val="21"/>
                <w:highlight w:val="none"/>
                <w:lang w:eastAsia="zh-CN"/>
              </w:rPr>
            </w:pPr>
          </w:p>
          <w:p w14:paraId="639E2BDD">
            <w:pPr>
              <w:pStyle w:val="11"/>
              <w:rPr>
                <w:rFonts w:hint="eastAsia" w:ascii="Times New Roman" w:hAnsi="Times New Roman" w:cs="Times New Roman"/>
                <w:b/>
                <w:color w:val="auto"/>
                <w:szCs w:val="21"/>
                <w:highlight w:val="none"/>
                <w:lang w:eastAsia="zh-CN"/>
              </w:rPr>
            </w:pPr>
          </w:p>
          <w:p w14:paraId="10AC2B42">
            <w:pPr>
              <w:rPr>
                <w:rFonts w:hint="eastAsia" w:ascii="Times New Roman" w:hAnsi="Times New Roman" w:cs="Times New Roman"/>
                <w:b/>
                <w:color w:val="auto"/>
                <w:szCs w:val="21"/>
                <w:highlight w:val="none"/>
                <w:lang w:eastAsia="zh-CN"/>
              </w:rPr>
            </w:pPr>
          </w:p>
          <w:p w14:paraId="76E86A4D">
            <w:pPr>
              <w:rPr>
                <w:color w:val="auto"/>
              </w:rPr>
            </w:pPr>
          </w:p>
        </w:tc>
      </w:tr>
    </w:tbl>
    <w:p w14:paraId="62E3EA6C">
      <w:pPr>
        <w:pStyle w:val="39"/>
        <w:ind w:left="0" w:leftChars="0" w:firstLine="0"/>
        <w:rPr>
          <w:color w:val="auto"/>
          <w:highlight w:val="none"/>
        </w:rPr>
        <w:sectPr>
          <w:pgSz w:w="16838" w:h="11906" w:orient="landscape"/>
          <w:pgMar w:top="1083" w:right="1440" w:bottom="1083" w:left="1440" w:header="851" w:footer="992" w:gutter="0"/>
          <w:pgBorders>
            <w:top w:val="none" w:sz="0" w:space="0"/>
            <w:left w:val="none" w:sz="0" w:space="0"/>
            <w:bottom w:val="none" w:sz="0" w:space="0"/>
            <w:right w:val="none" w:sz="0" w:space="0"/>
          </w:pgBorders>
          <w:cols w:space="0" w:num="1"/>
          <w:docGrid w:type="lines" w:linePitch="314" w:charSpace="0"/>
        </w:sect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9032"/>
      </w:tblGrid>
      <w:tr w14:paraId="7078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vAlign w:val="center"/>
          </w:tcPr>
          <w:p w14:paraId="2364FA72">
            <w:pPr>
              <w:jc w:val="center"/>
              <w:rPr>
                <w:color w:val="auto"/>
                <w:sz w:val="24"/>
                <w:szCs w:val="24"/>
                <w:highlight w:val="none"/>
              </w:rPr>
            </w:pPr>
            <w:r>
              <w:rPr>
                <w:rFonts w:hint="eastAsia"/>
                <w:color w:val="auto"/>
                <w:sz w:val="24"/>
                <w:szCs w:val="24"/>
                <w:highlight w:val="none"/>
              </w:rPr>
              <w:t>运营期环境影响和保护措施</w:t>
            </w:r>
          </w:p>
        </w:tc>
        <w:tc>
          <w:tcPr>
            <w:tcW w:w="9032" w:type="dxa"/>
          </w:tcPr>
          <w:p w14:paraId="7A55AD92">
            <w:pPr>
              <w:spacing w:line="360" w:lineRule="auto"/>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w:t>
            </w:r>
            <w:r>
              <w:rPr>
                <w:rFonts w:hint="eastAsia" w:ascii="Times New Roman" w:hAnsi="Times New Roman" w:cs="Times New Roman"/>
                <w:b/>
                <w:bCs/>
                <w:color w:val="auto"/>
                <w:sz w:val="24"/>
                <w:szCs w:val="24"/>
                <w:highlight w:val="none"/>
                <w:lang w:val="en-US" w:eastAsia="zh-CN"/>
              </w:rPr>
              <w:t>四</w:t>
            </w:r>
            <w:r>
              <w:rPr>
                <w:rFonts w:hint="eastAsia" w:ascii="Times New Roman" w:hAnsi="Times New Roman" w:cs="Times New Roman"/>
                <w:b/>
                <w:bCs/>
                <w:color w:val="auto"/>
                <w:sz w:val="24"/>
                <w:szCs w:val="24"/>
                <w:highlight w:val="none"/>
              </w:rPr>
              <w:t>）大气环境影响评价结论</w:t>
            </w:r>
          </w:p>
          <w:p w14:paraId="10F90107">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本项目位于环境空气质量现状达标区。</w:t>
            </w:r>
            <w:r>
              <w:rPr>
                <w:rFonts w:ascii="Times New Roman" w:hAnsi="Times New Roman" w:cs="Times New Roman"/>
                <w:color w:val="auto"/>
                <w:sz w:val="24"/>
                <w:szCs w:val="24"/>
                <w:highlight w:val="none"/>
              </w:rPr>
              <w:t>本项目为</w:t>
            </w:r>
            <w:r>
              <w:rPr>
                <w:rFonts w:hint="eastAsia" w:ascii="Times New Roman" w:hAnsi="Times New Roman" w:cs="Times New Roman"/>
                <w:color w:val="auto"/>
                <w:sz w:val="24"/>
                <w:szCs w:val="24"/>
                <w:highlight w:val="none"/>
                <w:lang w:val="en-US" w:eastAsia="zh-CN"/>
              </w:rPr>
              <w:t>实验室建设</w:t>
            </w:r>
            <w:r>
              <w:rPr>
                <w:rFonts w:ascii="Times New Roman" w:hAnsi="Times New Roman" w:cs="Times New Roman"/>
                <w:color w:val="auto"/>
                <w:sz w:val="24"/>
                <w:szCs w:val="24"/>
                <w:highlight w:val="none"/>
              </w:rPr>
              <w:t>项目，运营期</w:t>
            </w:r>
            <w:r>
              <w:rPr>
                <w:rFonts w:hint="eastAsia" w:ascii="Times New Roman" w:hAnsi="Times New Roman" w:cs="Times New Roman"/>
                <w:color w:val="auto"/>
                <w:sz w:val="24"/>
                <w:szCs w:val="24"/>
                <w:highlight w:val="none"/>
              </w:rPr>
              <w:t>产生的废气主要有：</w:t>
            </w:r>
            <w:r>
              <w:rPr>
                <w:rFonts w:hint="eastAsia" w:ascii="宋体" w:hAnsi="宋体" w:eastAsia="宋体" w:cs="宋体"/>
                <w:color w:val="auto"/>
                <w:sz w:val="24"/>
                <w:szCs w:val="24"/>
                <w:highlight w:val="none"/>
                <w:lang w:val="en-US" w:eastAsia="zh-CN"/>
              </w:rPr>
              <w:t>实验室废气</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rPr>
              <w:t>本项目在采取环评提出的各项治理措施后可实现废气的稳定达标排放，对区域大气环境影响甚微，对周围大气环境保护目标影响较小。</w:t>
            </w:r>
          </w:p>
          <w:p w14:paraId="6C9A7464">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因此，本项目的建成运营对区域环境空气质量的影响可接受。</w:t>
            </w:r>
          </w:p>
          <w:p w14:paraId="1675F164">
            <w:pPr>
              <w:spacing w:line="360" w:lineRule="auto"/>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二、运营期水</w:t>
            </w:r>
            <w:r>
              <w:rPr>
                <w:rFonts w:hint="eastAsia" w:ascii="Times New Roman" w:hAnsi="Times New Roman" w:cs="Times New Roman"/>
                <w:b/>
                <w:color w:val="auto"/>
                <w:sz w:val="24"/>
                <w:szCs w:val="24"/>
                <w:highlight w:val="none"/>
              </w:rPr>
              <w:t>环境影响和保护措施</w:t>
            </w:r>
          </w:p>
          <w:p w14:paraId="72F55014">
            <w:pPr>
              <w:spacing w:line="360" w:lineRule="auto"/>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（一）产生环节、污染物种类和产生量核算</w:t>
            </w:r>
          </w:p>
          <w:p w14:paraId="44E2719C">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本项目营运期产生的废水主要包括</w:t>
            </w:r>
            <w:r>
              <w:rPr>
                <w:rFonts w:hint="eastAsia" w:ascii="Times New Roman" w:hAnsi="Times New Roman" w:cs="Times New Roman"/>
                <w:color w:val="auto"/>
                <w:sz w:val="24"/>
                <w:szCs w:val="24"/>
                <w:highlight w:val="none"/>
                <w:lang w:val="en-US" w:eastAsia="zh-CN"/>
              </w:rPr>
              <w:t>实验废水和实验清洗废水</w:t>
            </w:r>
            <w:r>
              <w:rPr>
                <w:rFonts w:hint="eastAsia" w:ascii="Times New Roman" w:hAnsi="Times New Roman" w:cs="Times New Roman"/>
                <w:color w:val="auto"/>
                <w:sz w:val="24"/>
                <w:szCs w:val="24"/>
                <w:highlight w:val="none"/>
              </w:rPr>
              <w:t>。</w:t>
            </w:r>
          </w:p>
          <w:p w14:paraId="62FC73F6">
            <w:pPr>
              <w:spacing w:line="360" w:lineRule="auto"/>
              <w:ind w:firstLine="482" w:firstLineChars="200"/>
              <w:rPr>
                <w:rFonts w:hint="default" w:ascii="Times New Roman" w:hAnsi="Times New Roman" w:cs="Times New Roman" w:eastAsiaTheme="minorEastAsia"/>
                <w:b/>
                <w:color w:val="auto"/>
                <w:sz w:val="24"/>
                <w:szCs w:val="24"/>
                <w:highlight w:val="none"/>
                <w:lang w:val="en-US" w:eastAsia="zh-CN"/>
              </w:rPr>
            </w:pP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lang w:val="en-US" w:eastAsia="zh-CN"/>
              </w:rPr>
              <w:t>1</w:t>
            </w: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lang w:val="en-US" w:eastAsia="zh-CN"/>
              </w:rPr>
              <w:t>水污染物产生情况</w:t>
            </w:r>
          </w:p>
          <w:p w14:paraId="49664AF9">
            <w:pPr>
              <w:spacing w:line="360" w:lineRule="auto"/>
              <w:ind w:firstLine="482" w:firstLineChars="200"/>
              <w:rPr>
                <w:rFonts w:hint="eastAsia"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①实验废液</w:t>
            </w:r>
          </w:p>
          <w:p w14:paraId="0F24C5A7">
            <w:pPr>
              <w:spacing w:line="360" w:lineRule="auto"/>
              <w:ind w:firstLine="480" w:firstLineChars="200"/>
              <w:rPr>
                <w:rFonts w:hint="default" w:ascii="Times New Roman" w:hAnsi="Times New Roman" w:cs="Times New Roman"/>
                <w:b w:val="0"/>
                <w:bCs/>
                <w:color w:val="auto"/>
                <w:sz w:val="24"/>
                <w:szCs w:val="24"/>
                <w:highlight w:val="none"/>
                <w:lang w:val="en-US"/>
              </w:rPr>
            </w:pPr>
            <w:r>
              <w:rPr>
                <w:rFonts w:hint="eastAsia" w:ascii="Times New Roman" w:hAnsi="Times New Roman" w:cs="Times New Roman"/>
                <w:b w:val="0"/>
                <w:bCs/>
                <w:color w:val="auto"/>
                <w:sz w:val="24"/>
                <w:szCs w:val="24"/>
                <w:highlight w:val="none"/>
                <w:lang w:val="en-US" w:eastAsia="zh-CN"/>
              </w:rPr>
              <w:t>实验废液产生量为0.2694m</w:t>
            </w:r>
            <w:r>
              <w:rPr>
                <w:rFonts w:hint="eastAsia" w:ascii="Times New Roman" w:hAnsi="Times New Roman" w:cs="Times New Roman"/>
                <w:b w:val="0"/>
                <w:bCs/>
                <w:color w:val="auto"/>
                <w:sz w:val="24"/>
                <w:szCs w:val="24"/>
                <w:highlight w:val="none"/>
                <w:vertAlign w:val="superscript"/>
                <w:lang w:val="en-US" w:eastAsia="zh-CN"/>
              </w:rPr>
              <w:t>3</w:t>
            </w:r>
            <w:r>
              <w:rPr>
                <w:rFonts w:hint="eastAsia" w:ascii="Times New Roman" w:hAnsi="Times New Roman" w:cs="Times New Roman"/>
                <w:b w:val="0"/>
                <w:bCs/>
                <w:color w:val="auto"/>
                <w:sz w:val="24"/>
                <w:szCs w:val="24"/>
                <w:highlight w:val="none"/>
                <w:lang w:val="en-US" w:eastAsia="zh-CN"/>
              </w:rPr>
              <w:t>/a，实验废液均做危废处理，统一用带盖废液桶收集后暂存于危废暂存间，定期交有危废处理资质单位清运处置。</w:t>
            </w:r>
          </w:p>
          <w:p w14:paraId="32DE02CC">
            <w:pPr>
              <w:spacing w:line="360" w:lineRule="auto"/>
              <w:ind w:firstLine="482" w:firstLineChars="200"/>
              <w:rPr>
                <w:rFonts w:hint="eastAsia"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②实验前3次清洗废水</w:t>
            </w:r>
          </w:p>
          <w:p w14:paraId="61091BCF">
            <w:pPr>
              <w:spacing w:line="360" w:lineRule="auto"/>
              <w:ind w:firstLine="480" w:firstLineChars="200"/>
              <w:rPr>
                <w:rFonts w:hint="eastAsia"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前3次清洗废水产生量为2.744m</w:t>
            </w:r>
            <w:r>
              <w:rPr>
                <w:rFonts w:hint="eastAsia" w:ascii="Times New Roman" w:hAnsi="Times New Roman" w:cs="Times New Roman"/>
                <w:b w:val="0"/>
                <w:bCs/>
                <w:color w:val="auto"/>
                <w:sz w:val="24"/>
                <w:szCs w:val="24"/>
                <w:highlight w:val="none"/>
                <w:vertAlign w:val="superscript"/>
                <w:lang w:val="en-US" w:eastAsia="zh-CN"/>
              </w:rPr>
              <w:t>3</w:t>
            </w:r>
            <w:r>
              <w:rPr>
                <w:rFonts w:hint="eastAsia" w:ascii="Times New Roman" w:hAnsi="Times New Roman" w:cs="Times New Roman"/>
                <w:b w:val="0"/>
                <w:bCs/>
                <w:color w:val="auto"/>
                <w:sz w:val="24"/>
                <w:szCs w:val="24"/>
                <w:highlight w:val="none"/>
                <w:lang w:val="en-US" w:eastAsia="zh-CN"/>
              </w:rPr>
              <w:t>/a，采用带盖废液桶收集后暂存于危废暂存间，定期交有危废处理资质单位清运处置。</w:t>
            </w:r>
          </w:p>
          <w:p w14:paraId="6B6EFCDC">
            <w:pPr>
              <w:spacing w:line="360" w:lineRule="auto"/>
              <w:ind w:firstLine="482" w:firstLineChars="200"/>
              <w:rPr>
                <w:rFonts w:hint="eastAsia" w:ascii="Times New Roman" w:hAnsi="Times New Roman" w:cs="Times New Roman"/>
                <w:b/>
                <w:color w:val="auto"/>
                <w:sz w:val="24"/>
                <w:szCs w:val="24"/>
                <w:highlight w:val="none"/>
                <w:lang w:val="en-US" w:eastAsia="zh-CN"/>
              </w:rPr>
            </w:pPr>
            <w:r>
              <w:rPr>
                <w:rFonts w:hint="eastAsia" w:ascii="Times New Roman" w:hAnsi="Times New Roman" w:cs="Times New Roman"/>
                <w:b/>
                <w:color w:val="auto"/>
                <w:sz w:val="24"/>
                <w:szCs w:val="24"/>
                <w:highlight w:val="none"/>
                <w:lang w:val="en-US" w:eastAsia="zh-CN"/>
              </w:rPr>
              <w:t>③实验辅助废水</w:t>
            </w:r>
          </w:p>
          <w:p w14:paraId="736121D2">
            <w:pPr>
              <w:spacing w:line="360" w:lineRule="auto"/>
              <w:ind w:firstLine="480" w:firstLineChars="200"/>
              <w:rPr>
                <w:rFonts w:hint="eastAsia" w:ascii="Times New Roman" w:hAnsi="Times New Roman" w:cs="Times New Roman" w:eastAsiaTheme="minorEastAsia"/>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实验辅助废水产生量约为5.67m</w:t>
            </w:r>
            <w:r>
              <w:rPr>
                <w:rFonts w:hint="eastAsia" w:ascii="Times New Roman" w:hAnsi="Times New Roman" w:cs="Times New Roman"/>
                <w:b w:val="0"/>
                <w:bCs/>
                <w:color w:val="auto"/>
                <w:sz w:val="24"/>
                <w:szCs w:val="24"/>
                <w:highlight w:val="none"/>
                <w:vertAlign w:val="superscript"/>
                <w:lang w:val="en-US" w:eastAsia="zh-CN"/>
              </w:rPr>
              <w:t>3</w:t>
            </w:r>
            <w:r>
              <w:rPr>
                <w:rFonts w:hint="eastAsia" w:ascii="Times New Roman" w:hAnsi="Times New Roman" w:cs="Times New Roman"/>
                <w:b w:val="0"/>
                <w:bCs/>
                <w:color w:val="auto"/>
                <w:sz w:val="24"/>
                <w:szCs w:val="24"/>
                <w:highlight w:val="none"/>
                <w:lang w:val="en-US" w:eastAsia="zh-CN"/>
              </w:rPr>
              <w:t>/a，</w:t>
            </w:r>
            <w:r>
              <w:rPr>
                <w:rFonts w:hint="eastAsia" w:ascii="Times New Roman" w:hAnsi="Times New Roman" w:cs="Times New Roman"/>
                <w:color w:val="auto"/>
                <w:sz w:val="21"/>
                <w:szCs w:val="21"/>
                <w:highlight w:val="none"/>
                <w:vertAlign w:val="baseline"/>
                <w:lang w:val="en-US" w:eastAsia="zh-CN"/>
              </w:rPr>
              <w:t>进入酸碱中和池中和后，依托已建预处理处理后排入市政污水管网。</w:t>
            </w:r>
            <w:r>
              <w:rPr>
                <w:rFonts w:hint="eastAsia" w:ascii="Times New Roman" w:hAnsi="Times New Roman" w:cs="Times New Roman"/>
                <w:color w:val="auto"/>
                <w:sz w:val="24"/>
                <w:szCs w:val="24"/>
                <w:highlight w:val="none"/>
              </w:rPr>
              <w:t>主要污染物为pH、SS、COD、BOD</w:t>
            </w:r>
            <w:r>
              <w:rPr>
                <w:rFonts w:hint="eastAsia" w:ascii="Times New Roman" w:hAnsi="Times New Roman" w:cs="Times New Roman"/>
                <w:color w:val="auto"/>
                <w:sz w:val="24"/>
                <w:szCs w:val="24"/>
                <w:highlight w:val="none"/>
                <w:vertAlign w:val="subscript"/>
              </w:rPr>
              <w:t>5</w:t>
            </w:r>
            <w:r>
              <w:rPr>
                <w:rFonts w:hint="eastAsia" w:ascii="Times New Roman" w:hAnsi="Times New Roman" w:cs="Times New Roman"/>
                <w:color w:val="auto"/>
                <w:sz w:val="24"/>
                <w:szCs w:val="24"/>
                <w:highlight w:val="none"/>
              </w:rPr>
              <w:t>、氨氮等</w:t>
            </w:r>
            <w:r>
              <w:rPr>
                <w:rFonts w:hint="eastAsia" w:ascii="Times New Roman" w:hAnsi="Times New Roman" w:cs="Times New Roman"/>
                <w:color w:val="auto"/>
                <w:sz w:val="24"/>
                <w:szCs w:val="24"/>
                <w:highlight w:val="none"/>
                <w:lang w:eastAsia="zh-CN"/>
              </w:rPr>
              <w:t>。</w:t>
            </w:r>
          </w:p>
          <w:p w14:paraId="28ACC03B">
            <w:pPr>
              <w:spacing w:line="360" w:lineRule="auto"/>
              <w:ind w:firstLine="482" w:firstLineChars="200"/>
              <w:rPr>
                <w:rFonts w:hint="eastAsia" w:ascii="Times New Roman" w:hAnsi="Times New Roman" w:cs="Times New Roman"/>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④第</w:t>
            </w:r>
            <w:r>
              <w:rPr>
                <w:rFonts w:hint="eastAsia" w:ascii="Times New Roman" w:hAnsi="Times New Roman" w:cs="Times New Roman"/>
                <w:b/>
                <w:bCs w:val="0"/>
                <w:color w:val="auto"/>
                <w:sz w:val="24"/>
                <w:szCs w:val="24"/>
                <w:highlight w:val="none"/>
                <w:lang w:val="en-US" w:eastAsia="zh-CN"/>
              </w:rPr>
              <w:t>4次及以后清洗废水</w:t>
            </w:r>
          </w:p>
          <w:p w14:paraId="187ED529">
            <w:pPr>
              <w:spacing w:line="360" w:lineRule="auto"/>
              <w:ind w:firstLine="480" w:firstLineChars="200"/>
              <w:rPr>
                <w:rFonts w:hint="default"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第4次及以后清洗废水产生量约为1.14m</w:t>
            </w:r>
            <w:r>
              <w:rPr>
                <w:rFonts w:hint="eastAsia" w:ascii="Times New Roman" w:hAnsi="Times New Roman" w:cs="Times New Roman"/>
                <w:b w:val="0"/>
                <w:bCs/>
                <w:color w:val="auto"/>
                <w:sz w:val="24"/>
                <w:szCs w:val="24"/>
                <w:highlight w:val="none"/>
                <w:vertAlign w:val="superscript"/>
                <w:lang w:val="en-US" w:eastAsia="zh-CN"/>
              </w:rPr>
              <w:t>3</w:t>
            </w:r>
            <w:r>
              <w:rPr>
                <w:rFonts w:hint="eastAsia" w:ascii="Times New Roman" w:hAnsi="Times New Roman" w:cs="Times New Roman"/>
                <w:b w:val="0"/>
                <w:bCs/>
                <w:color w:val="auto"/>
                <w:sz w:val="24"/>
                <w:szCs w:val="24"/>
                <w:highlight w:val="none"/>
                <w:lang w:val="en-US" w:eastAsia="zh-CN"/>
              </w:rPr>
              <w:t>/a，</w:t>
            </w:r>
            <w:r>
              <w:rPr>
                <w:rFonts w:hint="eastAsia" w:ascii="Times New Roman" w:hAnsi="Times New Roman" w:cs="Times New Roman"/>
                <w:color w:val="auto"/>
                <w:sz w:val="21"/>
                <w:szCs w:val="21"/>
                <w:highlight w:val="none"/>
                <w:vertAlign w:val="baseline"/>
                <w:lang w:val="en-US" w:eastAsia="zh-CN"/>
              </w:rPr>
              <w:t>进入酸碱中和池中和后，依托已建预处理处理后排入市政污水管网。</w:t>
            </w:r>
            <w:r>
              <w:rPr>
                <w:rFonts w:hint="eastAsia" w:ascii="Times New Roman" w:hAnsi="Times New Roman" w:cs="Times New Roman"/>
                <w:color w:val="auto"/>
                <w:sz w:val="24"/>
                <w:szCs w:val="24"/>
                <w:highlight w:val="none"/>
              </w:rPr>
              <w:t>主要污染物为pH、SS、COD、BOD</w:t>
            </w:r>
            <w:r>
              <w:rPr>
                <w:rFonts w:hint="eastAsia" w:ascii="Times New Roman" w:hAnsi="Times New Roman" w:cs="Times New Roman"/>
                <w:color w:val="auto"/>
                <w:sz w:val="24"/>
                <w:szCs w:val="24"/>
                <w:highlight w:val="none"/>
                <w:vertAlign w:val="subscript"/>
              </w:rPr>
              <w:t>5</w:t>
            </w:r>
            <w:r>
              <w:rPr>
                <w:rFonts w:hint="eastAsia" w:ascii="Times New Roman" w:hAnsi="Times New Roman" w:cs="Times New Roman"/>
                <w:color w:val="auto"/>
                <w:sz w:val="24"/>
                <w:szCs w:val="24"/>
                <w:highlight w:val="none"/>
              </w:rPr>
              <w:t>、氨氮等</w:t>
            </w:r>
            <w:r>
              <w:rPr>
                <w:rFonts w:hint="eastAsia" w:ascii="Times New Roman" w:hAnsi="Times New Roman" w:cs="Times New Roman"/>
                <w:color w:val="auto"/>
                <w:sz w:val="24"/>
                <w:szCs w:val="24"/>
                <w:highlight w:val="none"/>
                <w:lang w:eastAsia="zh-CN"/>
              </w:rPr>
              <w:t>。</w:t>
            </w:r>
          </w:p>
          <w:p w14:paraId="73D68195">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rPr>
              <w:t>根据《实验室废水综合处理技术研究》（南开大学硕士论文，作者秦承华）对南开大学化学实验室废水47个水样分析结果，实验室外排废水中的主要污染物及其产生浓度分别为COD为500mg/L，BOD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为200mg/L，SS为250mg/L，氨氮为30mg/L。本项目为</w:t>
            </w:r>
            <w:r>
              <w:rPr>
                <w:rFonts w:hint="eastAsia" w:ascii="Times New Roman" w:hAnsi="Times New Roman" w:cs="Times New Roman"/>
                <w:color w:val="auto"/>
                <w:sz w:val="24"/>
                <w:lang w:val="en-US" w:eastAsia="zh-CN"/>
              </w:rPr>
              <w:t>初中</w:t>
            </w:r>
            <w:r>
              <w:rPr>
                <w:rFonts w:hint="default" w:ascii="Times New Roman" w:hAnsi="Times New Roman" w:cs="Times New Roman"/>
                <w:color w:val="auto"/>
                <w:sz w:val="24"/>
              </w:rPr>
              <w:t>教育，由于</w:t>
            </w:r>
            <w:r>
              <w:rPr>
                <w:rFonts w:hint="eastAsia" w:ascii="Times New Roman" w:hAnsi="Times New Roman" w:cs="Times New Roman"/>
                <w:color w:val="auto"/>
                <w:sz w:val="24"/>
                <w:lang w:val="en-US" w:eastAsia="zh-CN"/>
              </w:rPr>
              <w:t>初中</w:t>
            </w:r>
            <w:r>
              <w:rPr>
                <w:rFonts w:hint="default" w:ascii="Times New Roman" w:hAnsi="Times New Roman" w:cs="Times New Roman"/>
                <w:color w:val="auto"/>
                <w:sz w:val="24"/>
              </w:rPr>
              <w:t>教学实验，药品用量较小，其水质比经南开大学化学实验室较为简单，根据其试剂，学校废水主要以酸、碱、盐成分为主，经中和沉淀预处理后可视作普通废水外排。</w:t>
            </w: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实验室</w:t>
            </w:r>
            <w:r>
              <w:rPr>
                <w:rFonts w:hint="default" w:ascii="Times New Roman" w:hAnsi="Times New Roman" w:cs="Times New Roman"/>
                <w:color w:val="auto"/>
                <w:sz w:val="24"/>
                <w:szCs w:val="24"/>
                <w:highlight w:val="none"/>
              </w:rPr>
              <w:t>水质情况如下表所示。</w:t>
            </w:r>
          </w:p>
          <w:p w14:paraId="3EA3C449">
            <w:pPr>
              <w:pStyle w:val="117"/>
              <w:bidi w:val="0"/>
              <w:rPr>
                <w:color w:val="auto"/>
              </w:rPr>
            </w:pPr>
            <w:r>
              <w:rPr>
                <w:rFonts w:hint="eastAsia"/>
                <w:color w:val="auto"/>
              </w:rPr>
              <w:t>本项目废水水质情况一览表    单位：mg/L</w:t>
            </w:r>
          </w:p>
          <w:tbl>
            <w:tblPr>
              <w:tblStyle w:val="4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474"/>
              <w:gridCol w:w="1474"/>
              <w:gridCol w:w="1412"/>
              <w:gridCol w:w="1474"/>
              <w:gridCol w:w="1072"/>
            </w:tblGrid>
            <w:tr w14:paraId="4BB7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pct"/>
                  <w:tcBorders>
                    <w:top w:val="single" w:color="auto" w:sz="12" w:space="0"/>
                  </w:tcBorders>
                  <w:vAlign w:val="center"/>
                </w:tcPr>
                <w:p w14:paraId="607F7305">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指标</w:t>
                  </w:r>
                </w:p>
              </w:tc>
              <w:tc>
                <w:tcPr>
                  <w:tcW w:w="837" w:type="pct"/>
                  <w:tcBorders>
                    <w:top w:val="single" w:color="auto" w:sz="12" w:space="0"/>
                  </w:tcBorders>
                  <w:vAlign w:val="center"/>
                </w:tcPr>
                <w:p w14:paraId="041A60D9">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COD</w:t>
                  </w:r>
                </w:p>
              </w:tc>
              <w:tc>
                <w:tcPr>
                  <w:tcW w:w="837" w:type="pct"/>
                  <w:tcBorders>
                    <w:top w:val="single" w:color="auto" w:sz="12" w:space="0"/>
                  </w:tcBorders>
                  <w:vAlign w:val="center"/>
                </w:tcPr>
                <w:p w14:paraId="282E28ED">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BOD</w:t>
                  </w:r>
                </w:p>
              </w:tc>
              <w:tc>
                <w:tcPr>
                  <w:tcW w:w="802" w:type="pct"/>
                  <w:tcBorders>
                    <w:top w:val="single" w:color="auto" w:sz="12" w:space="0"/>
                  </w:tcBorders>
                  <w:vAlign w:val="center"/>
                </w:tcPr>
                <w:p w14:paraId="1F8564BE">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SS</w:t>
                  </w:r>
                </w:p>
              </w:tc>
              <w:tc>
                <w:tcPr>
                  <w:tcW w:w="837" w:type="pct"/>
                  <w:tcBorders>
                    <w:top w:val="single" w:color="auto" w:sz="12" w:space="0"/>
                  </w:tcBorders>
                  <w:vAlign w:val="center"/>
                </w:tcPr>
                <w:p w14:paraId="1DBE8241">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NH</w:t>
                  </w:r>
                  <w:r>
                    <w:rPr>
                      <w:rFonts w:ascii="Times New Roman" w:hAnsi="Times New Roman" w:cs="Times New Roman"/>
                      <w:b/>
                      <w:bCs/>
                      <w:color w:val="auto"/>
                      <w:szCs w:val="21"/>
                      <w:highlight w:val="none"/>
                      <w:vertAlign w:val="subscript"/>
                    </w:rPr>
                    <w:t>3</w:t>
                  </w:r>
                  <w:r>
                    <w:rPr>
                      <w:rFonts w:ascii="Times New Roman" w:hAnsi="Times New Roman" w:cs="Times New Roman"/>
                      <w:b/>
                      <w:bCs/>
                      <w:color w:val="auto"/>
                      <w:szCs w:val="21"/>
                      <w:highlight w:val="none"/>
                    </w:rPr>
                    <w:t>-N</w:t>
                  </w:r>
                </w:p>
              </w:tc>
              <w:tc>
                <w:tcPr>
                  <w:tcW w:w="609" w:type="pct"/>
                  <w:tcBorders>
                    <w:top w:val="single" w:color="auto" w:sz="12" w:space="0"/>
                  </w:tcBorders>
                  <w:vAlign w:val="center"/>
                </w:tcPr>
                <w:p w14:paraId="5B6DEBAC">
                  <w:pPr>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TP</w:t>
                  </w:r>
                </w:p>
              </w:tc>
            </w:tr>
            <w:tr w14:paraId="646B2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pct"/>
                  <w:tcBorders>
                    <w:left w:val="nil"/>
                    <w:bottom w:val="single" w:color="auto" w:sz="12" w:space="0"/>
                  </w:tcBorders>
                  <w:vAlign w:val="center"/>
                </w:tcPr>
                <w:p w14:paraId="056BCB28">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污水</w:t>
                  </w:r>
                  <w:r>
                    <w:rPr>
                      <w:rFonts w:ascii="Times New Roman" w:hAnsi="Times New Roman" w:cs="Times New Roman"/>
                      <w:color w:val="auto"/>
                      <w:szCs w:val="21"/>
                      <w:highlight w:val="none"/>
                    </w:rPr>
                    <w:t>浓度</w:t>
                  </w:r>
                </w:p>
              </w:tc>
              <w:tc>
                <w:tcPr>
                  <w:tcW w:w="837" w:type="pct"/>
                  <w:tcBorders>
                    <w:bottom w:val="single" w:color="auto" w:sz="12" w:space="0"/>
                  </w:tcBorders>
                  <w:vAlign w:val="center"/>
                </w:tcPr>
                <w:p w14:paraId="436A5A54">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300</w:t>
                  </w:r>
                </w:p>
              </w:tc>
              <w:tc>
                <w:tcPr>
                  <w:tcW w:w="837" w:type="pct"/>
                  <w:tcBorders>
                    <w:bottom w:val="single" w:color="auto" w:sz="12" w:space="0"/>
                  </w:tcBorders>
                  <w:vAlign w:val="center"/>
                </w:tcPr>
                <w:p w14:paraId="642636CC">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150</w:t>
                  </w:r>
                </w:p>
              </w:tc>
              <w:tc>
                <w:tcPr>
                  <w:tcW w:w="802" w:type="pct"/>
                  <w:tcBorders>
                    <w:bottom w:val="single" w:color="auto" w:sz="12" w:space="0"/>
                  </w:tcBorders>
                  <w:vAlign w:val="center"/>
                </w:tcPr>
                <w:p w14:paraId="3CA2E86E">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120</w:t>
                  </w:r>
                </w:p>
              </w:tc>
              <w:tc>
                <w:tcPr>
                  <w:tcW w:w="837" w:type="pct"/>
                  <w:tcBorders>
                    <w:bottom w:val="single" w:color="auto" w:sz="12" w:space="0"/>
                  </w:tcBorders>
                  <w:vAlign w:val="center"/>
                </w:tcPr>
                <w:p w14:paraId="723A2D9E">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20</w:t>
                  </w:r>
                </w:p>
              </w:tc>
              <w:tc>
                <w:tcPr>
                  <w:tcW w:w="609" w:type="pct"/>
                  <w:tcBorders>
                    <w:bottom w:val="single" w:color="auto" w:sz="12" w:space="0"/>
                  </w:tcBorders>
                  <w:vAlign w:val="center"/>
                </w:tcPr>
                <w:p w14:paraId="4DEA275A">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10</w:t>
                  </w:r>
                </w:p>
              </w:tc>
            </w:tr>
          </w:tbl>
          <w:p w14:paraId="5D2777CA">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w:t>
            </w:r>
            <w:r>
              <w:rPr>
                <w:rFonts w:ascii="Times New Roman" w:hAnsi="Times New Roman" w:cs="Times New Roman"/>
                <w:color w:val="auto"/>
                <w:sz w:val="24"/>
                <w:szCs w:val="24"/>
                <w:highlight w:val="none"/>
              </w:rPr>
              <w:t>废水污染物种类及产生量见下表</w:t>
            </w:r>
            <w:r>
              <w:rPr>
                <w:rFonts w:hint="eastAsia" w:ascii="Times New Roman" w:hAnsi="Times New Roman" w:cs="Times New Roman"/>
                <w:color w:val="auto"/>
                <w:sz w:val="24"/>
                <w:szCs w:val="24"/>
                <w:highlight w:val="none"/>
              </w:rPr>
              <w:t>。</w:t>
            </w:r>
          </w:p>
          <w:p w14:paraId="06B1325E">
            <w:pPr>
              <w:pStyle w:val="117"/>
              <w:bidi w:val="0"/>
              <w:rPr>
                <w:color w:val="auto"/>
              </w:rPr>
            </w:pPr>
            <w:r>
              <w:rPr>
                <w:color w:val="auto"/>
              </w:rPr>
              <w:t>项目废水污染物种类及产生量情况</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1823"/>
              <w:gridCol w:w="1687"/>
              <w:gridCol w:w="1602"/>
              <w:gridCol w:w="1973"/>
            </w:tblGrid>
            <w:tr w14:paraId="5EA23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0" w:type="pct"/>
                  <w:vMerge w:val="restart"/>
                  <w:tcBorders>
                    <w:tl2br w:val="nil"/>
                    <w:tr2bl w:val="nil"/>
                  </w:tcBorders>
                  <w:shd w:val="clear" w:color="auto" w:fill="auto"/>
                  <w:vAlign w:val="center"/>
                </w:tcPr>
                <w:p w14:paraId="7241F98B">
                  <w:pPr>
                    <w:keepNext w:val="0"/>
                    <w:keepLines w:val="0"/>
                    <w:pageBreakBefore w:val="0"/>
                    <w:widowControl/>
                    <w:kinsoku/>
                    <w:wordWrap/>
                    <w:overflowPunct/>
                    <w:topLinePunct w:val="0"/>
                    <w:autoSpaceDE/>
                    <w:autoSpaceDN/>
                    <w:bidi w:val="0"/>
                    <w:adjustRightInd/>
                    <w:snapToGrid/>
                    <w:jc w:val="center"/>
                    <w:textAlignment w:val="center"/>
                    <w:rPr>
                      <w:rFonts w:ascii="宋体" w:hAnsi="宋体" w:eastAsia="宋体" w:cs="宋体"/>
                      <w:b/>
                      <w:bCs/>
                      <w:color w:val="auto"/>
                      <w:szCs w:val="21"/>
                      <w:highlight w:val="none"/>
                    </w:rPr>
                  </w:pPr>
                  <w:r>
                    <w:rPr>
                      <w:rFonts w:hint="eastAsia" w:ascii="宋体" w:hAnsi="宋体" w:eastAsia="宋体" w:cs="宋体"/>
                      <w:b/>
                      <w:bCs/>
                      <w:color w:val="auto"/>
                      <w:kern w:val="0"/>
                      <w:szCs w:val="21"/>
                      <w:highlight w:val="none"/>
                      <w:lang w:bidi="ar"/>
                    </w:rPr>
                    <w:t>废水量</w:t>
                  </w:r>
                </w:p>
              </w:tc>
              <w:tc>
                <w:tcPr>
                  <w:tcW w:w="1034" w:type="pct"/>
                  <w:vMerge w:val="restart"/>
                  <w:tcBorders>
                    <w:tl2br w:val="nil"/>
                    <w:tr2bl w:val="nil"/>
                  </w:tcBorders>
                  <w:shd w:val="clear" w:color="auto" w:fill="auto"/>
                  <w:vAlign w:val="center"/>
                </w:tcPr>
                <w:p w14:paraId="7AA60B8F">
                  <w:pPr>
                    <w:keepNext w:val="0"/>
                    <w:keepLines w:val="0"/>
                    <w:pageBreakBefore w:val="0"/>
                    <w:widowControl/>
                    <w:kinsoku/>
                    <w:wordWrap/>
                    <w:overflowPunct/>
                    <w:topLinePunct w:val="0"/>
                    <w:autoSpaceDE/>
                    <w:autoSpaceDN/>
                    <w:bidi w:val="0"/>
                    <w:adjustRightInd/>
                    <w:snapToGrid/>
                    <w:jc w:val="center"/>
                    <w:textAlignment w:val="center"/>
                    <w:rPr>
                      <w:rFonts w:ascii="宋体" w:hAnsi="宋体" w:eastAsia="宋体" w:cs="宋体"/>
                      <w:b/>
                      <w:bCs/>
                      <w:color w:val="auto"/>
                      <w:szCs w:val="21"/>
                      <w:highlight w:val="none"/>
                    </w:rPr>
                  </w:pPr>
                  <w:r>
                    <w:rPr>
                      <w:rFonts w:hint="eastAsia" w:ascii="宋体" w:hAnsi="宋体" w:eastAsia="宋体" w:cs="宋体"/>
                      <w:b/>
                      <w:bCs/>
                      <w:color w:val="auto"/>
                      <w:kern w:val="0"/>
                      <w:szCs w:val="21"/>
                      <w:highlight w:val="none"/>
                      <w:lang w:bidi="ar"/>
                    </w:rPr>
                    <w:t>污染物种类</w:t>
                  </w:r>
                </w:p>
              </w:tc>
              <w:tc>
                <w:tcPr>
                  <w:tcW w:w="2985" w:type="pct"/>
                  <w:gridSpan w:val="3"/>
                  <w:tcBorders>
                    <w:tl2br w:val="nil"/>
                    <w:tr2bl w:val="nil"/>
                  </w:tcBorders>
                  <w:shd w:val="clear" w:color="auto" w:fill="auto"/>
                  <w:vAlign w:val="center"/>
                </w:tcPr>
                <w:p w14:paraId="4272C622">
                  <w:pPr>
                    <w:keepNext w:val="0"/>
                    <w:keepLines w:val="0"/>
                    <w:pageBreakBefore w:val="0"/>
                    <w:widowControl/>
                    <w:kinsoku/>
                    <w:wordWrap/>
                    <w:overflowPunct/>
                    <w:topLinePunct w:val="0"/>
                    <w:autoSpaceDE/>
                    <w:autoSpaceDN/>
                    <w:bidi w:val="0"/>
                    <w:adjustRightInd/>
                    <w:snapToGrid/>
                    <w:jc w:val="center"/>
                    <w:textAlignment w:val="center"/>
                    <w:rPr>
                      <w:rFonts w:ascii="宋体" w:hAnsi="宋体" w:eastAsia="宋体" w:cs="宋体"/>
                      <w:b/>
                      <w:bCs/>
                      <w:color w:val="auto"/>
                      <w:szCs w:val="21"/>
                      <w:highlight w:val="none"/>
                    </w:rPr>
                  </w:pPr>
                  <w:r>
                    <w:rPr>
                      <w:rFonts w:hint="eastAsia" w:ascii="宋体" w:hAnsi="宋体" w:eastAsia="宋体" w:cs="宋体"/>
                      <w:b/>
                      <w:bCs/>
                      <w:color w:val="auto"/>
                      <w:kern w:val="0"/>
                      <w:szCs w:val="21"/>
                      <w:highlight w:val="none"/>
                      <w:lang w:bidi="ar"/>
                    </w:rPr>
                    <w:t>污染物产生量</w:t>
                  </w:r>
                </w:p>
              </w:tc>
            </w:tr>
            <w:tr w14:paraId="0BEE4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80" w:type="pct"/>
                  <w:vMerge w:val="continue"/>
                  <w:tcBorders>
                    <w:tl2br w:val="nil"/>
                    <w:tr2bl w:val="nil"/>
                  </w:tcBorders>
                  <w:shd w:val="clear" w:color="auto" w:fill="auto"/>
                  <w:vAlign w:val="center"/>
                </w:tcPr>
                <w:p w14:paraId="23563B9F">
                  <w:pPr>
                    <w:keepNext w:val="0"/>
                    <w:keepLines w:val="0"/>
                    <w:pageBreakBefore w:val="0"/>
                    <w:widowControl/>
                    <w:kinsoku/>
                    <w:wordWrap/>
                    <w:overflowPunct/>
                    <w:topLinePunct w:val="0"/>
                    <w:autoSpaceDE/>
                    <w:autoSpaceDN/>
                    <w:bidi w:val="0"/>
                    <w:adjustRightInd/>
                    <w:snapToGrid/>
                    <w:jc w:val="center"/>
                    <w:rPr>
                      <w:rFonts w:ascii="宋体" w:hAnsi="宋体" w:eastAsia="宋体" w:cs="宋体"/>
                      <w:b/>
                      <w:bCs/>
                      <w:color w:val="auto"/>
                      <w:szCs w:val="21"/>
                      <w:highlight w:val="none"/>
                    </w:rPr>
                  </w:pPr>
                </w:p>
              </w:tc>
              <w:tc>
                <w:tcPr>
                  <w:tcW w:w="1034" w:type="pct"/>
                  <w:vMerge w:val="continue"/>
                  <w:tcBorders>
                    <w:tl2br w:val="nil"/>
                    <w:tr2bl w:val="nil"/>
                  </w:tcBorders>
                  <w:shd w:val="clear" w:color="auto" w:fill="auto"/>
                  <w:vAlign w:val="center"/>
                </w:tcPr>
                <w:p w14:paraId="15B849E7">
                  <w:pPr>
                    <w:keepNext w:val="0"/>
                    <w:keepLines w:val="0"/>
                    <w:pageBreakBefore w:val="0"/>
                    <w:widowControl/>
                    <w:kinsoku/>
                    <w:wordWrap/>
                    <w:overflowPunct/>
                    <w:topLinePunct w:val="0"/>
                    <w:autoSpaceDE/>
                    <w:autoSpaceDN/>
                    <w:bidi w:val="0"/>
                    <w:adjustRightInd/>
                    <w:snapToGrid/>
                    <w:jc w:val="center"/>
                    <w:rPr>
                      <w:rFonts w:ascii="宋体" w:hAnsi="宋体" w:eastAsia="宋体" w:cs="宋体"/>
                      <w:b/>
                      <w:bCs/>
                      <w:color w:val="auto"/>
                      <w:szCs w:val="21"/>
                      <w:highlight w:val="none"/>
                    </w:rPr>
                  </w:pPr>
                </w:p>
              </w:tc>
              <w:tc>
                <w:tcPr>
                  <w:tcW w:w="957" w:type="pct"/>
                  <w:tcBorders>
                    <w:tl2br w:val="nil"/>
                    <w:tr2bl w:val="nil"/>
                  </w:tcBorders>
                  <w:shd w:val="clear" w:color="auto" w:fill="auto"/>
                  <w:vAlign w:val="center"/>
                </w:tcPr>
                <w:p w14:paraId="25328FBF">
                  <w:pPr>
                    <w:keepNext w:val="0"/>
                    <w:keepLines w:val="0"/>
                    <w:pageBreakBefore w:val="0"/>
                    <w:widowControl/>
                    <w:kinsoku/>
                    <w:wordWrap/>
                    <w:overflowPunct/>
                    <w:topLinePunct w:val="0"/>
                    <w:autoSpaceDE/>
                    <w:autoSpaceDN/>
                    <w:bidi w:val="0"/>
                    <w:adjustRightInd/>
                    <w:snapToGrid/>
                    <w:jc w:val="center"/>
                    <w:textAlignment w:val="center"/>
                    <w:rPr>
                      <w:rFonts w:ascii="宋体" w:hAnsi="宋体" w:eastAsia="宋体" w:cs="宋体"/>
                      <w:b/>
                      <w:bCs/>
                      <w:color w:val="auto"/>
                      <w:szCs w:val="21"/>
                      <w:highlight w:val="none"/>
                    </w:rPr>
                  </w:pPr>
                  <w:r>
                    <w:rPr>
                      <w:rFonts w:hint="eastAsia" w:ascii="宋体" w:hAnsi="宋体" w:eastAsia="宋体" w:cs="宋体"/>
                      <w:b/>
                      <w:bCs/>
                      <w:color w:val="auto"/>
                      <w:kern w:val="0"/>
                      <w:szCs w:val="21"/>
                      <w:highlight w:val="none"/>
                      <w:lang w:bidi="ar"/>
                    </w:rPr>
                    <w:t>浓度</w:t>
                  </w:r>
                </w:p>
              </w:tc>
              <w:tc>
                <w:tcPr>
                  <w:tcW w:w="909" w:type="pct"/>
                  <w:tcBorders>
                    <w:tl2br w:val="nil"/>
                    <w:tr2bl w:val="nil"/>
                  </w:tcBorders>
                  <w:shd w:val="clear" w:color="auto" w:fill="auto"/>
                  <w:vAlign w:val="center"/>
                </w:tcPr>
                <w:p w14:paraId="662C1FE1">
                  <w:pPr>
                    <w:keepNext w:val="0"/>
                    <w:keepLines w:val="0"/>
                    <w:pageBreakBefore w:val="0"/>
                    <w:widowControl/>
                    <w:kinsoku/>
                    <w:wordWrap/>
                    <w:overflowPunct/>
                    <w:topLinePunct w:val="0"/>
                    <w:autoSpaceDE/>
                    <w:autoSpaceDN/>
                    <w:bidi w:val="0"/>
                    <w:adjustRightInd/>
                    <w:snapToGrid/>
                    <w:jc w:val="center"/>
                    <w:textAlignment w:val="center"/>
                    <w:rPr>
                      <w:rFonts w:ascii="宋体" w:hAnsi="宋体" w:eastAsia="宋体" w:cs="宋体"/>
                      <w:b/>
                      <w:bCs/>
                      <w:color w:val="auto"/>
                      <w:szCs w:val="21"/>
                      <w:highlight w:val="none"/>
                    </w:rPr>
                  </w:pPr>
                  <w:r>
                    <w:rPr>
                      <w:rFonts w:ascii="宋体" w:hAnsi="宋体" w:eastAsia="宋体" w:cs="宋体"/>
                      <w:b/>
                      <w:bCs/>
                      <w:color w:val="auto"/>
                      <w:szCs w:val="21"/>
                      <w:highlight w:val="none"/>
                    </w:rPr>
                    <w:t>单位</w:t>
                  </w:r>
                </w:p>
              </w:tc>
              <w:tc>
                <w:tcPr>
                  <w:tcW w:w="1118" w:type="pct"/>
                  <w:tcBorders>
                    <w:tl2br w:val="nil"/>
                    <w:tr2bl w:val="nil"/>
                  </w:tcBorders>
                  <w:shd w:val="clear" w:color="auto" w:fill="auto"/>
                  <w:vAlign w:val="center"/>
                </w:tcPr>
                <w:p w14:paraId="65C86E7B">
                  <w:pPr>
                    <w:keepNext w:val="0"/>
                    <w:keepLines w:val="0"/>
                    <w:pageBreakBefore w:val="0"/>
                    <w:widowControl/>
                    <w:kinsoku/>
                    <w:wordWrap/>
                    <w:overflowPunct/>
                    <w:topLinePunct w:val="0"/>
                    <w:autoSpaceDE/>
                    <w:autoSpaceDN/>
                    <w:bidi w:val="0"/>
                    <w:adjustRightInd/>
                    <w:snapToGrid/>
                    <w:jc w:val="center"/>
                    <w:textAlignment w:val="center"/>
                    <w:rPr>
                      <w:rFonts w:ascii="宋体" w:hAnsi="宋体" w:eastAsia="宋体" w:cs="宋体"/>
                      <w:b/>
                      <w:bCs/>
                      <w:color w:val="auto"/>
                      <w:szCs w:val="21"/>
                      <w:highlight w:val="none"/>
                    </w:rPr>
                  </w:pPr>
                  <w:r>
                    <w:rPr>
                      <w:rFonts w:hint="eastAsia" w:ascii="宋体" w:hAnsi="宋体" w:eastAsia="宋体" w:cs="宋体"/>
                      <w:b/>
                      <w:bCs/>
                      <w:color w:val="auto"/>
                      <w:kern w:val="0"/>
                      <w:szCs w:val="21"/>
                      <w:highlight w:val="none"/>
                      <w:lang w:bidi="ar"/>
                    </w:rPr>
                    <w:t>产生量（</w:t>
                  </w:r>
                  <w:r>
                    <w:rPr>
                      <w:rStyle w:val="82"/>
                      <w:rFonts w:eastAsia="宋体"/>
                      <w:color w:val="auto"/>
                      <w:sz w:val="21"/>
                      <w:szCs w:val="21"/>
                      <w:highlight w:val="none"/>
                      <w:lang w:bidi="ar"/>
                    </w:rPr>
                    <w:t>t/a</w:t>
                  </w:r>
                  <w:r>
                    <w:rPr>
                      <w:rStyle w:val="83"/>
                      <w:rFonts w:hint="default"/>
                      <w:color w:val="auto"/>
                      <w:sz w:val="21"/>
                      <w:szCs w:val="21"/>
                      <w:highlight w:val="none"/>
                      <w:lang w:bidi="ar"/>
                    </w:rPr>
                    <w:t>）</w:t>
                  </w:r>
                </w:p>
              </w:tc>
            </w:tr>
            <w:tr w14:paraId="13D6B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980" w:type="pct"/>
                  <w:vMerge w:val="restart"/>
                  <w:tcBorders>
                    <w:tl2br w:val="nil"/>
                    <w:tr2bl w:val="nil"/>
                  </w:tcBorders>
                  <w:shd w:val="clear" w:color="auto" w:fill="auto"/>
                  <w:vAlign w:val="center"/>
                </w:tcPr>
                <w:p w14:paraId="5EE4B9EA">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Cs w:val="21"/>
                      <w:highlight w:val="none"/>
                      <w:lang w:val="en-US" w:eastAsia="zh-CN"/>
                    </w:rPr>
                    <w:t>6.81</w:t>
                  </w:r>
                  <w:r>
                    <w:rPr>
                      <w:rFonts w:ascii="Times New Roman" w:hAnsi="Times New Roman" w:cs="Times New Roman"/>
                      <w:bCs/>
                      <w:color w:val="auto"/>
                      <w:szCs w:val="21"/>
                      <w:highlight w:val="none"/>
                    </w:rPr>
                    <w:t>m</w:t>
                  </w:r>
                  <w:r>
                    <w:rPr>
                      <w:rFonts w:ascii="Times New Roman" w:hAnsi="Times New Roman" w:cs="Times New Roman"/>
                      <w:bCs/>
                      <w:color w:val="auto"/>
                      <w:szCs w:val="21"/>
                      <w:highlight w:val="none"/>
                      <w:vertAlign w:val="superscript"/>
                    </w:rPr>
                    <w:t>3</w:t>
                  </w:r>
                  <w:r>
                    <w:rPr>
                      <w:rFonts w:ascii="Times New Roman" w:hAnsi="Times New Roman" w:cs="Times New Roman"/>
                      <w:bCs/>
                      <w:color w:val="auto"/>
                      <w:szCs w:val="21"/>
                      <w:highlight w:val="none"/>
                    </w:rPr>
                    <w:t>/a</w:t>
                  </w:r>
                </w:p>
              </w:tc>
              <w:tc>
                <w:tcPr>
                  <w:tcW w:w="1034" w:type="pct"/>
                  <w:tcBorders>
                    <w:tl2br w:val="nil"/>
                    <w:tr2bl w:val="nil"/>
                  </w:tcBorders>
                  <w:shd w:val="clear" w:color="auto" w:fill="auto"/>
                  <w:vAlign w:val="center"/>
                </w:tcPr>
                <w:p w14:paraId="43A7013C">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COD</w:t>
                  </w:r>
                </w:p>
              </w:tc>
              <w:tc>
                <w:tcPr>
                  <w:tcW w:w="957" w:type="pct"/>
                  <w:tcBorders>
                    <w:tl2br w:val="nil"/>
                    <w:tr2bl w:val="nil"/>
                  </w:tcBorders>
                  <w:shd w:val="clear" w:color="auto" w:fill="auto"/>
                  <w:vAlign w:val="center"/>
                </w:tcPr>
                <w:p w14:paraId="5B8BC2EB">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300</w:t>
                  </w:r>
                </w:p>
              </w:tc>
              <w:tc>
                <w:tcPr>
                  <w:tcW w:w="909" w:type="pct"/>
                  <w:tcBorders>
                    <w:tl2br w:val="nil"/>
                    <w:tr2bl w:val="nil"/>
                  </w:tcBorders>
                  <w:shd w:val="clear" w:color="auto" w:fill="auto"/>
                  <w:vAlign w:val="center"/>
                </w:tcPr>
                <w:p w14:paraId="3760F935">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mg</w:t>
                  </w:r>
                  <w:r>
                    <w:rPr>
                      <w:rFonts w:hint="eastAsia" w:ascii="Times New Roman" w:hAnsi="Times New Roman" w:eastAsia="宋体" w:cs="Times New Roman"/>
                      <w:color w:val="auto"/>
                      <w:szCs w:val="21"/>
                      <w:highlight w:val="none"/>
                    </w:rPr>
                    <w:t>/L</w:t>
                  </w:r>
                </w:p>
              </w:tc>
              <w:tc>
                <w:tcPr>
                  <w:tcW w:w="2090" w:type="dxa"/>
                  <w:tcBorders>
                    <w:tl2br w:val="nil"/>
                    <w:tr2bl w:val="nil"/>
                  </w:tcBorders>
                  <w:shd w:val="clear" w:color="auto" w:fill="auto"/>
                  <w:vAlign w:val="center"/>
                </w:tcPr>
                <w:p w14:paraId="760F802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2"/>
                      <w:szCs w:val="22"/>
                      <w:u w:val="none"/>
                      <w:lang w:val="en-US" w:eastAsia="zh-CN" w:bidi="ar"/>
                    </w:rPr>
                    <w:t>0.002</w:t>
                  </w:r>
                </w:p>
              </w:tc>
            </w:tr>
            <w:tr w14:paraId="261B09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0" w:type="pct"/>
                  <w:vMerge w:val="continue"/>
                  <w:tcBorders>
                    <w:tl2br w:val="nil"/>
                    <w:tr2bl w:val="nil"/>
                  </w:tcBorders>
                  <w:shd w:val="clear" w:color="auto" w:fill="auto"/>
                  <w:vAlign w:val="center"/>
                </w:tcPr>
                <w:p w14:paraId="5A371D4E">
                  <w:pPr>
                    <w:keepNext w:val="0"/>
                    <w:keepLines w:val="0"/>
                    <w:pageBreakBefore w:val="0"/>
                    <w:widowControl/>
                    <w:kinsoku/>
                    <w:wordWrap/>
                    <w:overflowPunct/>
                    <w:topLinePunct w:val="0"/>
                    <w:autoSpaceDE/>
                    <w:autoSpaceDN/>
                    <w:bidi w:val="0"/>
                    <w:adjustRightInd/>
                    <w:snapToGrid/>
                    <w:jc w:val="center"/>
                    <w:rPr>
                      <w:rFonts w:ascii="宋体" w:hAnsi="宋体" w:eastAsia="宋体" w:cs="宋体"/>
                      <w:color w:val="auto"/>
                      <w:szCs w:val="21"/>
                      <w:highlight w:val="none"/>
                    </w:rPr>
                  </w:pPr>
                </w:p>
              </w:tc>
              <w:tc>
                <w:tcPr>
                  <w:tcW w:w="1034" w:type="pct"/>
                  <w:tcBorders>
                    <w:tl2br w:val="nil"/>
                    <w:tr2bl w:val="nil"/>
                  </w:tcBorders>
                  <w:shd w:val="clear" w:color="auto" w:fill="auto"/>
                  <w:vAlign w:val="center"/>
                </w:tcPr>
                <w:p w14:paraId="183BD74A">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BOD</w:t>
                  </w:r>
                </w:p>
              </w:tc>
              <w:tc>
                <w:tcPr>
                  <w:tcW w:w="957" w:type="pct"/>
                  <w:tcBorders>
                    <w:tl2br w:val="nil"/>
                    <w:tr2bl w:val="nil"/>
                  </w:tcBorders>
                  <w:shd w:val="clear" w:color="auto" w:fill="auto"/>
                  <w:vAlign w:val="center"/>
                </w:tcPr>
                <w:p w14:paraId="438EFC18">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150</w:t>
                  </w:r>
                </w:p>
              </w:tc>
              <w:tc>
                <w:tcPr>
                  <w:tcW w:w="909" w:type="pct"/>
                  <w:tcBorders>
                    <w:tl2br w:val="nil"/>
                    <w:tr2bl w:val="nil"/>
                  </w:tcBorders>
                  <w:shd w:val="clear" w:color="auto" w:fill="auto"/>
                  <w:vAlign w:val="center"/>
                </w:tcPr>
                <w:p w14:paraId="4B2C5630">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mg</w:t>
                  </w:r>
                  <w:r>
                    <w:rPr>
                      <w:rFonts w:hint="eastAsia" w:ascii="Times New Roman" w:hAnsi="Times New Roman" w:eastAsia="宋体" w:cs="Times New Roman"/>
                      <w:color w:val="auto"/>
                      <w:szCs w:val="21"/>
                      <w:highlight w:val="none"/>
                    </w:rPr>
                    <w:t>/L</w:t>
                  </w:r>
                </w:p>
              </w:tc>
              <w:tc>
                <w:tcPr>
                  <w:tcW w:w="2090" w:type="dxa"/>
                  <w:tcBorders>
                    <w:tl2br w:val="nil"/>
                    <w:tr2bl w:val="nil"/>
                  </w:tcBorders>
                  <w:shd w:val="clear" w:color="auto" w:fill="auto"/>
                  <w:vAlign w:val="center"/>
                </w:tcPr>
                <w:p w14:paraId="254A3DD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2"/>
                      <w:szCs w:val="22"/>
                      <w:u w:val="none"/>
                      <w:lang w:val="en-US" w:eastAsia="zh-CN" w:bidi="ar"/>
                    </w:rPr>
                    <w:t>0.001</w:t>
                  </w:r>
                </w:p>
              </w:tc>
            </w:tr>
            <w:tr w14:paraId="4A42E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80" w:type="pct"/>
                  <w:vMerge w:val="continue"/>
                  <w:tcBorders>
                    <w:tl2br w:val="nil"/>
                    <w:tr2bl w:val="nil"/>
                  </w:tcBorders>
                  <w:shd w:val="clear" w:color="auto" w:fill="auto"/>
                  <w:vAlign w:val="center"/>
                </w:tcPr>
                <w:p w14:paraId="6971BFCD">
                  <w:pPr>
                    <w:keepNext w:val="0"/>
                    <w:keepLines w:val="0"/>
                    <w:pageBreakBefore w:val="0"/>
                    <w:widowControl/>
                    <w:kinsoku/>
                    <w:wordWrap/>
                    <w:overflowPunct/>
                    <w:topLinePunct w:val="0"/>
                    <w:autoSpaceDE/>
                    <w:autoSpaceDN/>
                    <w:bidi w:val="0"/>
                    <w:adjustRightInd/>
                    <w:snapToGrid/>
                    <w:jc w:val="center"/>
                    <w:rPr>
                      <w:rFonts w:ascii="宋体" w:hAnsi="宋体" w:eastAsia="宋体" w:cs="宋体"/>
                      <w:color w:val="auto"/>
                      <w:szCs w:val="21"/>
                      <w:highlight w:val="none"/>
                    </w:rPr>
                  </w:pPr>
                </w:p>
              </w:tc>
              <w:tc>
                <w:tcPr>
                  <w:tcW w:w="1034" w:type="pct"/>
                  <w:tcBorders>
                    <w:tl2br w:val="nil"/>
                    <w:tr2bl w:val="nil"/>
                  </w:tcBorders>
                  <w:shd w:val="clear" w:color="auto" w:fill="auto"/>
                  <w:vAlign w:val="center"/>
                </w:tcPr>
                <w:p w14:paraId="43E5B2D6">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SS</w:t>
                  </w:r>
                </w:p>
              </w:tc>
              <w:tc>
                <w:tcPr>
                  <w:tcW w:w="957" w:type="pct"/>
                  <w:tcBorders>
                    <w:tl2br w:val="nil"/>
                    <w:tr2bl w:val="nil"/>
                  </w:tcBorders>
                  <w:shd w:val="clear" w:color="auto" w:fill="auto"/>
                  <w:vAlign w:val="center"/>
                </w:tcPr>
                <w:p w14:paraId="6D5021CD">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120</w:t>
                  </w:r>
                </w:p>
              </w:tc>
              <w:tc>
                <w:tcPr>
                  <w:tcW w:w="909" w:type="pct"/>
                  <w:tcBorders>
                    <w:tl2br w:val="nil"/>
                    <w:tr2bl w:val="nil"/>
                  </w:tcBorders>
                  <w:shd w:val="clear" w:color="auto" w:fill="auto"/>
                  <w:vAlign w:val="center"/>
                </w:tcPr>
                <w:p w14:paraId="34B8DB97">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mg</w:t>
                  </w:r>
                  <w:r>
                    <w:rPr>
                      <w:rFonts w:hint="eastAsia" w:ascii="Times New Roman" w:hAnsi="Times New Roman" w:eastAsia="宋体" w:cs="Times New Roman"/>
                      <w:color w:val="auto"/>
                      <w:szCs w:val="21"/>
                      <w:highlight w:val="none"/>
                    </w:rPr>
                    <w:t>/L</w:t>
                  </w:r>
                </w:p>
              </w:tc>
              <w:tc>
                <w:tcPr>
                  <w:tcW w:w="2090" w:type="dxa"/>
                  <w:tcBorders>
                    <w:tl2br w:val="nil"/>
                    <w:tr2bl w:val="nil"/>
                  </w:tcBorders>
                  <w:shd w:val="clear" w:color="auto" w:fill="auto"/>
                  <w:vAlign w:val="center"/>
                </w:tcPr>
                <w:p w14:paraId="2BB413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2"/>
                      <w:szCs w:val="22"/>
                      <w:u w:val="none"/>
                      <w:lang w:val="en-US" w:eastAsia="zh-CN" w:bidi="ar"/>
                    </w:rPr>
                    <w:t>0.0008</w:t>
                  </w:r>
                  <w:r>
                    <w:rPr>
                      <w:rFonts w:hint="eastAsia" w:ascii="Times New Roman" w:hAnsi="Times New Roman" w:eastAsia="宋体" w:cs="Times New Roman"/>
                      <w:i w:val="0"/>
                      <w:iCs w:val="0"/>
                      <w:color w:val="auto"/>
                      <w:kern w:val="0"/>
                      <w:sz w:val="22"/>
                      <w:szCs w:val="22"/>
                      <w:u w:val="none"/>
                      <w:lang w:val="en-US" w:eastAsia="zh-CN" w:bidi="ar"/>
                    </w:rPr>
                    <w:t>2</w:t>
                  </w:r>
                </w:p>
              </w:tc>
            </w:tr>
            <w:tr w14:paraId="1D381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980" w:type="pct"/>
                  <w:vMerge w:val="continue"/>
                  <w:tcBorders>
                    <w:tl2br w:val="nil"/>
                    <w:tr2bl w:val="nil"/>
                  </w:tcBorders>
                  <w:shd w:val="clear" w:color="auto" w:fill="auto"/>
                  <w:vAlign w:val="center"/>
                </w:tcPr>
                <w:p w14:paraId="29C89681">
                  <w:pPr>
                    <w:keepNext w:val="0"/>
                    <w:keepLines w:val="0"/>
                    <w:pageBreakBefore w:val="0"/>
                    <w:widowControl/>
                    <w:kinsoku/>
                    <w:wordWrap/>
                    <w:overflowPunct/>
                    <w:topLinePunct w:val="0"/>
                    <w:autoSpaceDE/>
                    <w:autoSpaceDN/>
                    <w:bidi w:val="0"/>
                    <w:adjustRightInd/>
                    <w:snapToGrid/>
                    <w:jc w:val="center"/>
                    <w:rPr>
                      <w:rFonts w:ascii="宋体" w:hAnsi="宋体" w:eastAsia="宋体" w:cs="宋体"/>
                      <w:color w:val="auto"/>
                      <w:szCs w:val="21"/>
                      <w:highlight w:val="none"/>
                    </w:rPr>
                  </w:pPr>
                </w:p>
              </w:tc>
              <w:tc>
                <w:tcPr>
                  <w:tcW w:w="1034" w:type="pct"/>
                  <w:tcBorders>
                    <w:tl2br w:val="nil"/>
                    <w:tr2bl w:val="nil"/>
                  </w:tcBorders>
                  <w:shd w:val="clear" w:color="auto" w:fill="auto"/>
                  <w:vAlign w:val="center"/>
                </w:tcPr>
                <w:p w14:paraId="22BDDC0F">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NH</w:t>
                  </w:r>
                  <w:r>
                    <w:rPr>
                      <w:rFonts w:hint="eastAsia" w:ascii="Times New Roman" w:hAnsi="Times New Roman" w:eastAsia="宋体" w:cs="Times New Roman"/>
                      <w:color w:val="auto"/>
                      <w:szCs w:val="21"/>
                      <w:highlight w:val="none"/>
                      <w:vertAlign w:val="subscript"/>
                    </w:rPr>
                    <w:t>3</w:t>
                  </w:r>
                  <w:r>
                    <w:rPr>
                      <w:rFonts w:hint="eastAsia" w:ascii="Times New Roman" w:hAnsi="Times New Roman" w:eastAsia="宋体" w:cs="Times New Roman"/>
                      <w:color w:val="auto"/>
                      <w:szCs w:val="21"/>
                      <w:highlight w:val="none"/>
                    </w:rPr>
                    <w:t>-N</w:t>
                  </w:r>
                </w:p>
              </w:tc>
              <w:tc>
                <w:tcPr>
                  <w:tcW w:w="957" w:type="pct"/>
                  <w:tcBorders>
                    <w:tl2br w:val="nil"/>
                    <w:tr2bl w:val="nil"/>
                  </w:tcBorders>
                  <w:shd w:val="clear" w:color="auto" w:fill="auto"/>
                  <w:vAlign w:val="center"/>
                </w:tcPr>
                <w:p w14:paraId="2FE8778F">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c>
                <w:tcPr>
                  <w:tcW w:w="909" w:type="pct"/>
                  <w:tcBorders>
                    <w:tl2br w:val="nil"/>
                    <w:tr2bl w:val="nil"/>
                  </w:tcBorders>
                  <w:shd w:val="clear" w:color="auto" w:fill="auto"/>
                  <w:vAlign w:val="center"/>
                </w:tcPr>
                <w:p w14:paraId="3FCDA1AC">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mg</w:t>
                  </w:r>
                  <w:r>
                    <w:rPr>
                      <w:rFonts w:hint="eastAsia" w:ascii="Times New Roman" w:hAnsi="Times New Roman" w:eastAsia="宋体" w:cs="Times New Roman"/>
                      <w:color w:val="auto"/>
                      <w:szCs w:val="21"/>
                      <w:highlight w:val="none"/>
                    </w:rPr>
                    <w:t>/L</w:t>
                  </w:r>
                </w:p>
              </w:tc>
              <w:tc>
                <w:tcPr>
                  <w:tcW w:w="2090" w:type="dxa"/>
                  <w:tcBorders>
                    <w:tl2br w:val="nil"/>
                    <w:tr2bl w:val="nil"/>
                  </w:tcBorders>
                  <w:shd w:val="clear" w:color="auto" w:fill="auto"/>
                  <w:vAlign w:val="center"/>
                </w:tcPr>
                <w:p w14:paraId="6B9A8C5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2"/>
                      <w:szCs w:val="22"/>
                      <w:u w:val="none"/>
                      <w:lang w:val="en-US" w:eastAsia="zh-CN" w:bidi="ar"/>
                    </w:rPr>
                    <w:t>0.000</w:t>
                  </w:r>
                  <w:r>
                    <w:rPr>
                      <w:rFonts w:hint="eastAsia" w:ascii="Times New Roman" w:hAnsi="Times New Roman" w:eastAsia="宋体" w:cs="Times New Roman"/>
                      <w:i w:val="0"/>
                      <w:iCs w:val="0"/>
                      <w:color w:val="auto"/>
                      <w:kern w:val="0"/>
                      <w:sz w:val="22"/>
                      <w:szCs w:val="22"/>
                      <w:u w:val="none"/>
                      <w:lang w:val="en-US" w:eastAsia="zh-CN" w:bidi="ar"/>
                    </w:rPr>
                    <w:t>14</w:t>
                  </w:r>
                </w:p>
              </w:tc>
            </w:tr>
            <w:tr w14:paraId="4CFAC5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80" w:type="pct"/>
                  <w:vMerge w:val="continue"/>
                  <w:tcBorders>
                    <w:tl2br w:val="nil"/>
                    <w:tr2bl w:val="nil"/>
                  </w:tcBorders>
                  <w:shd w:val="clear" w:color="auto" w:fill="auto"/>
                  <w:vAlign w:val="center"/>
                </w:tcPr>
                <w:p w14:paraId="4AFD5339">
                  <w:pPr>
                    <w:keepNext w:val="0"/>
                    <w:keepLines w:val="0"/>
                    <w:pageBreakBefore w:val="0"/>
                    <w:widowControl/>
                    <w:kinsoku/>
                    <w:wordWrap/>
                    <w:overflowPunct/>
                    <w:topLinePunct w:val="0"/>
                    <w:autoSpaceDE/>
                    <w:autoSpaceDN/>
                    <w:bidi w:val="0"/>
                    <w:adjustRightInd/>
                    <w:snapToGrid/>
                    <w:jc w:val="center"/>
                    <w:rPr>
                      <w:rFonts w:ascii="宋体" w:hAnsi="宋体" w:eastAsia="宋体" w:cs="宋体"/>
                      <w:color w:val="auto"/>
                      <w:szCs w:val="21"/>
                      <w:highlight w:val="none"/>
                    </w:rPr>
                  </w:pPr>
                </w:p>
              </w:tc>
              <w:tc>
                <w:tcPr>
                  <w:tcW w:w="1034" w:type="pct"/>
                  <w:tcBorders>
                    <w:tl2br w:val="nil"/>
                    <w:tr2bl w:val="nil"/>
                  </w:tcBorders>
                  <w:shd w:val="clear" w:color="auto" w:fill="auto"/>
                  <w:vAlign w:val="center"/>
                </w:tcPr>
                <w:p w14:paraId="59618A68">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TP</w:t>
                  </w:r>
                </w:p>
              </w:tc>
              <w:tc>
                <w:tcPr>
                  <w:tcW w:w="957" w:type="pct"/>
                  <w:tcBorders>
                    <w:tl2br w:val="nil"/>
                    <w:tr2bl w:val="nil"/>
                  </w:tcBorders>
                  <w:shd w:val="clear" w:color="auto" w:fill="auto"/>
                  <w:vAlign w:val="center"/>
                </w:tcPr>
                <w:p w14:paraId="1CA3B423">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10</w:t>
                  </w:r>
                </w:p>
              </w:tc>
              <w:tc>
                <w:tcPr>
                  <w:tcW w:w="909" w:type="pct"/>
                  <w:tcBorders>
                    <w:tl2br w:val="nil"/>
                    <w:tr2bl w:val="nil"/>
                  </w:tcBorders>
                  <w:shd w:val="clear" w:color="auto" w:fill="auto"/>
                  <w:vAlign w:val="center"/>
                </w:tcPr>
                <w:p w14:paraId="20C047AE">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mg</w:t>
                  </w:r>
                  <w:r>
                    <w:rPr>
                      <w:rFonts w:hint="eastAsia" w:ascii="Times New Roman" w:hAnsi="Times New Roman" w:eastAsia="宋体" w:cs="Times New Roman"/>
                      <w:color w:val="auto"/>
                      <w:szCs w:val="21"/>
                      <w:highlight w:val="none"/>
                    </w:rPr>
                    <w:t>/L</w:t>
                  </w:r>
                </w:p>
              </w:tc>
              <w:tc>
                <w:tcPr>
                  <w:tcW w:w="2090" w:type="dxa"/>
                  <w:tcBorders>
                    <w:tl2br w:val="nil"/>
                    <w:tr2bl w:val="nil"/>
                  </w:tcBorders>
                  <w:shd w:val="clear" w:color="auto" w:fill="auto"/>
                  <w:vAlign w:val="center"/>
                </w:tcPr>
                <w:p w14:paraId="29E30F0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2"/>
                      <w:szCs w:val="22"/>
                      <w:u w:val="none"/>
                      <w:lang w:val="en-US" w:eastAsia="zh-CN" w:bidi="ar"/>
                    </w:rPr>
                    <w:t>0.000068</w:t>
                  </w:r>
                </w:p>
              </w:tc>
            </w:tr>
          </w:tbl>
          <w:p w14:paraId="78E820A3">
            <w:pPr>
              <w:spacing w:line="360" w:lineRule="auto"/>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（二）治理设施、排放方式、排放口基本信息</w:t>
            </w:r>
          </w:p>
          <w:p w14:paraId="101004E4">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1、废水治理措施</w:t>
            </w:r>
          </w:p>
          <w:p w14:paraId="04289136">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（1）废水处置措施概况</w:t>
            </w:r>
          </w:p>
          <w:p w14:paraId="7DD7680A">
            <w:pPr>
              <w:spacing w:line="360" w:lineRule="auto"/>
              <w:ind w:firstLine="480" w:firstLineChars="20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本项目排水实施雨污分流制，本项目</w:t>
            </w:r>
            <w:r>
              <w:rPr>
                <w:rFonts w:hint="eastAsia" w:ascii="Times New Roman" w:hAnsi="Times New Roman" w:cs="Times New Roman"/>
                <w:bCs/>
                <w:color w:val="auto"/>
                <w:sz w:val="24"/>
                <w:szCs w:val="24"/>
                <w:highlight w:val="none"/>
                <w:lang w:val="en-US" w:eastAsia="zh-CN"/>
              </w:rPr>
              <w:t>实验室废水</w:t>
            </w:r>
            <w:r>
              <w:rPr>
                <w:rFonts w:hint="eastAsia" w:ascii="Times New Roman" w:hAnsi="Times New Roman" w:cs="Times New Roman"/>
                <w:color w:val="auto"/>
                <w:sz w:val="21"/>
                <w:szCs w:val="21"/>
                <w:highlight w:val="none"/>
                <w:vertAlign w:val="baseline"/>
                <w:lang w:val="en-US" w:eastAsia="zh-CN"/>
              </w:rPr>
              <w:t>进入酸碱中和池中和后，依托已建预处理处理后</w:t>
            </w:r>
            <w:r>
              <w:rPr>
                <w:rFonts w:ascii="Times New Roman" w:hAnsi="Times New Roman" w:cs="Times New Roman"/>
                <w:bCs/>
                <w:color w:val="auto"/>
                <w:sz w:val="24"/>
                <w:szCs w:val="24"/>
                <w:highlight w:val="none"/>
              </w:rPr>
              <w:t>，</w:t>
            </w:r>
            <w:r>
              <w:rPr>
                <w:rFonts w:ascii="Times New Roman" w:hAnsi="Times New Roman" w:cs="Times New Roman"/>
                <w:color w:val="auto"/>
                <w:sz w:val="24"/>
                <w:szCs w:val="24"/>
                <w:highlight w:val="none"/>
              </w:rPr>
              <w:t>处理达</w:t>
            </w:r>
            <w:r>
              <w:rPr>
                <w:rFonts w:hint="eastAsia" w:ascii="Times New Roman" w:hAnsi="Times New Roman" w:cs="Times New Roman"/>
                <w:color w:val="auto"/>
                <w:sz w:val="24"/>
                <w:szCs w:val="24"/>
                <w:highlight w:val="none"/>
                <w:lang w:val="en-US" w:eastAsia="zh-CN"/>
              </w:rPr>
              <w:t>《污水综合排放标准》（GB8978-1996）三级标准</w:t>
            </w:r>
            <w:r>
              <w:rPr>
                <w:rFonts w:ascii="Times New Roman" w:hAnsi="Times New Roman" w:cs="Times New Roman"/>
                <w:color w:val="auto"/>
                <w:sz w:val="24"/>
                <w:szCs w:val="24"/>
                <w:highlight w:val="none"/>
              </w:rPr>
              <w:t>，氨氮、总磷</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总氮达到</w:t>
            </w:r>
            <w:r>
              <w:rPr>
                <w:rFonts w:ascii="Times New Roman" w:hAnsi="Times New Roman" w:cs="Times New Roman"/>
                <w:color w:val="auto"/>
                <w:sz w:val="24"/>
                <w:szCs w:val="24"/>
                <w:highlight w:val="none"/>
              </w:rPr>
              <w:t>《污水排入城镇下水道水质标准》（GB/T31962-2015）中B级限值要求后，于</w:t>
            </w:r>
            <w:r>
              <w:rPr>
                <w:rFonts w:hint="eastAsia" w:ascii="Times New Roman" w:hAnsi="Times New Roman" w:cs="Times New Roman"/>
                <w:color w:val="auto"/>
                <w:sz w:val="24"/>
                <w:szCs w:val="24"/>
                <w:highlight w:val="none"/>
                <w:lang w:val="en-US" w:eastAsia="zh-CN"/>
              </w:rPr>
              <w:t>学校南侧总排口</w:t>
            </w:r>
            <w:r>
              <w:rPr>
                <w:rFonts w:ascii="Times New Roman" w:hAnsi="Times New Roman" w:cs="Times New Roman"/>
                <w:color w:val="auto"/>
                <w:sz w:val="24"/>
                <w:szCs w:val="24"/>
                <w:highlight w:val="none"/>
              </w:rPr>
              <w:t>排入市政污水管网，</w:t>
            </w:r>
            <w:r>
              <w:rPr>
                <w:rFonts w:hint="eastAsia" w:ascii="Times New Roman" w:hAnsi="Times New Roman" w:cs="Times New Roman"/>
                <w:color w:val="auto"/>
                <w:sz w:val="24"/>
                <w:szCs w:val="24"/>
                <w:highlight w:val="none"/>
              </w:rPr>
              <w:t>最终进入</w:t>
            </w:r>
            <w:r>
              <w:rPr>
                <w:rFonts w:hint="eastAsia" w:ascii="Times New Roman" w:hAnsi="Times New Roman" w:cs="Times New Roman"/>
                <w:color w:val="auto"/>
                <w:sz w:val="24"/>
                <w:szCs w:val="24"/>
                <w:highlight w:val="none"/>
                <w:lang w:eastAsia="zh-CN"/>
              </w:rPr>
              <w:t>马尔康市城市生活污水处理厂</w:t>
            </w:r>
            <w:r>
              <w:rPr>
                <w:rFonts w:hint="eastAsia" w:ascii="Times New Roman" w:hAnsi="Times New Roman" w:cs="Times New Roman"/>
                <w:color w:val="auto"/>
                <w:sz w:val="24"/>
                <w:szCs w:val="24"/>
                <w:highlight w:val="none"/>
              </w:rPr>
              <w:t>处理达标后外排。</w:t>
            </w:r>
          </w:p>
          <w:p w14:paraId="42E682D5">
            <w:pPr>
              <w:spacing w:line="360" w:lineRule="auto"/>
              <w:ind w:firstLine="482" w:firstLineChars="200"/>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w:t>
            </w:r>
            <w:r>
              <w:rPr>
                <w:rFonts w:hint="eastAsia" w:ascii="Times New Roman" w:hAnsi="Times New Roman" w:cs="Times New Roman"/>
                <w:b/>
                <w:bCs/>
                <w:color w:val="auto"/>
                <w:sz w:val="24"/>
                <w:szCs w:val="24"/>
                <w:highlight w:val="none"/>
                <w:lang w:val="en-US" w:eastAsia="zh-CN"/>
              </w:rPr>
              <w:t>2</w:t>
            </w:r>
            <w:r>
              <w:rPr>
                <w:rFonts w:hint="eastAsia" w:ascii="Times New Roman" w:hAnsi="Times New Roman" w:cs="Times New Roman"/>
                <w:b/>
                <w:bCs/>
                <w:color w:val="auto"/>
                <w:sz w:val="24"/>
                <w:szCs w:val="24"/>
                <w:highlight w:val="none"/>
              </w:rPr>
              <w:t>）废水处理可行性</w:t>
            </w:r>
          </w:p>
          <w:p w14:paraId="532E8776">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①本项目</w:t>
            </w:r>
            <w:r>
              <w:rPr>
                <w:rFonts w:hint="eastAsia" w:ascii="Times New Roman" w:hAnsi="Times New Roman" w:cs="Times New Roman"/>
                <w:color w:val="auto"/>
                <w:sz w:val="24"/>
                <w:szCs w:val="24"/>
                <w:highlight w:val="none"/>
                <w:lang w:val="en-US" w:eastAsia="zh-CN"/>
              </w:rPr>
              <w:t>酸碱中和池</w:t>
            </w:r>
            <w:r>
              <w:rPr>
                <w:rFonts w:hint="eastAsia" w:ascii="Times New Roman" w:hAnsi="Times New Roman" w:cs="Times New Roman"/>
                <w:color w:val="auto"/>
                <w:sz w:val="24"/>
                <w:szCs w:val="24"/>
                <w:highlight w:val="none"/>
              </w:rPr>
              <w:t>可行性分析</w:t>
            </w:r>
          </w:p>
          <w:p w14:paraId="483A1F57">
            <w:pPr>
              <w:spacing w:line="360" w:lineRule="auto"/>
              <w:ind w:firstLine="480" w:firstLineChars="200"/>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本项目设置容积约3m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的酸碱中和池用于处理实验室产生的废水，</w:t>
            </w:r>
            <w:r>
              <w:rPr>
                <w:rFonts w:hint="eastAsia" w:ascii="Times New Roman" w:hAnsi="Times New Roman" w:cs="Times New Roman"/>
                <w:color w:val="auto"/>
                <w:sz w:val="24"/>
                <w:szCs w:val="24"/>
                <w:highlight w:val="none"/>
              </w:rPr>
              <w:t>根据前文对本项目污水排放量的预测，本项目</w:t>
            </w:r>
            <w:r>
              <w:rPr>
                <w:rFonts w:hint="eastAsia" w:ascii="Times New Roman" w:hAnsi="Times New Roman" w:cs="Times New Roman"/>
                <w:color w:val="auto"/>
                <w:sz w:val="24"/>
                <w:szCs w:val="24"/>
                <w:highlight w:val="none"/>
                <w:lang w:val="en-US" w:eastAsia="zh-CN"/>
              </w:rPr>
              <w:t>实验室每日最大排放量</w:t>
            </w:r>
            <w:r>
              <w:rPr>
                <w:rFonts w:hint="eastAsia" w:ascii="Times New Roman" w:hAnsi="Times New Roman" w:cs="Times New Roman"/>
                <w:color w:val="auto"/>
                <w:sz w:val="24"/>
                <w:szCs w:val="24"/>
                <w:highlight w:val="none"/>
              </w:rPr>
              <w:t>为</w:t>
            </w:r>
            <w:r>
              <w:rPr>
                <w:rFonts w:hint="eastAsia" w:ascii="Times New Roman" w:hAnsi="Times New Roman" w:cs="Times New Roman"/>
                <w:bCs/>
                <w:color w:val="auto"/>
                <w:sz w:val="24"/>
                <w:szCs w:val="24"/>
                <w:highlight w:val="none"/>
                <w:lang w:val="en-US" w:eastAsia="zh-CN"/>
              </w:rPr>
              <w:t>2.4</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低于酸碱中和池的处理能力。酸碱中和池处理</w:t>
            </w:r>
            <w:r>
              <w:rPr>
                <w:rFonts w:hint="eastAsia" w:ascii="Times New Roman" w:hAnsi="Times New Roman" w:cs="Times New Roman"/>
                <w:color w:val="auto"/>
                <w:sz w:val="24"/>
                <w:szCs w:val="24"/>
                <w:highlight w:val="none"/>
              </w:rPr>
              <w:t>可行</w:t>
            </w:r>
            <w:r>
              <w:rPr>
                <w:rFonts w:hint="eastAsia" w:ascii="Times New Roman" w:hAnsi="Times New Roman" w:cs="Times New Roman"/>
                <w:color w:val="auto"/>
                <w:sz w:val="24"/>
                <w:szCs w:val="24"/>
                <w:highlight w:val="none"/>
                <w:lang w:eastAsia="zh-CN"/>
              </w:rPr>
              <w:t>。</w:t>
            </w:r>
          </w:p>
          <w:p w14:paraId="39C57DE1">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rPr>
              <w:t>②</w:t>
            </w:r>
            <w:r>
              <w:rPr>
                <w:rFonts w:hint="eastAsia" w:ascii="Times New Roman" w:hAnsi="Times New Roman" w:cs="Times New Roman"/>
                <w:color w:val="auto"/>
                <w:sz w:val="24"/>
                <w:szCs w:val="24"/>
                <w:highlight w:val="none"/>
                <w:lang w:val="en-US" w:eastAsia="zh-CN"/>
              </w:rPr>
              <w:t>依托预处理池可行性分析</w:t>
            </w:r>
          </w:p>
          <w:p w14:paraId="05DA8519">
            <w:pPr>
              <w:spacing w:line="360" w:lineRule="auto"/>
              <w:ind w:firstLine="48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本项目改建前后实验室废水产生量不变，已建预处理池运行正常，根据四川海德汇环保科技有限公司2025年9月1日~2日对废水总排口的水质进行监测（监测报告</w:t>
            </w:r>
            <w:r>
              <w:rPr>
                <w:rFonts w:hint="eastAsia" w:ascii="Times New Roman" w:hAnsi="Times New Roman" w:cs="Times New Roman"/>
                <w:color w:val="auto"/>
                <w:sz w:val="24"/>
                <w:szCs w:val="24"/>
                <w:highlight w:val="none"/>
              </w:rPr>
              <w:t>见附件，</w:t>
            </w:r>
            <w:r>
              <w:rPr>
                <w:rFonts w:hint="eastAsia" w:ascii="Times New Roman" w:hAnsi="Times New Roman" w:cs="Times New Roman"/>
                <w:color w:val="auto"/>
                <w:sz w:val="24"/>
                <w:szCs w:val="24"/>
                <w:highlight w:val="none"/>
                <w:lang w:val="en-US" w:eastAsia="zh-CN"/>
              </w:rPr>
              <w:t>项目</w:t>
            </w:r>
            <w:r>
              <w:rPr>
                <w:rFonts w:hint="eastAsia" w:ascii="Times New Roman" w:hAnsi="Times New Roman" w:cs="Times New Roman"/>
                <w:color w:val="auto"/>
                <w:sz w:val="24"/>
                <w:szCs w:val="24"/>
                <w:highlight w:val="none"/>
              </w:rPr>
              <w:t>编号：</w:t>
            </w:r>
            <w:r>
              <w:rPr>
                <w:rFonts w:hint="eastAsia" w:ascii="Times New Roman" w:hAnsi="Times New Roman" w:cs="Times New Roman"/>
                <w:color w:val="auto"/>
                <w:sz w:val="24"/>
                <w:szCs w:val="24"/>
                <w:highlight w:val="none"/>
                <w:lang w:val="en-US" w:eastAsia="zh-Hans"/>
              </w:rPr>
              <w:t>SCHDHHBKJYXGS</w:t>
            </w:r>
            <w:r>
              <w:rPr>
                <w:rFonts w:hint="eastAsia" w:ascii="Times New Roman" w:hAnsi="Times New Roman" w:cs="Times New Roman"/>
                <w:color w:val="auto"/>
                <w:sz w:val="24"/>
                <w:szCs w:val="24"/>
                <w:highlight w:val="none"/>
                <w:lang w:val="en-US" w:eastAsia="zh-CN"/>
              </w:rPr>
              <w:t>6890</w:t>
            </w:r>
            <w:r>
              <w:rPr>
                <w:rFonts w:hint="eastAsia" w:ascii="Times New Roman" w:hAnsi="Times New Roman" w:cs="Times New Roman"/>
                <w:color w:val="auto"/>
                <w:sz w:val="24"/>
                <w:szCs w:val="24"/>
                <w:highlight w:val="none"/>
                <w:lang w:val="en-US" w:eastAsia="zh-Hans"/>
              </w:rPr>
              <w:t>-0001</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。根据监测结果可以看出，项目</w:t>
            </w:r>
            <w:r>
              <w:rPr>
                <w:rFonts w:hint="eastAsia" w:ascii="Times New Roman" w:hAnsi="Times New Roman" w:cs="Times New Roman"/>
                <w:color w:val="auto"/>
                <w:sz w:val="24"/>
                <w:szCs w:val="24"/>
                <w:highlight w:val="none"/>
                <w:lang w:val="en-US" w:eastAsia="zh-CN"/>
              </w:rPr>
              <w:t>总</w:t>
            </w:r>
            <w:r>
              <w:rPr>
                <w:rFonts w:hint="eastAsia" w:ascii="Times New Roman" w:hAnsi="Times New Roman" w:cs="Times New Roman"/>
                <w:color w:val="auto"/>
                <w:sz w:val="24"/>
                <w:szCs w:val="24"/>
                <w:highlight w:val="none"/>
              </w:rPr>
              <w:t>排口水质各监测因子均能满足</w:t>
            </w:r>
            <w:r>
              <w:rPr>
                <w:rFonts w:hint="eastAsia" w:ascii="Times New Roman" w:hAnsi="Times New Roman" w:cs="Times New Roman"/>
                <w:color w:val="auto"/>
                <w:sz w:val="24"/>
                <w:szCs w:val="24"/>
                <w:highlight w:val="none"/>
                <w:lang w:val="en-US" w:eastAsia="zh-CN"/>
              </w:rPr>
              <w:t>《污水综合排放标准》（GB8978-1996）</w:t>
            </w:r>
            <w:r>
              <w:rPr>
                <w:rFonts w:ascii="Times New Roman" w:hAnsi="Times New Roman" w:cs="Times New Roman"/>
                <w:color w:val="auto"/>
                <w:sz w:val="24"/>
                <w:szCs w:val="24"/>
                <w:highlight w:val="none"/>
              </w:rPr>
              <w:t>，氨氮、总磷执行《污水排入城镇下水道水质标准》（GB/T31962-2015）中B级限值要求。</w:t>
            </w:r>
            <w:r>
              <w:rPr>
                <w:rFonts w:hint="eastAsia" w:ascii="Times New Roman" w:hAnsi="Times New Roman" w:cs="Times New Roman"/>
                <w:color w:val="auto"/>
                <w:sz w:val="24"/>
                <w:szCs w:val="24"/>
                <w:highlight w:val="none"/>
                <w:lang w:val="en-US" w:eastAsia="zh-CN"/>
              </w:rPr>
              <w:t>总</w:t>
            </w:r>
            <w:r>
              <w:rPr>
                <w:rFonts w:hint="eastAsia" w:ascii="Times New Roman" w:hAnsi="Times New Roman" w:cs="Times New Roman"/>
                <w:color w:val="auto"/>
                <w:sz w:val="24"/>
                <w:szCs w:val="24"/>
                <w:highlight w:val="none"/>
              </w:rPr>
              <w:t>排口水质监测结果如下表所示。</w:t>
            </w:r>
          </w:p>
          <w:p w14:paraId="06D20266">
            <w:pPr>
              <w:pStyle w:val="117"/>
              <w:bidi w:val="0"/>
              <w:rPr>
                <w:color w:val="auto"/>
              </w:rPr>
            </w:pPr>
            <w:r>
              <w:rPr>
                <w:rFonts w:hint="eastAsia"/>
                <w:color w:val="auto"/>
                <w:lang w:val="en-US" w:eastAsia="zh-CN"/>
              </w:rPr>
              <w:t>废水总排口</w:t>
            </w:r>
            <w:r>
              <w:rPr>
                <w:rFonts w:hint="eastAsia"/>
                <w:color w:val="auto"/>
              </w:rPr>
              <w:t>水质现状监测结果</w:t>
            </w:r>
          </w:p>
          <w:tbl>
            <w:tblPr>
              <w:tblStyle w:val="4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2"/>
              <w:gridCol w:w="934"/>
              <w:gridCol w:w="1201"/>
              <w:gridCol w:w="829"/>
              <w:gridCol w:w="829"/>
              <w:gridCol w:w="830"/>
              <w:gridCol w:w="830"/>
              <w:gridCol w:w="841"/>
              <w:gridCol w:w="832"/>
              <w:gridCol w:w="833"/>
            </w:tblGrid>
            <w:tr w14:paraId="0E8D9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restart"/>
                  <w:tcBorders>
                    <w:tl2br w:val="nil"/>
                    <w:tr2bl w:val="nil"/>
                  </w:tcBorders>
                  <w:vAlign w:val="center"/>
                </w:tcPr>
                <w:p w14:paraId="0FF9285F">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监测点位</w:t>
                  </w:r>
                </w:p>
              </w:tc>
              <w:tc>
                <w:tcPr>
                  <w:tcW w:w="530" w:type="pct"/>
                  <w:vMerge w:val="restart"/>
                  <w:tcBorders>
                    <w:tl2br w:val="nil"/>
                    <w:tr2bl w:val="nil"/>
                  </w:tcBorders>
                  <w:vAlign w:val="center"/>
                </w:tcPr>
                <w:p w14:paraId="3E36301C">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采样日期</w:t>
                  </w:r>
                </w:p>
              </w:tc>
              <w:tc>
                <w:tcPr>
                  <w:tcW w:w="681" w:type="pct"/>
                  <w:vMerge w:val="restart"/>
                  <w:tcBorders>
                    <w:tl2br w:val="nil"/>
                    <w:tr2bl w:val="nil"/>
                  </w:tcBorders>
                  <w:vAlign w:val="center"/>
                </w:tcPr>
                <w:p w14:paraId="161DCB06">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检测因子</w:t>
                  </w:r>
                </w:p>
              </w:tc>
              <w:tc>
                <w:tcPr>
                  <w:tcW w:w="470" w:type="pct"/>
                  <w:vMerge w:val="restart"/>
                  <w:tcBorders>
                    <w:tl2br w:val="nil"/>
                    <w:tr2bl w:val="nil"/>
                  </w:tcBorders>
                  <w:vAlign w:val="center"/>
                </w:tcPr>
                <w:p w14:paraId="07E48E56">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单位</w:t>
                  </w:r>
                </w:p>
              </w:tc>
              <w:tc>
                <w:tcPr>
                  <w:tcW w:w="1889" w:type="pct"/>
                  <w:gridSpan w:val="4"/>
                  <w:tcBorders>
                    <w:tl2br w:val="nil"/>
                    <w:tr2bl w:val="nil"/>
                  </w:tcBorders>
                  <w:vAlign w:val="center"/>
                </w:tcPr>
                <w:p w14:paraId="07ED92F8">
                  <w:pPr>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检测结果</w:t>
                  </w:r>
                </w:p>
              </w:tc>
              <w:tc>
                <w:tcPr>
                  <w:tcW w:w="472" w:type="pct"/>
                  <w:vMerge w:val="restart"/>
                  <w:tcBorders>
                    <w:tl2br w:val="nil"/>
                    <w:tr2bl w:val="nil"/>
                  </w:tcBorders>
                  <w:vAlign w:val="center"/>
                </w:tcPr>
                <w:p w14:paraId="2FCE24A3">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均值</w:t>
                  </w:r>
                </w:p>
              </w:tc>
              <w:tc>
                <w:tcPr>
                  <w:tcW w:w="472" w:type="pct"/>
                  <w:vMerge w:val="restart"/>
                  <w:tcBorders>
                    <w:tl2br w:val="nil"/>
                    <w:tr2bl w:val="nil"/>
                  </w:tcBorders>
                  <w:vAlign w:val="center"/>
                </w:tcPr>
                <w:p w14:paraId="01F17581">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标准值</w:t>
                  </w:r>
                </w:p>
              </w:tc>
            </w:tr>
            <w:tr w14:paraId="3D6C9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686604B9">
                  <w:pPr>
                    <w:bidi w:val="0"/>
                    <w:jc w:val="center"/>
                    <w:rPr>
                      <w:rFonts w:hint="default" w:ascii="Times New Roman" w:hAnsi="Times New Roman" w:eastAsia="宋体" w:cs="Times New Roman"/>
                      <w:b/>
                      <w:bCs/>
                      <w:color w:val="auto"/>
                      <w:sz w:val="21"/>
                      <w:szCs w:val="21"/>
                    </w:rPr>
                  </w:pPr>
                </w:p>
              </w:tc>
              <w:tc>
                <w:tcPr>
                  <w:tcW w:w="530" w:type="pct"/>
                  <w:vMerge w:val="continue"/>
                  <w:tcBorders>
                    <w:tl2br w:val="nil"/>
                    <w:tr2bl w:val="nil"/>
                  </w:tcBorders>
                  <w:vAlign w:val="center"/>
                </w:tcPr>
                <w:p w14:paraId="203547CA">
                  <w:pPr>
                    <w:bidi w:val="0"/>
                    <w:jc w:val="center"/>
                    <w:rPr>
                      <w:rFonts w:hint="default" w:ascii="Times New Roman" w:hAnsi="Times New Roman" w:eastAsia="宋体" w:cs="Times New Roman"/>
                      <w:b/>
                      <w:bCs/>
                      <w:color w:val="auto"/>
                      <w:sz w:val="21"/>
                      <w:szCs w:val="21"/>
                    </w:rPr>
                  </w:pPr>
                </w:p>
              </w:tc>
              <w:tc>
                <w:tcPr>
                  <w:tcW w:w="681" w:type="pct"/>
                  <w:vMerge w:val="continue"/>
                  <w:tcBorders>
                    <w:tl2br w:val="nil"/>
                    <w:tr2bl w:val="nil"/>
                  </w:tcBorders>
                  <w:vAlign w:val="center"/>
                </w:tcPr>
                <w:p w14:paraId="48DD15B7">
                  <w:pPr>
                    <w:bidi w:val="0"/>
                    <w:jc w:val="center"/>
                    <w:rPr>
                      <w:rFonts w:hint="default" w:ascii="Times New Roman" w:hAnsi="Times New Roman" w:eastAsia="宋体" w:cs="Times New Roman"/>
                      <w:b/>
                      <w:bCs/>
                      <w:color w:val="auto"/>
                      <w:sz w:val="21"/>
                      <w:szCs w:val="21"/>
                    </w:rPr>
                  </w:pPr>
                </w:p>
              </w:tc>
              <w:tc>
                <w:tcPr>
                  <w:tcW w:w="470" w:type="pct"/>
                  <w:vMerge w:val="continue"/>
                  <w:tcBorders>
                    <w:tl2br w:val="nil"/>
                    <w:tr2bl w:val="nil"/>
                  </w:tcBorders>
                  <w:vAlign w:val="center"/>
                </w:tcPr>
                <w:p w14:paraId="0C063A02">
                  <w:pPr>
                    <w:bidi w:val="0"/>
                    <w:jc w:val="center"/>
                    <w:rPr>
                      <w:rFonts w:hint="default" w:ascii="Times New Roman" w:hAnsi="Times New Roman" w:eastAsia="宋体" w:cs="Times New Roman"/>
                      <w:b/>
                      <w:bCs/>
                      <w:color w:val="auto"/>
                      <w:sz w:val="21"/>
                      <w:szCs w:val="21"/>
                    </w:rPr>
                  </w:pPr>
                </w:p>
              </w:tc>
              <w:tc>
                <w:tcPr>
                  <w:tcW w:w="470" w:type="pct"/>
                  <w:tcBorders>
                    <w:tl2br w:val="nil"/>
                    <w:tr2bl w:val="nil"/>
                  </w:tcBorders>
                  <w:vAlign w:val="center"/>
                </w:tcPr>
                <w:p w14:paraId="7F7C2226">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第1次</w:t>
                  </w:r>
                </w:p>
              </w:tc>
              <w:tc>
                <w:tcPr>
                  <w:tcW w:w="471" w:type="pct"/>
                  <w:tcBorders>
                    <w:tl2br w:val="nil"/>
                    <w:tr2bl w:val="nil"/>
                  </w:tcBorders>
                  <w:vAlign w:val="center"/>
                </w:tcPr>
                <w:p w14:paraId="10624E25">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第2次</w:t>
                  </w:r>
                </w:p>
              </w:tc>
              <w:tc>
                <w:tcPr>
                  <w:tcW w:w="471" w:type="pct"/>
                  <w:tcBorders>
                    <w:tl2br w:val="nil"/>
                    <w:tr2bl w:val="nil"/>
                  </w:tcBorders>
                  <w:vAlign w:val="center"/>
                </w:tcPr>
                <w:p w14:paraId="355E6B3F">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第3次</w:t>
                  </w:r>
                </w:p>
              </w:tc>
              <w:tc>
                <w:tcPr>
                  <w:tcW w:w="476" w:type="pct"/>
                  <w:tcBorders>
                    <w:tl2br w:val="nil"/>
                    <w:tr2bl w:val="nil"/>
                  </w:tcBorders>
                  <w:vAlign w:val="center"/>
                </w:tcPr>
                <w:p w14:paraId="1314067D">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第4次</w:t>
                  </w:r>
                </w:p>
              </w:tc>
              <w:tc>
                <w:tcPr>
                  <w:tcW w:w="472" w:type="pct"/>
                  <w:vMerge w:val="continue"/>
                  <w:tcBorders>
                    <w:tl2br w:val="nil"/>
                    <w:tr2bl w:val="nil"/>
                  </w:tcBorders>
                  <w:vAlign w:val="center"/>
                </w:tcPr>
                <w:p w14:paraId="49374CE9">
                  <w:pPr>
                    <w:bidi w:val="0"/>
                    <w:jc w:val="center"/>
                    <w:rPr>
                      <w:rFonts w:hint="default" w:ascii="Times New Roman" w:hAnsi="Times New Roman" w:eastAsia="宋体" w:cs="Times New Roman"/>
                      <w:color w:val="auto"/>
                      <w:sz w:val="21"/>
                      <w:szCs w:val="21"/>
                    </w:rPr>
                  </w:pPr>
                </w:p>
              </w:tc>
              <w:tc>
                <w:tcPr>
                  <w:tcW w:w="472" w:type="pct"/>
                  <w:vMerge w:val="continue"/>
                  <w:tcBorders>
                    <w:tl2br w:val="nil"/>
                    <w:tr2bl w:val="nil"/>
                  </w:tcBorders>
                  <w:vAlign w:val="center"/>
                </w:tcPr>
                <w:p w14:paraId="0B7EF16A">
                  <w:pPr>
                    <w:bidi w:val="0"/>
                    <w:jc w:val="center"/>
                    <w:rPr>
                      <w:rFonts w:hint="default" w:ascii="Times New Roman" w:hAnsi="Times New Roman" w:eastAsia="宋体" w:cs="Times New Roman"/>
                      <w:color w:val="auto"/>
                      <w:sz w:val="21"/>
                      <w:szCs w:val="21"/>
                    </w:rPr>
                  </w:pPr>
                </w:p>
              </w:tc>
            </w:tr>
            <w:tr w14:paraId="56BE4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restart"/>
                  <w:tcBorders>
                    <w:tl2br w:val="nil"/>
                    <w:tr2bl w:val="nil"/>
                  </w:tcBorders>
                  <w:vAlign w:val="center"/>
                </w:tcPr>
                <w:p w14:paraId="604AB19B">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废水总排口</w:t>
                  </w:r>
                </w:p>
              </w:tc>
              <w:tc>
                <w:tcPr>
                  <w:tcW w:w="530" w:type="pct"/>
                  <w:vMerge w:val="restart"/>
                  <w:tcBorders>
                    <w:tl2br w:val="nil"/>
                    <w:tr2bl w:val="nil"/>
                  </w:tcBorders>
                  <w:vAlign w:val="center"/>
                </w:tcPr>
                <w:p w14:paraId="7A482606">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2025.09.0</w:t>
                  </w:r>
                  <w:r>
                    <w:rPr>
                      <w:rFonts w:hint="eastAsia" w:ascii="Times New Roman" w:hAnsi="Times New Roman" w:eastAsia="宋体" w:cs="Times New Roman"/>
                      <w:color w:val="auto"/>
                      <w:sz w:val="21"/>
                      <w:szCs w:val="21"/>
                      <w:lang w:val="en-US" w:eastAsia="zh-CN"/>
                    </w:rPr>
                    <w:t>1</w:t>
                  </w:r>
                </w:p>
              </w:tc>
              <w:tc>
                <w:tcPr>
                  <w:tcW w:w="681" w:type="pct"/>
                  <w:tcBorders>
                    <w:tl2br w:val="nil"/>
                    <w:tr2bl w:val="nil"/>
                  </w:tcBorders>
                  <w:shd w:val="clear" w:color="auto" w:fill="auto"/>
                  <w:vAlign w:val="center"/>
                </w:tcPr>
                <w:p w14:paraId="22FA172A">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pH</w:t>
                  </w:r>
                </w:p>
              </w:tc>
              <w:tc>
                <w:tcPr>
                  <w:tcW w:w="470" w:type="pct"/>
                  <w:tcBorders>
                    <w:tl2br w:val="nil"/>
                    <w:tr2bl w:val="nil"/>
                  </w:tcBorders>
                  <w:vAlign w:val="center"/>
                </w:tcPr>
                <w:p w14:paraId="6044E22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无量纲</w:t>
                  </w:r>
                </w:p>
              </w:tc>
              <w:tc>
                <w:tcPr>
                  <w:tcW w:w="470" w:type="pct"/>
                  <w:tcBorders>
                    <w:tl2br w:val="nil"/>
                    <w:tr2bl w:val="nil"/>
                  </w:tcBorders>
                  <w:vAlign w:val="center"/>
                </w:tcPr>
                <w:p w14:paraId="29628909">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7.2</w:t>
                  </w:r>
                </w:p>
              </w:tc>
              <w:tc>
                <w:tcPr>
                  <w:tcW w:w="471" w:type="pct"/>
                  <w:tcBorders>
                    <w:tl2br w:val="nil"/>
                    <w:tr2bl w:val="nil"/>
                  </w:tcBorders>
                  <w:vAlign w:val="center"/>
                </w:tcPr>
                <w:p w14:paraId="31CB53D2">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7.1</w:t>
                  </w:r>
                </w:p>
              </w:tc>
              <w:tc>
                <w:tcPr>
                  <w:tcW w:w="471" w:type="pct"/>
                  <w:tcBorders>
                    <w:tl2br w:val="nil"/>
                    <w:tr2bl w:val="nil"/>
                  </w:tcBorders>
                  <w:vAlign w:val="center"/>
                </w:tcPr>
                <w:p w14:paraId="49739A0C">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7.2</w:t>
                  </w:r>
                </w:p>
              </w:tc>
              <w:tc>
                <w:tcPr>
                  <w:tcW w:w="476" w:type="pct"/>
                  <w:tcBorders>
                    <w:tl2br w:val="nil"/>
                    <w:tr2bl w:val="nil"/>
                  </w:tcBorders>
                  <w:vAlign w:val="center"/>
                </w:tcPr>
                <w:p w14:paraId="4AAAD3C1">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7.2</w:t>
                  </w:r>
                </w:p>
              </w:tc>
              <w:tc>
                <w:tcPr>
                  <w:tcW w:w="472" w:type="pct"/>
                  <w:tcBorders>
                    <w:tl2br w:val="nil"/>
                    <w:tr2bl w:val="nil"/>
                  </w:tcBorders>
                  <w:vAlign w:val="center"/>
                </w:tcPr>
                <w:p w14:paraId="01533EC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472" w:type="pct"/>
                  <w:tcBorders>
                    <w:tl2br w:val="nil"/>
                    <w:tr2bl w:val="nil"/>
                  </w:tcBorders>
                  <w:vAlign w:val="center"/>
                </w:tcPr>
                <w:p w14:paraId="5272E146">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r>
            <w:tr w14:paraId="0D6BE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6906FC10">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75C93792">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18D1CB0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化学需氧量</w:t>
                  </w:r>
                </w:p>
              </w:tc>
              <w:tc>
                <w:tcPr>
                  <w:tcW w:w="470" w:type="pct"/>
                  <w:tcBorders>
                    <w:tl2br w:val="nil"/>
                    <w:tr2bl w:val="nil"/>
                  </w:tcBorders>
                  <w:vAlign w:val="center"/>
                </w:tcPr>
                <w:p w14:paraId="6946444B">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3559A037">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191</w:t>
                  </w:r>
                </w:p>
              </w:tc>
              <w:tc>
                <w:tcPr>
                  <w:tcW w:w="471" w:type="pct"/>
                  <w:tcBorders>
                    <w:tl2br w:val="nil"/>
                    <w:tr2bl w:val="nil"/>
                  </w:tcBorders>
                  <w:vAlign w:val="center"/>
                </w:tcPr>
                <w:p w14:paraId="1CE5ECEB">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184</w:t>
                  </w:r>
                </w:p>
              </w:tc>
              <w:tc>
                <w:tcPr>
                  <w:tcW w:w="471" w:type="pct"/>
                  <w:tcBorders>
                    <w:tl2br w:val="nil"/>
                    <w:tr2bl w:val="nil"/>
                  </w:tcBorders>
                  <w:vAlign w:val="center"/>
                </w:tcPr>
                <w:p w14:paraId="14C71D6A">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171</w:t>
                  </w:r>
                </w:p>
              </w:tc>
              <w:tc>
                <w:tcPr>
                  <w:tcW w:w="476" w:type="pct"/>
                  <w:tcBorders>
                    <w:tl2br w:val="nil"/>
                    <w:tr2bl w:val="nil"/>
                  </w:tcBorders>
                  <w:vAlign w:val="center"/>
                </w:tcPr>
                <w:p w14:paraId="55F689BA">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167</w:t>
                  </w:r>
                </w:p>
              </w:tc>
              <w:tc>
                <w:tcPr>
                  <w:tcW w:w="472" w:type="pct"/>
                  <w:tcBorders>
                    <w:tl2br w:val="nil"/>
                    <w:tr2bl w:val="nil"/>
                  </w:tcBorders>
                  <w:vAlign w:val="center"/>
                </w:tcPr>
                <w:p w14:paraId="454A9826">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178</w:t>
                  </w:r>
                </w:p>
              </w:tc>
              <w:tc>
                <w:tcPr>
                  <w:tcW w:w="472" w:type="pct"/>
                  <w:tcBorders>
                    <w:tl2br w:val="nil"/>
                    <w:tr2bl w:val="nil"/>
                  </w:tcBorders>
                  <w:vAlign w:val="center"/>
                </w:tcPr>
                <w:p w14:paraId="212AA5F3">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r>
            <w:tr w14:paraId="536C3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35C38F49">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475A26E6">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2DFEE583">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五日生化需氧量</w:t>
                  </w:r>
                </w:p>
              </w:tc>
              <w:tc>
                <w:tcPr>
                  <w:tcW w:w="470" w:type="pct"/>
                  <w:tcBorders>
                    <w:tl2br w:val="nil"/>
                    <w:tr2bl w:val="nil"/>
                  </w:tcBorders>
                  <w:vAlign w:val="center"/>
                </w:tcPr>
                <w:p w14:paraId="1DE7A54A">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70DA4A97">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56.2</w:t>
                  </w:r>
                </w:p>
              </w:tc>
              <w:tc>
                <w:tcPr>
                  <w:tcW w:w="471" w:type="pct"/>
                  <w:tcBorders>
                    <w:tl2br w:val="nil"/>
                    <w:tr2bl w:val="nil"/>
                  </w:tcBorders>
                  <w:vAlign w:val="center"/>
                </w:tcPr>
                <w:p w14:paraId="48F1994B">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51.8</w:t>
                  </w:r>
                </w:p>
              </w:tc>
              <w:tc>
                <w:tcPr>
                  <w:tcW w:w="471" w:type="pct"/>
                  <w:tcBorders>
                    <w:tl2br w:val="nil"/>
                    <w:tr2bl w:val="nil"/>
                  </w:tcBorders>
                  <w:vAlign w:val="center"/>
                </w:tcPr>
                <w:p w14:paraId="35680815">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56.2</w:t>
                  </w:r>
                </w:p>
              </w:tc>
              <w:tc>
                <w:tcPr>
                  <w:tcW w:w="476" w:type="pct"/>
                  <w:tcBorders>
                    <w:tl2br w:val="nil"/>
                    <w:tr2bl w:val="nil"/>
                  </w:tcBorders>
                  <w:vAlign w:val="center"/>
                </w:tcPr>
                <w:p w14:paraId="7D1DB8A7">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53.4</w:t>
                  </w:r>
                </w:p>
              </w:tc>
              <w:tc>
                <w:tcPr>
                  <w:tcW w:w="472" w:type="pct"/>
                  <w:tcBorders>
                    <w:tl2br w:val="nil"/>
                    <w:tr2bl w:val="nil"/>
                  </w:tcBorders>
                  <w:vAlign w:val="center"/>
                </w:tcPr>
                <w:p w14:paraId="7DAFEDE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54.4</w:t>
                  </w:r>
                </w:p>
              </w:tc>
              <w:tc>
                <w:tcPr>
                  <w:tcW w:w="472" w:type="pct"/>
                  <w:tcBorders>
                    <w:tl2br w:val="nil"/>
                    <w:tr2bl w:val="nil"/>
                  </w:tcBorders>
                  <w:vAlign w:val="center"/>
                </w:tcPr>
                <w:p w14:paraId="536E9251">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r>
            <w:tr w14:paraId="270CB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05341350">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57231ED9">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3AADACB7">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氨氮</w:t>
                  </w:r>
                </w:p>
              </w:tc>
              <w:tc>
                <w:tcPr>
                  <w:tcW w:w="470" w:type="pct"/>
                  <w:tcBorders>
                    <w:tl2br w:val="nil"/>
                    <w:tr2bl w:val="nil"/>
                  </w:tcBorders>
                  <w:vAlign w:val="center"/>
                </w:tcPr>
                <w:p w14:paraId="3DDED7A3">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516134A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30.1</w:t>
                  </w:r>
                </w:p>
              </w:tc>
              <w:tc>
                <w:tcPr>
                  <w:tcW w:w="471" w:type="pct"/>
                  <w:tcBorders>
                    <w:tl2br w:val="nil"/>
                    <w:tr2bl w:val="nil"/>
                  </w:tcBorders>
                  <w:vAlign w:val="center"/>
                </w:tcPr>
                <w:p w14:paraId="18D8638A">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30.6</w:t>
                  </w:r>
                </w:p>
              </w:tc>
              <w:tc>
                <w:tcPr>
                  <w:tcW w:w="471" w:type="pct"/>
                  <w:tcBorders>
                    <w:tl2br w:val="nil"/>
                    <w:tr2bl w:val="nil"/>
                  </w:tcBorders>
                  <w:vAlign w:val="center"/>
                </w:tcPr>
                <w:p w14:paraId="005564E9">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29.7</w:t>
                  </w:r>
                </w:p>
              </w:tc>
              <w:tc>
                <w:tcPr>
                  <w:tcW w:w="476" w:type="pct"/>
                  <w:tcBorders>
                    <w:tl2br w:val="nil"/>
                    <w:tr2bl w:val="nil"/>
                  </w:tcBorders>
                  <w:vAlign w:val="center"/>
                </w:tcPr>
                <w:p w14:paraId="6DC581D5">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29.6</w:t>
                  </w:r>
                </w:p>
              </w:tc>
              <w:tc>
                <w:tcPr>
                  <w:tcW w:w="472" w:type="pct"/>
                  <w:tcBorders>
                    <w:tl2br w:val="nil"/>
                    <w:tr2bl w:val="nil"/>
                  </w:tcBorders>
                  <w:vAlign w:val="center"/>
                </w:tcPr>
                <w:p w14:paraId="135C44F2">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30.0</w:t>
                  </w:r>
                </w:p>
              </w:tc>
              <w:tc>
                <w:tcPr>
                  <w:tcW w:w="472" w:type="pct"/>
                  <w:tcBorders>
                    <w:tl2br w:val="nil"/>
                    <w:tr2bl w:val="nil"/>
                  </w:tcBorders>
                  <w:vAlign w:val="center"/>
                </w:tcPr>
                <w:p w14:paraId="08620668">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r w14:paraId="4193D7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4BFFC238">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7FA16A41">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4045775C">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总磷</w:t>
                  </w:r>
                </w:p>
              </w:tc>
              <w:tc>
                <w:tcPr>
                  <w:tcW w:w="470" w:type="pct"/>
                  <w:tcBorders>
                    <w:tl2br w:val="nil"/>
                    <w:tr2bl w:val="nil"/>
                  </w:tcBorders>
                  <w:vAlign w:val="center"/>
                </w:tcPr>
                <w:p w14:paraId="4AAFC22B">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71DEABC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3.10</w:t>
                  </w:r>
                </w:p>
              </w:tc>
              <w:tc>
                <w:tcPr>
                  <w:tcW w:w="471" w:type="pct"/>
                  <w:tcBorders>
                    <w:tl2br w:val="nil"/>
                    <w:tr2bl w:val="nil"/>
                  </w:tcBorders>
                  <w:vAlign w:val="center"/>
                </w:tcPr>
                <w:p w14:paraId="1B3709B7">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3.11</w:t>
                  </w:r>
                </w:p>
              </w:tc>
              <w:tc>
                <w:tcPr>
                  <w:tcW w:w="471" w:type="pct"/>
                  <w:tcBorders>
                    <w:tl2br w:val="nil"/>
                    <w:tr2bl w:val="nil"/>
                  </w:tcBorders>
                  <w:vAlign w:val="center"/>
                </w:tcPr>
                <w:p w14:paraId="55C3DE6F">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3.08</w:t>
                  </w:r>
                </w:p>
              </w:tc>
              <w:tc>
                <w:tcPr>
                  <w:tcW w:w="476" w:type="pct"/>
                  <w:tcBorders>
                    <w:tl2br w:val="nil"/>
                    <w:tr2bl w:val="nil"/>
                  </w:tcBorders>
                  <w:vAlign w:val="center"/>
                </w:tcPr>
                <w:p w14:paraId="6679E77F">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3.12</w:t>
                  </w:r>
                </w:p>
              </w:tc>
              <w:tc>
                <w:tcPr>
                  <w:tcW w:w="472" w:type="pct"/>
                  <w:tcBorders>
                    <w:tl2br w:val="nil"/>
                    <w:tr2bl w:val="nil"/>
                  </w:tcBorders>
                  <w:vAlign w:val="center"/>
                </w:tcPr>
                <w:p w14:paraId="13F942FF">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3.10</w:t>
                  </w:r>
                </w:p>
              </w:tc>
              <w:tc>
                <w:tcPr>
                  <w:tcW w:w="472" w:type="pct"/>
                  <w:tcBorders>
                    <w:tl2br w:val="nil"/>
                    <w:tr2bl w:val="nil"/>
                  </w:tcBorders>
                  <w:vAlign w:val="center"/>
                </w:tcPr>
                <w:p w14:paraId="70FFF325">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r>
            <w:tr w14:paraId="57F12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5377CC63">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1423C41B">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144B5305">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悬浮物</w:t>
                  </w:r>
                </w:p>
              </w:tc>
              <w:tc>
                <w:tcPr>
                  <w:tcW w:w="470" w:type="pct"/>
                  <w:tcBorders>
                    <w:tl2br w:val="nil"/>
                    <w:tr2bl w:val="nil"/>
                  </w:tcBorders>
                  <w:vAlign w:val="center"/>
                </w:tcPr>
                <w:p w14:paraId="3830A6CE">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47589413">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38</w:t>
                  </w:r>
                </w:p>
              </w:tc>
              <w:tc>
                <w:tcPr>
                  <w:tcW w:w="471" w:type="pct"/>
                  <w:tcBorders>
                    <w:tl2br w:val="nil"/>
                    <w:tr2bl w:val="nil"/>
                  </w:tcBorders>
                  <w:vAlign w:val="center"/>
                </w:tcPr>
                <w:p w14:paraId="63684B9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43</w:t>
                  </w:r>
                </w:p>
              </w:tc>
              <w:tc>
                <w:tcPr>
                  <w:tcW w:w="471" w:type="pct"/>
                  <w:tcBorders>
                    <w:tl2br w:val="nil"/>
                    <w:tr2bl w:val="nil"/>
                  </w:tcBorders>
                  <w:vAlign w:val="center"/>
                </w:tcPr>
                <w:p w14:paraId="3288B0D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40</w:t>
                  </w:r>
                </w:p>
              </w:tc>
              <w:tc>
                <w:tcPr>
                  <w:tcW w:w="476" w:type="pct"/>
                  <w:tcBorders>
                    <w:tl2br w:val="nil"/>
                    <w:tr2bl w:val="nil"/>
                  </w:tcBorders>
                  <w:vAlign w:val="center"/>
                </w:tcPr>
                <w:p w14:paraId="6AFD230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40</w:t>
                  </w:r>
                </w:p>
              </w:tc>
              <w:tc>
                <w:tcPr>
                  <w:tcW w:w="472" w:type="pct"/>
                  <w:tcBorders>
                    <w:tl2br w:val="nil"/>
                    <w:tr2bl w:val="nil"/>
                  </w:tcBorders>
                  <w:vAlign w:val="center"/>
                </w:tcPr>
                <w:p w14:paraId="4E1C3DB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40</w:t>
                  </w:r>
                </w:p>
              </w:tc>
              <w:tc>
                <w:tcPr>
                  <w:tcW w:w="472" w:type="pct"/>
                  <w:tcBorders>
                    <w:tl2br w:val="nil"/>
                    <w:tr2bl w:val="nil"/>
                  </w:tcBorders>
                  <w:vAlign w:val="center"/>
                </w:tcPr>
                <w:p w14:paraId="6CE65800">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r>
            <w:tr w14:paraId="2B813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3BB06CD7">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4E2082BA">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65441D4B">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470" w:type="pct"/>
                  <w:tcBorders>
                    <w:tl2br w:val="nil"/>
                    <w:tr2bl w:val="nil"/>
                  </w:tcBorders>
                  <w:vAlign w:val="center"/>
                </w:tcPr>
                <w:p w14:paraId="685C350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065E3DE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0.06</w:t>
                  </w:r>
                </w:p>
              </w:tc>
              <w:tc>
                <w:tcPr>
                  <w:tcW w:w="471" w:type="pct"/>
                  <w:tcBorders>
                    <w:tl2br w:val="nil"/>
                    <w:tr2bl w:val="nil"/>
                  </w:tcBorders>
                  <w:vAlign w:val="center"/>
                </w:tcPr>
                <w:p w14:paraId="79CB241B">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0.07</w:t>
                  </w:r>
                </w:p>
              </w:tc>
              <w:tc>
                <w:tcPr>
                  <w:tcW w:w="471" w:type="pct"/>
                  <w:tcBorders>
                    <w:tl2br w:val="nil"/>
                    <w:tr2bl w:val="nil"/>
                  </w:tcBorders>
                  <w:vAlign w:val="center"/>
                </w:tcPr>
                <w:p w14:paraId="30F28423">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0.07</w:t>
                  </w:r>
                </w:p>
              </w:tc>
              <w:tc>
                <w:tcPr>
                  <w:tcW w:w="476" w:type="pct"/>
                  <w:tcBorders>
                    <w:tl2br w:val="nil"/>
                    <w:tr2bl w:val="nil"/>
                  </w:tcBorders>
                  <w:vAlign w:val="center"/>
                </w:tcPr>
                <w:p w14:paraId="464BA3A1">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0.09</w:t>
                  </w:r>
                </w:p>
              </w:tc>
              <w:tc>
                <w:tcPr>
                  <w:tcW w:w="472" w:type="pct"/>
                  <w:tcBorders>
                    <w:tl2br w:val="nil"/>
                    <w:tr2bl w:val="nil"/>
                  </w:tcBorders>
                  <w:vAlign w:val="center"/>
                </w:tcPr>
                <w:p w14:paraId="18C54521">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0.07</w:t>
                  </w:r>
                </w:p>
              </w:tc>
              <w:tc>
                <w:tcPr>
                  <w:tcW w:w="472" w:type="pct"/>
                  <w:tcBorders>
                    <w:tl2br w:val="nil"/>
                    <w:tr2bl w:val="nil"/>
                  </w:tcBorders>
                  <w:vAlign w:val="center"/>
                </w:tcPr>
                <w:p w14:paraId="06A5B8EC">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14:paraId="0F91D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173159CE">
                  <w:pPr>
                    <w:bidi w:val="0"/>
                    <w:jc w:val="center"/>
                    <w:rPr>
                      <w:rFonts w:hint="default" w:ascii="Times New Roman" w:hAnsi="Times New Roman" w:eastAsia="宋体" w:cs="Times New Roman"/>
                      <w:color w:val="auto"/>
                      <w:sz w:val="21"/>
                      <w:szCs w:val="21"/>
                    </w:rPr>
                  </w:pPr>
                </w:p>
              </w:tc>
              <w:tc>
                <w:tcPr>
                  <w:tcW w:w="530" w:type="pct"/>
                  <w:vMerge w:val="restart"/>
                  <w:tcBorders>
                    <w:tl2br w:val="nil"/>
                    <w:tr2bl w:val="nil"/>
                  </w:tcBorders>
                  <w:vAlign w:val="center"/>
                </w:tcPr>
                <w:p w14:paraId="08D0852F">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2025.09.0</w:t>
                  </w:r>
                  <w:r>
                    <w:rPr>
                      <w:rFonts w:hint="eastAsia" w:ascii="Times New Roman" w:hAnsi="Times New Roman" w:eastAsia="宋体" w:cs="Times New Roman"/>
                      <w:color w:val="auto"/>
                      <w:sz w:val="21"/>
                      <w:szCs w:val="21"/>
                      <w:lang w:val="en-US" w:eastAsia="zh-CN"/>
                    </w:rPr>
                    <w:t>2</w:t>
                  </w:r>
                </w:p>
              </w:tc>
              <w:tc>
                <w:tcPr>
                  <w:tcW w:w="681" w:type="pct"/>
                  <w:tcBorders>
                    <w:tl2br w:val="nil"/>
                    <w:tr2bl w:val="nil"/>
                  </w:tcBorders>
                  <w:shd w:val="clear" w:color="auto" w:fill="auto"/>
                  <w:vAlign w:val="center"/>
                </w:tcPr>
                <w:p w14:paraId="2A57ED3A">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470" w:type="pct"/>
                  <w:tcBorders>
                    <w:tl2br w:val="nil"/>
                    <w:tr2bl w:val="nil"/>
                  </w:tcBorders>
                  <w:vAlign w:val="center"/>
                </w:tcPr>
                <w:p w14:paraId="2D15C5E1">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无量纲</w:t>
                  </w:r>
                </w:p>
              </w:tc>
              <w:tc>
                <w:tcPr>
                  <w:tcW w:w="470" w:type="pct"/>
                  <w:tcBorders>
                    <w:tl2br w:val="nil"/>
                    <w:tr2bl w:val="nil"/>
                  </w:tcBorders>
                  <w:vAlign w:val="center"/>
                </w:tcPr>
                <w:p w14:paraId="4B7044C2">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7.1</w:t>
                  </w:r>
                </w:p>
              </w:tc>
              <w:tc>
                <w:tcPr>
                  <w:tcW w:w="471" w:type="pct"/>
                  <w:tcBorders>
                    <w:tl2br w:val="nil"/>
                    <w:tr2bl w:val="nil"/>
                  </w:tcBorders>
                  <w:vAlign w:val="center"/>
                </w:tcPr>
                <w:p w14:paraId="4221E393">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7.1</w:t>
                  </w:r>
                </w:p>
              </w:tc>
              <w:tc>
                <w:tcPr>
                  <w:tcW w:w="471" w:type="pct"/>
                  <w:tcBorders>
                    <w:tl2br w:val="nil"/>
                    <w:tr2bl w:val="nil"/>
                  </w:tcBorders>
                  <w:vAlign w:val="center"/>
                </w:tcPr>
                <w:p w14:paraId="500711E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7.2</w:t>
                  </w:r>
                </w:p>
              </w:tc>
              <w:tc>
                <w:tcPr>
                  <w:tcW w:w="476" w:type="pct"/>
                  <w:tcBorders>
                    <w:tl2br w:val="nil"/>
                    <w:tr2bl w:val="nil"/>
                  </w:tcBorders>
                  <w:vAlign w:val="center"/>
                </w:tcPr>
                <w:p w14:paraId="2791E90B">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7.1</w:t>
                  </w:r>
                </w:p>
              </w:tc>
              <w:tc>
                <w:tcPr>
                  <w:tcW w:w="472" w:type="pct"/>
                  <w:tcBorders>
                    <w:tl2br w:val="nil"/>
                    <w:tr2bl w:val="nil"/>
                  </w:tcBorders>
                  <w:vAlign w:val="center"/>
                </w:tcPr>
                <w:p w14:paraId="4043594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472" w:type="pct"/>
                  <w:tcBorders>
                    <w:tl2br w:val="nil"/>
                    <w:tr2bl w:val="nil"/>
                  </w:tcBorders>
                  <w:vAlign w:val="center"/>
                </w:tcPr>
                <w:p w14:paraId="23C8199B">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6~9</w:t>
                  </w:r>
                </w:p>
              </w:tc>
            </w:tr>
            <w:tr w14:paraId="5F4DF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159B1216">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3F2D5340">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4AC6371A">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化学需氧量</w:t>
                  </w:r>
                </w:p>
              </w:tc>
              <w:tc>
                <w:tcPr>
                  <w:tcW w:w="470" w:type="pct"/>
                  <w:tcBorders>
                    <w:tl2br w:val="nil"/>
                    <w:tr2bl w:val="nil"/>
                  </w:tcBorders>
                  <w:vAlign w:val="center"/>
                </w:tcPr>
                <w:p w14:paraId="4A9D95F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18F0D132">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189</w:t>
                  </w:r>
                </w:p>
              </w:tc>
              <w:tc>
                <w:tcPr>
                  <w:tcW w:w="471" w:type="pct"/>
                  <w:tcBorders>
                    <w:tl2br w:val="nil"/>
                    <w:tr2bl w:val="nil"/>
                  </w:tcBorders>
                  <w:vAlign w:val="center"/>
                </w:tcPr>
                <w:p w14:paraId="50D1D14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201</w:t>
                  </w:r>
                </w:p>
              </w:tc>
              <w:tc>
                <w:tcPr>
                  <w:tcW w:w="471" w:type="pct"/>
                  <w:tcBorders>
                    <w:tl2br w:val="nil"/>
                    <w:tr2bl w:val="nil"/>
                  </w:tcBorders>
                  <w:vAlign w:val="center"/>
                </w:tcPr>
                <w:p w14:paraId="4A45C4A5">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205</w:t>
                  </w:r>
                </w:p>
              </w:tc>
              <w:tc>
                <w:tcPr>
                  <w:tcW w:w="476" w:type="pct"/>
                  <w:tcBorders>
                    <w:tl2br w:val="nil"/>
                    <w:tr2bl w:val="nil"/>
                  </w:tcBorders>
                  <w:vAlign w:val="center"/>
                </w:tcPr>
                <w:p w14:paraId="1A0F5E90">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180</w:t>
                  </w:r>
                </w:p>
              </w:tc>
              <w:tc>
                <w:tcPr>
                  <w:tcW w:w="472" w:type="pct"/>
                  <w:tcBorders>
                    <w:tl2br w:val="nil"/>
                    <w:tr2bl w:val="nil"/>
                  </w:tcBorders>
                  <w:vAlign w:val="center"/>
                </w:tcPr>
                <w:p w14:paraId="3057C87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194</w:t>
                  </w:r>
                </w:p>
              </w:tc>
              <w:tc>
                <w:tcPr>
                  <w:tcW w:w="472" w:type="pct"/>
                  <w:tcBorders>
                    <w:tl2br w:val="nil"/>
                    <w:tr2bl w:val="nil"/>
                  </w:tcBorders>
                  <w:vAlign w:val="center"/>
                </w:tcPr>
                <w:p w14:paraId="144EAE7F">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500</w:t>
                  </w:r>
                </w:p>
              </w:tc>
            </w:tr>
            <w:tr w14:paraId="673E76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08DEAE86">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0C73EA43">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56504867">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五日生化需氧量</w:t>
                  </w:r>
                </w:p>
              </w:tc>
              <w:tc>
                <w:tcPr>
                  <w:tcW w:w="470" w:type="pct"/>
                  <w:tcBorders>
                    <w:tl2br w:val="nil"/>
                    <w:tr2bl w:val="nil"/>
                  </w:tcBorders>
                  <w:vAlign w:val="center"/>
                </w:tcPr>
                <w:p w14:paraId="13169CB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2E2D3209">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56.6</w:t>
                  </w:r>
                </w:p>
              </w:tc>
              <w:tc>
                <w:tcPr>
                  <w:tcW w:w="471" w:type="pct"/>
                  <w:tcBorders>
                    <w:tl2br w:val="nil"/>
                    <w:tr2bl w:val="nil"/>
                  </w:tcBorders>
                  <w:vAlign w:val="center"/>
                </w:tcPr>
                <w:p w14:paraId="6427FC5C">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52.2</w:t>
                  </w:r>
                </w:p>
              </w:tc>
              <w:tc>
                <w:tcPr>
                  <w:tcW w:w="471" w:type="pct"/>
                  <w:tcBorders>
                    <w:tl2br w:val="nil"/>
                    <w:tr2bl w:val="nil"/>
                  </w:tcBorders>
                  <w:vAlign w:val="center"/>
                </w:tcPr>
                <w:p w14:paraId="368DB9C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58.4</w:t>
                  </w:r>
                </w:p>
              </w:tc>
              <w:tc>
                <w:tcPr>
                  <w:tcW w:w="476" w:type="pct"/>
                  <w:tcBorders>
                    <w:tl2br w:val="nil"/>
                    <w:tr2bl w:val="nil"/>
                  </w:tcBorders>
                  <w:vAlign w:val="center"/>
                </w:tcPr>
                <w:p w14:paraId="6835E08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57.3</w:t>
                  </w:r>
                </w:p>
              </w:tc>
              <w:tc>
                <w:tcPr>
                  <w:tcW w:w="472" w:type="pct"/>
                  <w:tcBorders>
                    <w:tl2br w:val="nil"/>
                    <w:tr2bl w:val="nil"/>
                  </w:tcBorders>
                  <w:vAlign w:val="center"/>
                </w:tcPr>
                <w:p w14:paraId="6AB2877C">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56.1</w:t>
                  </w:r>
                </w:p>
              </w:tc>
              <w:tc>
                <w:tcPr>
                  <w:tcW w:w="472" w:type="pct"/>
                  <w:tcBorders>
                    <w:tl2br w:val="nil"/>
                    <w:tr2bl w:val="nil"/>
                  </w:tcBorders>
                  <w:vAlign w:val="center"/>
                </w:tcPr>
                <w:p w14:paraId="51C2A9A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300</w:t>
                  </w:r>
                </w:p>
              </w:tc>
            </w:tr>
            <w:tr w14:paraId="554E3A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4A61EBDB">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58124A15">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1CBDE23A">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470" w:type="pct"/>
                  <w:tcBorders>
                    <w:tl2br w:val="nil"/>
                    <w:tr2bl w:val="nil"/>
                  </w:tcBorders>
                  <w:vAlign w:val="center"/>
                </w:tcPr>
                <w:p w14:paraId="2CD25107">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757BDE26">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30.4</w:t>
                  </w:r>
                </w:p>
              </w:tc>
              <w:tc>
                <w:tcPr>
                  <w:tcW w:w="471" w:type="pct"/>
                  <w:tcBorders>
                    <w:tl2br w:val="nil"/>
                    <w:tr2bl w:val="nil"/>
                  </w:tcBorders>
                  <w:vAlign w:val="center"/>
                </w:tcPr>
                <w:p w14:paraId="3BDFE122">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30.2</w:t>
                  </w:r>
                </w:p>
              </w:tc>
              <w:tc>
                <w:tcPr>
                  <w:tcW w:w="471" w:type="pct"/>
                  <w:tcBorders>
                    <w:tl2br w:val="nil"/>
                    <w:tr2bl w:val="nil"/>
                  </w:tcBorders>
                  <w:vAlign w:val="center"/>
                </w:tcPr>
                <w:p w14:paraId="6DC9D45E">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30.6</w:t>
                  </w:r>
                </w:p>
              </w:tc>
              <w:tc>
                <w:tcPr>
                  <w:tcW w:w="476" w:type="pct"/>
                  <w:tcBorders>
                    <w:tl2br w:val="nil"/>
                    <w:tr2bl w:val="nil"/>
                  </w:tcBorders>
                  <w:vAlign w:val="center"/>
                </w:tcPr>
                <w:p w14:paraId="0688C89B">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29.8</w:t>
                  </w:r>
                </w:p>
              </w:tc>
              <w:tc>
                <w:tcPr>
                  <w:tcW w:w="472" w:type="pct"/>
                  <w:tcBorders>
                    <w:tl2br w:val="nil"/>
                    <w:tr2bl w:val="nil"/>
                  </w:tcBorders>
                  <w:vAlign w:val="center"/>
                </w:tcPr>
                <w:p w14:paraId="5F2F372A">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30.2</w:t>
                  </w:r>
                </w:p>
              </w:tc>
              <w:tc>
                <w:tcPr>
                  <w:tcW w:w="472" w:type="pct"/>
                  <w:tcBorders>
                    <w:tl2br w:val="nil"/>
                    <w:tr2bl w:val="nil"/>
                  </w:tcBorders>
                  <w:vAlign w:val="center"/>
                </w:tcPr>
                <w:p w14:paraId="75330DCE">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45</w:t>
                  </w:r>
                </w:p>
              </w:tc>
            </w:tr>
            <w:tr w14:paraId="2BCD1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3DB355EF">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7B97C56E">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23B3BE43">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总磷</w:t>
                  </w:r>
                </w:p>
              </w:tc>
              <w:tc>
                <w:tcPr>
                  <w:tcW w:w="470" w:type="pct"/>
                  <w:tcBorders>
                    <w:tl2br w:val="nil"/>
                    <w:tr2bl w:val="nil"/>
                  </w:tcBorders>
                  <w:vAlign w:val="center"/>
                </w:tcPr>
                <w:p w14:paraId="2D24A713">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6462A1FB">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3.15</w:t>
                  </w:r>
                </w:p>
              </w:tc>
              <w:tc>
                <w:tcPr>
                  <w:tcW w:w="471" w:type="pct"/>
                  <w:tcBorders>
                    <w:tl2br w:val="nil"/>
                    <w:tr2bl w:val="nil"/>
                  </w:tcBorders>
                  <w:vAlign w:val="center"/>
                </w:tcPr>
                <w:p w14:paraId="2FEBED91">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3.07</w:t>
                  </w:r>
                </w:p>
              </w:tc>
              <w:tc>
                <w:tcPr>
                  <w:tcW w:w="471" w:type="pct"/>
                  <w:tcBorders>
                    <w:tl2br w:val="nil"/>
                    <w:tr2bl w:val="nil"/>
                  </w:tcBorders>
                  <w:vAlign w:val="center"/>
                </w:tcPr>
                <w:p w14:paraId="4B70F423">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3.14</w:t>
                  </w:r>
                </w:p>
              </w:tc>
              <w:tc>
                <w:tcPr>
                  <w:tcW w:w="476" w:type="pct"/>
                  <w:tcBorders>
                    <w:tl2br w:val="nil"/>
                    <w:tr2bl w:val="nil"/>
                  </w:tcBorders>
                  <w:vAlign w:val="center"/>
                </w:tcPr>
                <w:p w14:paraId="54082FCB">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3.12</w:t>
                  </w:r>
                </w:p>
              </w:tc>
              <w:tc>
                <w:tcPr>
                  <w:tcW w:w="472" w:type="pct"/>
                  <w:tcBorders>
                    <w:tl2br w:val="nil"/>
                    <w:tr2bl w:val="nil"/>
                  </w:tcBorders>
                  <w:vAlign w:val="center"/>
                </w:tcPr>
                <w:p w14:paraId="1DF8965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3.12</w:t>
                  </w:r>
                </w:p>
              </w:tc>
              <w:tc>
                <w:tcPr>
                  <w:tcW w:w="472" w:type="pct"/>
                  <w:tcBorders>
                    <w:tl2br w:val="nil"/>
                    <w:tr2bl w:val="nil"/>
                  </w:tcBorders>
                  <w:vAlign w:val="center"/>
                </w:tcPr>
                <w:p w14:paraId="43BBA212">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w:t>
                  </w:r>
                </w:p>
              </w:tc>
            </w:tr>
            <w:tr w14:paraId="7567E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0B75562D">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79641670">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1ACCF0BC">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悬浮物</w:t>
                  </w:r>
                </w:p>
              </w:tc>
              <w:tc>
                <w:tcPr>
                  <w:tcW w:w="470" w:type="pct"/>
                  <w:tcBorders>
                    <w:tl2br w:val="nil"/>
                    <w:tr2bl w:val="nil"/>
                  </w:tcBorders>
                  <w:vAlign w:val="center"/>
                </w:tcPr>
                <w:p w14:paraId="14BC18F6">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4B3692B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36</w:t>
                  </w:r>
                </w:p>
              </w:tc>
              <w:tc>
                <w:tcPr>
                  <w:tcW w:w="471" w:type="pct"/>
                  <w:tcBorders>
                    <w:tl2br w:val="nil"/>
                    <w:tr2bl w:val="nil"/>
                  </w:tcBorders>
                  <w:vAlign w:val="center"/>
                </w:tcPr>
                <w:p w14:paraId="247A5358">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39</w:t>
                  </w:r>
                </w:p>
              </w:tc>
              <w:tc>
                <w:tcPr>
                  <w:tcW w:w="471" w:type="pct"/>
                  <w:tcBorders>
                    <w:tl2br w:val="nil"/>
                    <w:tr2bl w:val="nil"/>
                  </w:tcBorders>
                  <w:vAlign w:val="center"/>
                </w:tcPr>
                <w:p w14:paraId="38FCAA3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40</w:t>
                  </w:r>
                </w:p>
              </w:tc>
              <w:tc>
                <w:tcPr>
                  <w:tcW w:w="476" w:type="pct"/>
                  <w:tcBorders>
                    <w:tl2br w:val="nil"/>
                    <w:tr2bl w:val="nil"/>
                  </w:tcBorders>
                  <w:vAlign w:val="center"/>
                </w:tcPr>
                <w:p w14:paraId="567156BB">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42</w:t>
                  </w:r>
                </w:p>
              </w:tc>
              <w:tc>
                <w:tcPr>
                  <w:tcW w:w="472" w:type="pct"/>
                  <w:tcBorders>
                    <w:tl2br w:val="nil"/>
                    <w:tr2bl w:val="nil"/>
                  </w:tcBorders>
                  <w:vAlign w:val="center"/>
                </w:tcPr>
                <w:p w14:paraId="50BE3815">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39</w:t>
                  </w:r>
                </w:p>
              </w:tc>
              <w:tc>
                <w:tcPr>
                  <w:tcW w:w="472" w:type="pct"/>
                  <w:tcBorders>
                    <w:tl2br w:val="nil"/>
                    <w:tr2bl w:val="nil"/>
                  </w:tcBorders>
                  <w:vAlign w:val="center"/>
                </w:tcPr>
                <w:p w14:paraId="6301CC07">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400</w:t>
                  </w:r>
                </w:p>
              </w:tc>
            </w:tr>
            <w:tr w14:paraId="0FA38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vAlign w:val="center"/>
                </w:tcPr>
                <w:p w14:paraId="667E0942">
                  <w:pPr>
                    <w:bidi w:val="0"/>
                    <w:jc w:val="center"/>
                    <w:rPr>
                      <w:rFonts w:hint="default" w:ascii="Times New Roman" w:hAnsi="Times New Roman" w:eastAsia="宋体" w:cs="Times New Roman"/>
                      <w:color w:val="auto"/>
                      <w:sz w:val="21"/>
                      <w:szCs w:val="21"/>
                    </w:rPr>
                  </w:pPr>
                </w:p>
              </w:tc>
              <w:tc>
                <w:tcPr>
                  <w:tcW w:w="530" w:type="pct"/>
                  <w:vMerge w:val="continue"/>
                  <w:tcBorders>
                    <w:tl2br w:val="nil"/>
                    <w:tr2bl w:val="nil"/>
                  </w:tcBorders>
                  <w:vAlign w:val="center"/>
                </w:tcPr>
                <w:p w14:paraId="420124CB">
                  <w:pPr>
                    <w:bidi w:val="0"/>
                    <w:jc w:val="center"/>
                    <w:rPr>
                      <w:rFonts w:hint="default" w:ascii="Times New Roman" w:hAnsi="Times New Roman" w:eastAsia="宋体" w:cs="Times New Roman"/>
                      <w:color w:val="auto"/>
                      <w:sz w:val="21"/>
                      <w:szCs w:val="21"/>
                    </w:rPr>
                  </w:pPr>
                </w:p>
              </w:tc>
              <w:tc>
                <w:tcPr>
                  <w:tcW w:w="681" w:type="pct"/>
                  <w:tcBorders>
                    <w:tl2br w:val="nil"/>
                    <w:tr2bl w:val="nil"/>
                  </w:tcBorders>
                  <w:shd w:val="clear" w:color="auto" w:fill="auto"/>
                  <w:vAlign w:val="center"/>
                </w:tcPr>
                <w:p w14:paraId="4ECB56DE">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470" w:type="pct"/>
                  <w:tcBorders>
                    <w:tl2br w:val="nil"/>
                    <w:tr2bl w:val="nil"/>
                  </w:tcBorders>
                  <w:vAlign w:val="center"/>
                </w:tcPr>
                <w:p w14:paraId="6DF688BA">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470" w:type="pct"/>
                  <w:tcBorders>
                    <w:tl2br w:val="nil"/>
                    <w:tr2bl w:val="nil"/>
                  </w:tcBorders>
                  <w:vAlign w:val="center"/>
                </w:tcPr>
                <w:p w14:paraId="45572636">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0.11</w:t>
                  </w:r>
                </w:p>
              </w:tc>
              <w:tc>
                <w:tcPr>
                  <w:tcW w:w="471" w:type="pct"/>
                  <w:tcBorders>
                    <w:tl2br w:val="nil"/>
                    <w:tr2bl w:val="nil"/>
                  </w:tcBorders>
                  <w:vAlign w:val="center"/>
                </w:tcPr>
                <w:p w14:paraId="006E83CF">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0.07</w:t>
                  </w:r>
                </w:p>
              </w:tc>
              <w:tc>
                <w:tcPr>
                  <w:tcW w:w="471" w:type="pct"/>
                  <w:tcBorders>
                    <w:tl2br w:val="nil"/>
                    <w:tr2bl w:val="nil"/>
                  </w:tcBorders>
                  <w:vAlign w:val="center"/>
                </w:tcPr>
                <w:p w14:paraId="025D6C91">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0.09</w:t>
                  </w:r>
                </w:p>
              </w:tc>
              <w:tc>
                <w:tcPr>
                  <w:tcW w:w="476" w:type="pct"/>
                  <w:tcBorders>
                    <w:tl2br w:val="nil"/>
                    <w:tr2bl w:val="nil"/>
                  </w:tcBorders>
                  <w:vAlign w:val="center"/>
                </w:tcPr>
                <w:p w14:paraId="27035E91">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0.11</w:t>
                  </w:r>
                </w:p>
              </w:tc>
              <w:tc>
                <w:tcPr>
                  <w:tcW w:w="472" w:type="pct"/>
                  <w:tcBorders>
                    <w:tl2br w:val="nil"/>
                    <w:tr2bl w:val="nil"/>
                  </w:tcBorders>
                  <w:vAlign w:val="center"/>
                </w:tcPr>
                <w:p w14:paraId="795EBF4B">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0.10</w:t>
                  </w:r>
                </w:p>
              </w:tc>
              <w:tc>
                <w:tcPr>
                  <w:tcW w:w="472" w:type="pct"/>
                  <w:tcBorders>
                    <w:tl2br w:val="nil"/>
                    <w:tr2bl w:val="nil"/>
                  </w:tcBorders>
                  <w:vAlign w:val="center"/>
                </w:tcPr>
                <w:p w14:paraId="6E3BE391">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100</w:t>
                  </w:r>
                </w:p>
              </w:tc>
            </w:tr>
          </w:tbl>
          <w:p w14:paraId="54D55D91">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因此本项目实验室废水依托已建预处理池处理可行。</w:t>
            </w:r>
          </w:p>
          <w:p w14:paraId="1A7FD85E">
            <w:pPr>
              <w:spacing w:line="360" w:lineRule="auto"/>
              <w:ind w:firstLine="480" w:firstLineChars="200"/>
              <w:rPr>
                <w:rFonts w:ascii="Times New Roman" w:hAnsi="Times New Roman" w:cs="Times New Roman"/>
                <w:color w:val="auto"/>
                <w:sz w:val="24"/>
                <w:szCs w:val="24"/>
                <w:highlight w:val="none"/>
              </w:rPr>
            </w:pPr>
            <w:r>
              <w:rPr>
                <w:rFonts w:hint="eastAsia" w:ascii="宋体" w:hAnsi="宋体" w:eastAsia="宋体" w:cs="宋体"/>
                <w:color w:val="auto"/>
                <w:sz w:val="24"/>
                <w:szCs w:val="24"/>
                <w:highlight w:val="none"/>
              </w:rPr>
              <w:t>③</w:t>
            </w:r>
            <w:r>
              <w:rPr>
                <w:rFonts w:hint="eastAsia" w:ascii="Times New Roman" w:hAnsi="Times New Roman" w:cs="Times New Roman"/>
                <w:color w:val="auto"/>
                <w:sz w:val="24"/>
                <w:szCs w:val="24"/>
                <w:highlight w:val="none"/>
                <w:lang w:eastAsia="zh-CN"/>
              </w:rPr>
              <w:t>马尔康市城市生活污水处理厂</w:t>
            </w:r>
            <w:r>
              <w:rPr>
                <w:rFonts w:hint="eastAsia" w:ascii="Times New Roman" w:hAnsi="Times New Roman" w:cs="Times New Roman"/>
                <w:color w:val="auto"/>
                <w:sz w:val="24"/>
                <w:szCs w:val="24"/>
                <w:highlight w:val="none"/>
              </w:rPr>
              <w:t>处理可行性分析</w:t>
            </w:r>
          </w:p>
          <w:p w14:paraId="5BB236AC">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lang w:eastAsia="zh-CN"/>
              </w:rPr>
              <w:t>马尔康市城市生活污水处理厂</w:t>
            </w:r>
            <w:r>
              <w:rPr>
                <w:rFonts w:hint="eastAsia" w:ascii="Times New Roman" w:hAnsi="Times New Roman" w:cs="Times New Roman"/>
                <w:color w:val="auto"/>
                <w:sz w:val="24"/>
                <w:szCs w:val="24"/>
                <w:highlight w:val="none"/>
              </w:rPr>
              <w:t>概况</w:t>
            </w:r>
          </w:p>
          <w:p w14:paraId="1568F40B">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马尔康市城市生活污水处理厂（一期）于2018年建设，建设地点位于马尔康市马尔康镇本真村，采用较为先进的MBBR污水处理工艺，其设计规模为1万立方米/日，一期日处理规模达到1万立方米/日，内容包括综合楼、机修间、检验室、提升泵房、细格栅间、脱水间、MBBR设备间、风机房等厂区建筑，格栅池、沉砂池、配水池、曝气池、生化沉淀池污泥池、消毒渠等污水处理设施，道路及场地硬化、绿化等总体工程，预处理设备、生化设备、污泥处理设备等设备工程。2023年，该污水处理厂进行了扩建，扩建规模为1万立方米/日。项目于2023年1月开工，目前项目已经建成运行。</w:t>
            </w:r>
          </w:p>
          <w:p w14:paraId="3D72D1FA">
            <w:pPr>
              <w:snapToGrid w:val="0"/>
              <w:spacing w:line="360" w:lineRule="auto"/>
              <w:ind w:firstLine="480" w:firstLineChars="200"/>
              <w:jc w:val="left"/>
              <w:rPr>
                <w:rFonts w:ascii="Times New Roman" w:hAnsi="Times New Roman" w:cs="Times New Roman"/>
                <w:bCs/>
                <w:color w:val="auto"/>
                <w:kern w:val="0"/>
                <w:sz w:val="24"/>
                <w:highlight w:val="none"/>
              </w:rPr>
            </w:pPr>
            <w:r>
              <w:rPr>
                <w:rFonts w:ascii="Times New Roman" w:hAnsi="Times New Roman" w:cs="Times New Roman"/>
                <w:bCs/>
                <w:color w:val="auto"/>
                <w:kern w:val="0"/>
                <w:sz w:val="24"/>
                <w:highlight w:val="none"/>
              </w:rPr>
              <w:t>2）项目废水排入污水处理厂可行性分析</w:t>
            </w:r>
          </w:p>
          <w:p w14:paraId="56B667D2">
            <w:pPr>
              <w:pStyle w:val="23"/>
              <w:numPr>
                <w:ilvl w:val="0"/>
                <w:numId w:val="0"/>
              </w:numPr>
              <w:spacing w:line="360" w:lineRule="auto"/>
              <w:ind w:firstLine="480" w:firstLineChars="200"/>
              <w:rPr>
                <w:rFonts w:ascii="Times New Roman" w:hAnsi="Times New Roman" w:cs="Times New Roman"/>
                <w:bCs/>
                <w:color w:val="auto"/>
                <w:sz w:val="24"/>
                <w:highlight w:val="none"/>
              </w:rPr>
            </w:pPr>
            <w:r>
              <w:rPr>
                <w:rFonts w:ascii="Times New Roman" w:hAnsi="Times New Roman" w:cs="Times New Roman"/>
                <w:bCs/>
                <w:color w:val="auto"/>
                <w:sz w:val="24"/>
                <w:highlight w:val="none"/>
              </w:rPr>
              <w:t>①管网配套：项目位于</w:t>
            </w:r>
            <w:r>
              <w:rPr>
                <w:rFonts w:hint="eastAsia" w:ascii="Times New Roman" w:hAnsi="Times New Roman" w:cs="Times New Roman"/>
                <w:color w:val="auto"/>
                <w:sz w:val="24"/>
                <w:szCs w:val="24"/>
                <w:highlight w:val="none"/>
                <w:lang w:eastAsia="zh-CN"/>
              </w:rPr>
              <w:t>马尔康市城市生活污水处理厂</w:t>
            </w:r>
            <w:r>
              <w:rPr>
                <w:rFonts w:ascii="Times New Roman" w:hAnsi="Times New Roman" w:cs="Times New Roman"/>
                <w:bCs/>
                <w:color w:val="auto"/>
                <w:sz w:val="24"/>
                <w:highlight w:val="none"/>
              </w:rPr>
              <w:t>服务范围内，项目所在区域已接通市政污水管网，污水通过市政污水管网排入</w:t>
            </w:r>
            <w:r>
              <w:rPr>
                <w:rFonts w:hint="eastAsia" w:ascii="Times New Roman" w:hAnsi="Times New Roman" w:cs="Times New Roman"/>
                <w:color w:val="auto"/>
                <w:sz w:val="24"/>
                <w:szCs w:val="24"/>
                <w:highlight w:val="none"/>
                <w:lang w:eastAsia="zh-CN"/>
              </w:rPr>
              <w:t>马尔康市城市生活污水处理厂</w:t>
            </w:r>
            <w:r>
              <w:rPr>
                <w:rFonts w:ascii="Times New Roman" w:hAnsi="Times New Roman" w:cs="Times New Roman"/>
                <w:bCs/>
                <w:color w:val="auto"/>
                <w:sz w:val="24"/>
                <w:highlight w:val="none"/>
              </w:rPr>
              <w:t>。</w:t>
            </w:r>
          </w:p>
          <w:p w14:paraId="707B26A6">
            <w:pPr>
              <w:spacing w:line="360" w:lineRule="auto"/>
              <w:ind w:firstLine="480" w:firstLineChars="200"/>
              <w:rPr>
                <w:rFonts w:ascii="Times New Roman" w:hAnsi="Times New Roman" w:cs="Times New Roman"/>
                <w:bCs/>
                <w:color w:val="auto"/>
                <w:sz w:val="24"/>
                <w:highlight w:val="none"/>
              </w:rPr>
            </w:pPr>
            <w:r>
              <w:rPr>
                <w:rFonts w:ascii="Times New Roman" w:hAnsi="Times New Roman" w:cs="Times New Roman"/>
                <w:bCs/>
                <w:color w:val="auto"/>
                <w:sz w:val="24"/>
                <w:highlight w:val="none"/>
              </w:rPr>
              <w:t>②水质符合性：项目排放的废水水质</w:t>
            </w:r>
            <w:r>
              <w:rPr>
                <w:rFonts w:ascii="Times New Roman" w:hAnsi="Times New Roman" w:cs="Times New Roman"/>
                <w:color w:val="auto"/>
                <w:sz w:val="24"/>
                <w:highlight w:val="none"/>
              </w:rPr>
              <w:t>COD</w:t>
            </w:r>
            <w:r>
              <w:rPr>
                <w:rFonts w:ascii="Times New Roman" w:hAnsi="Times New Roman" w:cs="Times New Roman"/>
                <w:color w:val="auto"/>
                <w:sz w:val="24"/>
                <w:highlight w:val="none"/>
                <w:vertAlign w:val="subscript"/>
              </w:rPr>
              <w:t>Cr</w:t>
            </w:r>
            <w:r>
              <w:rPr>
                <w:rFonts w:ascii="Times New Roman" w:hAnsi="Times New Roman" w:cs="Times New Roman"/>
                <w:color w:val="auto"/>
                <w:sz w:val="24"/>
                <w:highlight w:val="none"/>
              </w:rPr>
              <w:t>、BOD</w:t>
            </w:r>
            <w:r>
              <w:rPr>
                <w:rFonts w:ascii="Times New Roman" w:hAnsi="Times New Roman" w:cs="Times New Roman"/>
                <w:color w:val="auto"/>
                <w:sz w:val="24"/>
                <w:highlight w:val="none"/>
                <w:vertAlign w:val="subscript"/>
              </w:rPr>
              <w:t>5</w:t>
            </w:r>
            <w:r>
              <w:rPr>
                <w:rFonts w:ascii="Times New Roman" w:hAnsi="Times New Roman" w:cs="Times New Roman"/>
                <w:color w:val="auto"/>
                <w:sz w:val="24"/>
                <w:highlight w:val="none"/>
              </w:rPr>
              <w:t>、SS排放</w:t>
            </w:r>
            <w:r>
              <w:rPr>
                <w:rFonts w:hint="eastAsia" w:ascii="Times New Roman" w:hAnsi="Times New Roman" w:cs="Times New Roman"/>
                <w:color w:val="auto"/>
                <w:sz w:val="24"/>
                <w:highlight w:val="none"/>
              </w:rPr>
              <w:t>满足</w:t>
            </w:r>
            <w:r>
              <w:rPr>
                <w:rFonts w:hint="default" w:ascii="Times New Roman" w:hAnsi="Times New Roman" w:cs="Times New Roman"/>
                <w:color w:val="auto"/>
                <w:sz w:val="24"/>
                <w:lang w:bidi="bo-CN"/>
              </w:rPr>
              <w:t>《污水综合排放标准》（GB8978-1996）的三级标准</w:t>
            </w:r>
            <w:r>
              <w:rPr>
                <w:rFonts w:hint="default" w:ascii="Times New Roman" w:hAnsi="Times New Roman" w:cs="Times New Roman"/>
                <w:color w:val="auto"/>
                <w:sz w:val="24"/>
              </w:rPr>
              <w:t>限值，</w:t>
            </w:r>
            <w:r>
              <w:rPr>
                <w:rFonts w:ascii="Times New Roman" w:hAnsi="Times New Roman" w:cs="Times New Roman"/>
                <w:bCs/>
                <w:color w:val="auto"/>
                <w:sz w:val="24"/>
                <w:highlight w:val="none"/>
              </w:rPr>
              <w:t>及</w:t>
            </w:r>
            <w:r>
              <w:rPr>
                <w:rFonts w:hint="eastAsia" w:ascii="Times New Roman" w:hAnsi="Times New Roman" w:cs="Times New Roman"/>
                <w:color w:val="auto"/>
                <w:sz w:val="24"/>
                <w:szCs w:val="24"/>
                <w:highlight w:val="none"/>
                <w:lang w:eastAsia="zh-CN"/>
              </w:rPr>
              <w:t>马尔康市城市生活污水处理厂</w:t>
            </w:r>
            <w:r>
              <w:rPr>
                <w:rFonts w:ascii="Times New Roman" w:hAnsi="Times New Roman" w:cs="Times New Roman"/>
                <w:bCs/>
                <w:color w:val="auto"/>
                <w:sz w:val="24"/>
                <w:highlight w:val="none"/>
              </w:rPr>
              <w:t>的进水水质要求。</w:t>
            </w:r>
          </w:p>
          <w:p w14:paraId="31EDF245">
            <w:pPr>
              <w:pStyle w:val="11"/>
              <w:spacing w:after="0" w:line="360" w:lineRule="auto"/>
              <w:ind w:firstLine="480" w:firstLineChars="200"/>
              <w:rPr>
                <w:rFonts w:ascii="Times New Roman" w:hAnsi="Times New Roman" w:cs="Times New Roman"/>
                <w:color w:val="auto"/>
                <w:sz w:val="24"/>
                <w:highlight w:val="none"/>
              </w:rPr>
            </w:pPr>
            <w:r>
              <w:rPr>
                <w:rFonts w:ascii="Times New Roman" w:hAnsi="Times New Roman" w:cs="Times New Roman"/>
                <w:bCs/>
                <w:color w:val="auto"/>
                <w:kern w:val="2"/>
                <w:sz w:val="24"/>
                <w:highlight w:val="none"/>
              </w:rPr>
              <w:t>③水量可纳性</w:t>
            </w:r>
            <w:r>
              <w:rPr>
                <w:rFonts w:ascii="Times New Roman" w:hAnsi="Times New Roman" w:cs="Times New Roman"/>
                <w:bCs/>
                <w:color w:val="auto"/>
                <w:sz w:val="24"/>
                <w:highlight w:val="none"/>
              </w:rPr>
              <w:t>：</w:t>
            </w:r>
            <w:r>
              <w:rPr>
                <w:rFonts w:hint="eastAsia" w:ascii="Times New Roman" w:hAnsi="Times New Roman" w:cs="Times New Roman"/>
                <w:color w:val="auto"/>
                <w:sz w:val="24"/>
                <w:highlight w:val="none"/>
                <w:lang w:eastAsia="zh-CN"/>
              </w:rPr>
              <w:t>马尔康市城市生活污水处理厂</w:t>
            </w:r>
            <w:r>
              <w:rPr>
                <w:rFonts w:ascii="Times New Roman" w:hAnsi="Times New Roman" w:cs="Times New Roman"/>
                <w:color w:val="auto"/>
                <w:sz w:val="24"/>
                <w:highlight w:val="none"/>
              </w:rPr>
              <w:t>的设计污水处理能力为</w:t>
            </w:r>
            <w:r>
              <w:rPr>
                <w:rFonts w:hint="eastAsia" w:ascii="Times New Roman" w:hAnsi="Times New Roman" w:cs="Times New Roman"/>
                <w:color w:val="auto"/>
                <w:sz w:val="24"/>
                <w:highlight w:val="none"/>
                <w:lang w:val="en-US" w:eastAsia="zh-CN"/>
              </w:rPr>
              <w:t>2</w:t>
            </w:r>
            <w:r>
              <w:rPr>
                <w:rFonts w:ascii="Times New Roman" w:hAnsi="Times New Roman" w:cs="Times New Roman"/>
                <w:color w:val="auto"/>
                <w:sz w:val="24"/>
                <w:highlight w:val="none"/>
              </w:rPr>
              <w:t>万</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3</w:t>
            </w:r>
            <w:r>
              <w:rPr>
                <w:rFonts w:ascii="Times New Roman" w:hAnsi="Times New Roman" w:cs="Times New Roman"/>
                <w:color w:val="auto"/>
                <w:sz w:val="24"/>
                <w:highlight w:val="none"/>
              </w:rPr>
              <w:t>/d，本项目</w:t>
            </w:r>
            <w:r>
              <w:rPr>
                <w:rFonts w:hint="eastAsia" w:ascii="Times New Roman" w:hAnsi="Times New Roman" w:cs="Times New Roman"/>
                <w:color w:val="auto"/>
                <w:sz w:val="24"/>
                <w:highlight w:val="none"/>
                <w:lang w:val="en-US" w:eastAsia="zh-CN"/>
              </w:rPr>
              <w:t>建成后全校</w:t>
            </w:r>
            <w:r>
              <w:rPr>
                <w:rFonts w:ascii="Times New Roman" w:hAnsi="Times New Roman" w:cs="Times New Roman"/>
                <w:color w:val="auto"/>
                <w:spacing w:val="-8"/>
                <w:sz w:val="24"/>
                <w:highlight w:val="none"/>
              </w:rPr>
              <w:t>废水排放量共</w:t>
            </w:r>
            <w:r>
              <w:rPr>
                <w:rFonts w:hint="eastAsia" w:ascii="Times New Roman" w:hAnsi="Times New Roman" w:cs="Times New Roman"/>
                <w:bCs/>
                <w:color w:val="auto"/>
                <w:sz w:val="24"/>
                <w:szCs w:val="24"/>
                <w:highlight w:val="none"/>
                <w:lang w:val="en-US" w:eastAsia="zh-CN"/>
              </w:rPr>
              <w:t>19756.41m</w:t>
            </w:r>
            <w:r>
              <w:rPr>
                <w:rFonts w:hint="eastAsia" w:ascii="Times New Roman" w:hAnsi="Times New Roman" w:cs="Times New Roman"/>
                <w:bCs/>
                <w:color w:val="auto"/>
                <w:sz w:val="24"/>
                <w:szCs w:val="24"/>
                <w:highlight w:val="none"/>
                <w:vertAlign w:val="superscript"/>
                <w:lang w:val="en-US" w:eastAsia="zh-CN"/>
              </w:rPr>
              <w:t>3</w:t>
            </w:r>
            <w:r>
              <w:rPr>
                <w:rFonts w:hint="eastAsia" w:ascii="Times New Roman" w:hAnsi="Times New Roman" w:cs="Times New Roman"/>
                <w:bCs/>
                <w:color w:val="auto"/>
                <w:sz w:val="24"/>
                <w:szCs w:val="24"/>
                <w:highlight w:val="none"/>
                <w:lang w:val="en-US" w:eastAsia="zh-CN"/>
              </w:rPr>
              <w:t>/a</w:t>
            </w:r>
            <w:r>
              <w:rPr>
                <w:rFonts w:ascii="Times New Roman" w:hAnsi="Times New Roman" w:cs="Times New Roman"/>
                <w:color w:val="auto"/>
                <w:sz w:val="24"/>
                <w:highlight w:val="none"/>
              </w:rPr>
              <w:t>，项目周边污水管网配套完善，且</w:t>
            </w:r>
            <w:r>
              <w:rPr>
                <w:rFonts w:ascii="Times New Roman" w:hAnsi="Times New Roman" w:cs="Times New Roman"/>
                <w:color w:val="auto"/>
                <w:spacing w:val="-3"/>
                <w:sz w:val="24"/>
                <w:highlight w:val="none"/>
              </w:rPr>
              <w:t>位于</w:t>
            </w:r>
            <w:r>
              <w:rPr>
                <w:rFonts w:hint="eastAsia" w:ascii="Times New Roman" w:hAnsi="Times New Roman" w:cs="Times New Roman"/>
                <w:color w:val="auto"/>
                <w:sz w:val="24"/>
                <w:highlight w:val="none"/>
                <w:lang w:eastAsia="zh-CN"/>
              </w:rPr>
              <w:t>马尔康市城市生活污水处理厂</w:t>
            </w:r>
            <w:r>
              <w:rPr>
                <w:rFonts w:ascii="Times New Roman" w:hAnsi="Times New Roman" w:cs="Times New Roman"/>
                <w:color w:val="auto"/>
                <w:spacing w:val="-6"/>
                <w:sz w:val="24"/>
                <w:highlight w:val="none"/>
              </w:rPr>
              <w:t>纳污范围内。从水量上分析，项目废水排放</w:t>
            </w:r>
            <w:r>
              <w:rPr>
                <w:rFonts w:ascii="Times New Roman" w:hAnsi="Times New Roman" w:cs="Times New Roman"/>
                <w:color w:val="auto"/>
                <w:spacing w:val="-5"/>
                <w:sz w:val="24"/>
                <w:highlight w:val="none"/>
              </w:rPr>
              <w:t>量占</w:t>
            </w:r>
            <w:r>
              <w:rPr>
                <w:rFonts w:hint="eastAsia" w:ascii="Times New Roman" w:hAnsi="Times New Roman" w:cs="Times New Roman"/>
                <w:color w:val="auto"/>
                <w:sz w:val="24"/>
                <w:highlight w:val="none"/>
                <w:lang w:eastAsia="zh-CN"/>
              </w:rPr>
              <w:t>马尔康市城市生活污水处理厂</w:t>
            </w:r>
            <w:r>
              <w:rPr>
                <w:rFonts w:ascii="Times New Roman" w:hAnsi="Times New Roman" w:cs="Times New Roman"/>
                <w:color w:val="auto"/>
                <w:spacing w:val="-5"/>
                <w:sz w:val="24"/>
                <w:highlight w:val="none"/>
              </w:rPr>
              <w:t>处理能力的</w:t>
            </w:r>
            <w:r>
              <w:rPr>
                <w:rFonts w:hint="eastAsia" w:ascii="Times New Roman" w:hAnsi="Times New Roman" w:cs="Times New Roman"/>
                <w:color w:val="auto"/>
                <w:sz w:val="24"/>
                <w:highlight w:val="none"/>
                <w:lang w:val="en-US" w:eastAsia="zh-CN"/>
              </w:rPr>
              <w:t>1</w:t>
            </w:r>
            <w:r>
              <w:rPr>
                <w:rFonts w:ascii="Times New Roman" w:hAnsi="Times New Roman" w:eastAsia="Times New Roman" w:cs="Times New Roman"/>
                <w:color w:val="auto"/>
                <w:sz w:val="24"/>
                <w:highlight w:val="none"/>
              </w:rPr>
              <w:t>%</w:t>
            </w:r>
            <w:r>
              <w:rPr>
                <w:rFonts w:ascii="Times New Roman" w:hAnsi="Times New Roman" w:cs="Times New Roman"/>
                <w:color w:val="auto"/>
                <w:spacing w:val="-4"/>
                <w:sz w:val="24"/>
                <w:highlight w:val="none"/>
              </w:rPr>
              <w:t>，所占比例较小，</w:t>
            </w:r>
            <w:r>
              <w:rPr>
                <w:rFonts w:ascii="Times New Roman" w:hAnsi="Times New Roman" w:cs="Times New Roman"/>
                <w:color w:val="auto"/>
                <w:sz w:val="24"/>
                <w:highlight w:val="none"/>
              </w:rPr>
              <w:t>因此</w:t>
            </w:r>
            <w:r>
              <w:rPr>
                <w:rFonts w:hint="eastAsia" w:ascii="Times New Roman" w:hAnsi="Times New Roman" w:cs="Times New Roman"/>
                <w:color w:val="auto"/>
                <w:sz w:val="24"/>
                <w:highlight w:val="none"/>
                <w:lang w:eastAsia="zh-CN"/>
              </w:rPr>
              <w:t>马尔康市城市生活污水处理厂</w:t>
            </w:r>
            <w:r>
              <w:rPr>
                <w:rFonts w:ascii="Times New Roman" w:hAnsi="Times New Roman" w:cs="Times New Roman"/>
                <w:color w:val="auto"/>
                <w:sz w:val="24"/>
                <w:highlight w:val="none"/>
              </w:rPr>
              <w:t>有能力接纳项目废水。</w:t>
            </w:r>
          </w:p>
          <w:p w14:paraId="01372B91">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综上，</w:t>
            </w:r>
            <w:r>
              <w:rPr>
                <w:rFonts w:hint="eastAsia" w:ascii="Times New Roman" w:hAnsi="Times New Roman" w:cs="Times New Roman"/>
                <w:color w:val="auto"/>
                <w:sz w:val="24"/>
                <w:szCs w:val="24"/>
                <w:highlight w:val="none"/>
              </w:rPr>
              <w:t>本项目所在区域属于</w:t>
            </w:r>
            <w:r>
              <w:rPr>
                <w:rFonts w:hint="eastAsia" w:ascii="Times New Roman" w:hAnsi="Times New Roman" w:cs="Times New Roman"/>
                <w:color w:val="auto"/>
                <w:sz w:val="24"/>
                <w:szCs w:val="24"/>
                <w:highlight w:val="none"/>
                <w:lang w:eastAsia="zh-CN"/>
              </w:rPr>
              <w:t>马尔康市城市生活污水处理厂</w:t>
            </w:r>
            <w:r>
              <w:rPr>
                <w:rFonts w:hint="eastAsia" w:ascii="Times New Roman" w:hAnsi="Times New Roman" w:cs="Times New Roman"/>
                <w:color w:val="auto"/>
                <w:sz w:val="24"/>
                <w:szCs w:val="24"/>
                <w:highlight w:val="none"/>
              </w:rPr>
              <w:t>服务范围内，本项目废水经项目污水处理站处理后能够达到污水处理厂收水标准，废水的水质和水量均不会对污水处理厂产生冲击，不会影响</w:t>
            </w:r>
            <w:r>
              <w:rPr>
                <w:rFonts w:hint="eastAsia" w:ascii="Times New Roman" w:hAnsi="Times New Roman" w:cs="Times New Roman"/>
                <w:color w:val="auto"/>
                <w:sz w:val="24"/>
                <w:szCs w:val="24"/>
                <w:highlight w:val="none"/>
                <w:lang w:eastAsia="zh-CN"/>
              </w:rPr>
              <w:t>污水处理厂</w:t>
            </w:r>
            <w:r>
              <w:rPr>
                <w:rFonts w:hint="eastAsia" w:ascii="Times New Roman" w:hAnsi="Times New Roman" w:cs="Times New Roman"/>
                <w:color w:val="auto"/>
                <w:sz w:val="24"/>
                <w:szCs w:val="24"/>
                <w:highlight w:val="none"/>
              </w:rPr>
              <w:t>的</w:t>
            </w:r>
            <w:r>
              <w:rPr>
                <w:rFonts w:hint="eastAsia" w:ascii="Times New Roman" w:hAnsi="Times New Roman" w:cs="Times New Roman"/>
                <w:color w:val="auto"/>
                <w:sz w:val="24"/>
                <w:szCs w:val="24"/>
                <w:highlight w:val="none"/>
                <w:lang w:eastAsia="zh-CN"/>
              </w:rPr>
              <w:t>出水水质</w:t>
            </w:r>
            <w:r>
              <w:rPr>
                <w:rFonts w:hint="eastAsia" w:ascii="Times New Roman" w:hAnsi="Times New Roman" w:cs="Times New Roman"/>
                <w:color w:val="auto"/>
                <w:sz w:val="24"/>
                <w:szCs w:val="24"/>
                <w:highlight w:val="none"/>
              </w:rPr>
              <w:t>，不会导致受纳水体水功能类别发生改变。因此，项目废水排入</w:t>
            </w:r>
            <w:r>
              <w:rPr>
                <w:rFonts w:hint="eastAsia" w:ascii="Times New Roman" w:hAnsi="Times New Roman" w:cs="Times New Roman"/>
                <w:color w:val="auto"/>
                <w:sz w:val="24"/>
                <w:szCs w:val="24"/>
                <w:highlight w:val="none"/>
                <w:lang w:eastAsia="zh-CN"/>
              </w:rPr>
              <w:t>马尔康市城市生活污水处理厂</w:t>
            </w:r>
            <w:r>
              <w:rPr>
                <w:rFonts w:hint="eastAsia" w:ascii="Times New Roman" w:hAnsi="Times New Roman" w:cs="Times New Roman"/>
                <w:color w:val="auto"/>
                <w:sz w:val="24"/>
                <w:szCs w:val="24"/>
                <w:highlight w:val="none"/>
              </w:rPr>
              <w:t>处理是可行的。</w:t>
            </w:r>
          </w:p>
          <w:p w14:paraId="3C327DAD">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2、废水治理设施、排放口基本信息表</w:t>
            </w:r>
          </w:p>
          <w:p w14:paraId="77D55F4B">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本项目废水治理设施、排放口基本信息见下表：</w:t>
            </w:r>
          </w:p>
          <w:p w14:paraId="1F167BB7">
            <w:pPr>
              <w:pStyle w:val="117"/>
              <w:bidi w:val="0"/>
              <w:rPr>
                <w:color w:val="auto"/>
              </w:rPr>
            </w:pPr>
            <w:r>
              <w:rPr>
                <w:color w:val="auto"/>
              </w:rPr>
              <w:t>废水治理设施信息表</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99"/>
              <w:gridCol w:w="872"/>
              <w:gridCol w:w="1099"/>
              <w:gridCol w:w="1206"/>
              <w:gridCol w:w="1143"/>
              <w:gridCol w:w="704"/>
              <w:gridCol w:w="1087"/>
            </w:tblGrid>
            <w:tr w14:paraId="5D2F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restart"/>
                  <w:tcBorders>
                    <w:top w:val="single" w:color="auto" w:sz="12" w:space="0"/>
                  </w:tcBorders>
                  <w:vAlign w:val="center"/>
                </w:tcPr>
                <w:p w14:paraId="7BC3CD8C">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废水类别</w:t>
                  </w:r>
                </w:p>
              </w:tc>
              <w:tc>
                <w:tcPr>
                  <w:tcW w:w="1135" w:type="pct"/>
                  <w:vMerge w:val="restart"/>
                  <w:tcBorders>
                    <w:top w:val="single" w:color="auto" w:sz="12" w:space="0"/>
                  </w:tcBorders>
                  <w:vAlign w:val="center"/>
                </w:tcPr>
                <w:p w14:paraId="37F2BEB4">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污染物种类</w:t>
                  </w:r>
                </w:p>
              </w:tc>
              <w:tc>
                <w:tcPr>
                  <w:tcW w:w="2453" w:type="pct"/>
                  <w:gridSpan w:val="4"/>
                  <w:tcBorders>
                    <w:top w:val="single" w:color="auto" w:sz="12" w:space="0"/>
                  </w:tcBorders>
                  <w:vAlign w:val="center"/>
                </w:tcPr>
                <w:p w14:paraId="58F3AED3">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污染治理设施</w:t>
                  </w:r>
                </w:p>
              </w:tc>
              <w:tc>
                <w:tcPr>
                  <w:tcW w:w="400" w:type="pct"/>
                  <w:vMerge w:val="restart"/>
                  <w:tcBorders>
                    <w:top w:val="single" w:color="auto" w:sz="12" w:space="0"/>
                  </w:tcBorders>
                  <w:vAlign w:val="center"/>
                </w:tcPr>
                <w:p w14:paraId="18C60AE7">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排放</w:t>
                  </w:r>
                </w:p>
                <w:p w14:paraId="780902A7">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方式</w:t>
                  </w:r>
                </w:p>
              </w:tc>
              <w:tc>
                <w:tcPr>
                  <w:tcW w:w="617" w:type="pct"/>
                  <w:vMerge w:val="restart"/>
                  <w:tcBorders>
                    <w:top w:val="single" w:color="auto" w:sz="12" w:space="0"/>
                    <w:right w:val="nil"/>
                  </w:tcBorders>
                  <w:vAlign w:val="center"/>
                </w:tcPr>
                <w:p w14:paraId="2122EB47">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排放</w:t>
                  </w:r>
                </w:p>
                <w:p w14:paraId="41F48704">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去向</w:t>
                  </w:r>
                </w:p>
              </w:tc>
            </w:tr>
            <w:tr w14:paraId="7AE9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left w:val="nil"/>
                  </w:tcBorders>
                  <w:vAlign w:val="center"/>
                </w:tcPr>
                <w:p w14:paraId="1C8D1B03">
                  <w:pPr>
                    <w:jc w:val="center"/>
                    <w:rPr>
                      <w:rFonts w:ascii="Times New Roman" w:hAnsi="Times New Roman" w:cs="Times New Roman"/>
                      <w:b/>
                      <w:bCs/>
                      <w:color w:val="auto"/>
                      <w:szCs w:val="21"/>
                      <w:highlight w:val="none"/>
                    </w:rPr>
                  </w:pPr>
                </w:p>
              </w:tc>
              <w:tc>
                <w:tcPr>
                  <w:tcW w:w="1135" w:type="pct"/>
                  <w:vMerge w:val="continue"/>
                  <w:vAlign w:val="center"/>
                </w:tcPr>
                <w:p w14:paraId="53E76AD4">
                  <w:pPr>
                    <w:jc w:val="center"/>
                    <w:rPr>
                      <w:rFonts w:ascii="Times New Roman" w:hAnsi="Times New Roman" w:cs="Times New Roman"/>
                      <w:b/>
                      <w:bCs/>
                      <w:color w:val="auto"/>
                      <w:szCs w:val="21"/>
                      <w:highlight w:val="none"/>
                    </w:rPr>
                  </w:pPr>
                </w:p>
              </w:tc>
              <w:tc>
                <w:tcPr>
                  <w:tcW w:w="495" w:type="pct"/>
                  <w:vAlign w:val="center"/>
                </w:tcPr>
                <w:p w14:paraId="71F41F0A">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名称</w:t>
                  </w:r>
                </w:p>
              </w:tc>
              <w:tc>
                <w:tcPr>
                  <w:tcW w:w="624" w:type="pct"/>
                  <w:vAlign w:val="center"/>
                </w:tcPr>
                <w:p w14:paraId="42CB6631">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处理能力</w:t>
                  </w:r>
                </w:p>
              </w:tc>
              <w:tc>
                <w:tcPr>
                  <w:tcW w:w="685" w:type="pct"/>
                  <w:vAlign w:val="center"/>
                </w:tcPr>
                <w:p w14:paraId="51B0DCC3">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治理工艺</w:t>
                  </w:r>
                </w:p>
              </w:tc>
              <w:tc>
                <w:tcPr>
                  <w:tcW w:w="649" w:type="pct"/>
                  <w:vAlign w:val="center"/>
                </w:tcPr>
                <w:p w14:paraId="0FE18AFD">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是否为可行性技术</w:t>
                  </w:r>
                </w:p>
              </w:tc>
              <w:tc>
                <w:tcPr>
                  <w:tcW w:w="400" w:type="pct"/>
                  <w:vMerge w:val="continue"/>
                  <w:vAlign w:val="center"/>
                </w:tcPr>
                <w:p w14:paraId="3FFD01ED">
                  <w:pPr>
                    <w:jc w:val="center"/>
                    <w:rPr>
                      <w:rFonts w:ascii="Times New Roman" w:hAnsi="Times New Roman" w:cs="Times New Roman"/>
                      <w:color w:val="auto"/>
                      <w:szCs w:val="21"/>
                      <w:highlight w:val="none"/>
                    </w:rPr>
                  </w:pPr>
                </w:p>
              </w:tc>
              <w:tc>
                <w:tcPr>
                  <w:tcW w:w="617" w:type="pct"/>
                  <w:vMerge w:val="continue"/>
                  <w:tcBorders>
                    <w:right w:val="nil"/>
                  </w:tcBorders>
                  <w:vAlign w:val="center"/>
                </w:tcPr>
                <w:p w14:paraId="2309A0A4">
                  <w:pPr>
                    <w:jc w:val="center"/>
                    <w:rPr>
                      <w:rFonts w:ascii="Times New Roman" w:hAnsi="Times New Roman" w:cs="Times New Roman"/>
                      <w:color w:val="auto"/>
                      <w:szCs w:val="21"/>
                      <w:highlight w:val="none"/>
                    </w:rPr>
                  </w:pPr>
                </w:p>
              </w:tc>
            </w:tr>
            <w:tr w14:paraId="43B5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restart"/>
                  <w:tcBorders>
                    <w:left w:val="nil"/>
                  </w:tcBorders>
                  <w:vAlign w:val="center"/>
                </w:tcPr>
                <w:p w14:paraId="50D3012B">
                  <w:pPr>
                    <w:adjustRightInd w:val="0"/>
                    <w:snapToGrid w:val="0"/>
                    <w:jc w:val="center"/>
                    <w:rPr>
                      <w:rFonts w:hint="default" w:ascii="Times New Roman" w:hAnsi="Times New Roman" w:cs="Times New Roman" w:eastAsiaTheme="minorEastAsia"/>
                      <w:bCs/>
                      <w:color w:val="auto"/>
                      <w:spacing w:val="-10"/>
                      <w:szCs w:val="21"/>
                      <w:highlight w:val="none"/>
                      <w:lang w:val="en-US" w:eastAsia="zh-CN"/>
                    </w:rPr>
                  </w:pPr>
                  <w:r>
                    <w:rPr>
                      <w:rFonts w:hint="eastAsia" w:ascii="Times New Roman" w:hAnsi="Times New Roman" w:cs="Times New Roman"/>
                      <w:bCs/>
                      <w:color w:val="auto"/>
                      <w:spacing w:val="-10"/>
                      <w:szCs w:val="21"/>
                      <w:highlight w:val="none"/>
                      <w:lang w:val="en-US" w:eastAsia="zh-CN"/>
                    </w:rPr>
                    <w:t>实验室废水</w:t>
                  </w:r>
                </w:p>
              </w:tc>
              <w:tc>
                <w:tcPr>
                  <w:tcW w:w="1135" w:type="pct"/>
                  <w:vMerge w:val="restart"/>
                  <w:vAlign w:val="center"/>
                </w:tcPr>
                <w:p w14:paraId="66949D6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pH、COD、BOD</w:t>
                  </w:r>
                  <w:r>
                    <w:rPr>
                      <w:rFonts w:hint="eastAsia" w:ascii="Times New Roman" w:hAnsi="Times New Roman" w:eastAsia="宋体" w:cs="Times New Roman"/>
                      <w:color w:val="auto"/>
                      <w:szCs w:val="21"/>
                      <w:highlight w:val="none"/>
                      <w:vertAlign w:val="subscript"/>
                      <w:lang w:val="en-US" w:eastAsia="zh-CN"/>
                    </w:rPr>
                    <w:t>5</w:t>
                  </w:r>
                  <w:r>
                    <w:rPr>
                      <w:rFonts w:hint="eastAsia" w:ascii="Times New Roman" w:hAnsi="Times New Roman" w:eastAsia="宋体" w:cs="Times New Roman"/>
                      <w:color w:val="auto"/>
                      <w:szCs w:val="21"/>
                      <w:highlight w:val="none"/>
                      <w:lang w:val="en-US" w:eastAsia="zh-CN"/>
                    </w:rPr>
                    <w:t>、NH</w:t>
                  </w:r>
                  <w:r>
                    <w:rPr>
                      <w:rFonts w:hint="eastAsia" w:ascii="Times New Roman" w:hAnsi="Times New Roman" w:eastAsia="宋体" w:cs="Times New Roman"/>
                      <w:color w:val="auto"/>
                      <w:szCs w:val="21"/>
                      <w:highlight w:val="none"/>
                      <w:vertAlign w:val="subscript"/>
                      <w:lang w:val="en-US" w:eastAsia="zh-CN"/>
                    </w:rPr>
                    <w:t>3</w:t>
                  </w:r>
                  <w:r>
                    <w:rPr>
                      <w:rFonts w:hint="eastAsia" w:ascii="Times New Roman" w:hAnsi="Times New Roman" w:eastAsia="宋体" w:cs="Times New Roman"/>
                      <w:color w:val="auto"/>
                      <w:szCs w:val="21"/>
                      <w:highlight w:val="none"/>
                      <w:lang w:val="en-US" w:eastAsia="zh-CN"/>
                    </w:rPr>
                    <w:t>-N、TP、SS</w:t>
                  </w:r>
                </w:p>
              </w:tc>
              <w:tc>
                <w:tcPr>
                  <w:tcW w:w="495" w:type="pct"/>
                  <w:vAlign w:val="center"/>
                </w:tcPr>
                <w:p w14:paraId="57D1F399">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酸碱中和池</w:t>
                  </w:r>
                </w:p>
              </w:tc>
              <w:tc>
                <w:tcPr>
                  <w:tcW w:w="624" w:type="pct"/>
                  <w:vAlign w:val="center"/>
                </w:tcPr>
                <w:p w14:paraId="7A2B149F">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3m</w:t>
                  </w:r>
                  <w:r>
                    <w:rPr>
                      <w:rFonts w:hint="eastAsia" w:ascii="Times New Roman" w:hAnsi="Times New Roman" w:eastAsia="宋体" w:cs="Times New Roman"/>
                      <w:color w:val="auto"/>
                      <w:szCs w:val="21"/>
                      <w:highlight w:val="none"/>
                      <w:vertAlign w:val="superscript"/>
                      <w:lang w:val="en-US" w:eastAsia="zh-CN"/>
                    </w:rPr>
                    <w:t>3</w:t>
                  </w:r>
                </w:p>
              </w:tc>
              <w:tc>
                <w:tcPr>
                  <w:tcW w:w="685" w:type="pct"/>
                  <w:vAlign w:val="center"/>
                </w:tcPr>
                <w:p w14:paraId="522B60C3">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中和</w:t>
                  </w:r>
                </w:p>
              </w:tc>
              <w:tc>
                <w:tcPr>
                  <w:tcW w:w="649" w:type="pct"/>
                  <w:vAlign w:val="center"/>
                </w:tcPr>
                <w:p w14:paraId="40B5EA45">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是</w:t>
                  </w:r>
                </w:p>
              </w:tc>
              <w:tc>
                <w:tcPr>
                  <w:tcW w:w="400" w:type="pct"/>
                  <w:vMerge w:val="restart"/>
                  <w:vAlign w:val="center"/>
                </w:tcPr>
                <w:p w14:paraId="1326E569">
                  <w:pPr>
                    <w:jc w:val="center"/>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间接排放</w:t>
                  </w:r>
                </w:p>
              </w:tc>
              <w:tc>
                <w:tcPr>
                  <w:tcW w:w="617" w:type="pct"/>
                  <w:vMerge w:val="restart"/>
                  <w:tcBorders>
                    <w:right w:val="nil"/>
                  </w:tcBorders>
                  <w:vAlign w:val="center"/>
                </w:tcPr>
                <w:p w14:paraId="04FFFEA3">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马尔康市城市生活污水处理厂</w:t>
                  </w:r>
                </w:p>
              </w:tc>
            </w:tr>
            <w:tr w14:paraId="2EF4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Merge w:val="continue"/>
                  <w:tcBorders>
                    <w:left w:val="nil"/>
                    <w:bottom w:val="single" w:color="auto" w:sz="12" w:space="0"/>
                  </w:tcBorders>
                  <w:vAlign w:val="center"/>
                </w:tcPr>
                <w:p w14:paraId="32347F4C">
                  <w:pPr>
                    <w:adjustRightInd w:val="0"/>
                    <w:snapToGrid w:val="0"/>
                    <w:jc w:val="center"/>
                    <w:rPr>
                      <w:rFonts w:hint="eastAsia" w:ascii="Times New Roman" w:hAnsi="Times New Roman" w:cs="Times New Roman"/>
                      <w:bCs/>
                      <w:color w:val="auto"/>
                      <w:spacing w:val="-10"/>
                      <w:szCs w:val="21"/>
                      <w:highlight w:val="none"/>
                      <w:lang w:val="en-US" w:eastAsia="zh-CN"/>
                    </w:rPr>
                  </w:pPr>
                </w:p>
              </w:tc>
              <w:tc>
                <w:tcPr>
                  <w:tcW w:w="1135" w:type="pct"/>
                  <w:vMerge w:val="continue"/>
                  <w:tcBorders>
                    <w:bottom w:val="single" w:color="auto" w:sz="12" w:space="0"/>
                  </w:tcBorders>
                  <w:vAlign w:val="center"/>
                </w:tcPr>
                <w:p w14:paraId="5C0C5114">
                  <w:pPr>
                    <w:jc w:val="center"/>
                    <w:rPr>
                      <w:rFonts w:ascii="Times New Roman" w:hAnsi="Times New Roman" w:eastAsia="宋体" w:cs="Times New Roman"/>
                      <w:color w:val="auto"/>
                      <w:szCs w:val="21"/>
                      <w:highlight w:val="none"/>
                    </w:rPr>
                  </w:pPr>
                </w:p>
              </w:tc>
              <w:tc>
                <w:tcPr>
                  <w:tcW w:w="495" w:type="pct"/>
                  <w:tcBorders>
                    <w:bottom w:val="single" w:color="auto" w:sz="12" w:space="0"/>
                  </w:tcBorders>
                  <w:vAlign w:val="center"/>
                </w:tcPr>
                <w:p w14:paraId="06817E6C">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预处理池</w:t>
                  </w:r>
                </w:p>
              </w:tc>
              <w:tc>
                <w:tcPr>
                  <w:tcW w:w="624" w:type="pct"/>
                  <w:tcBorders>
                    <w:bottom w:val="single" w:color="auto" w:sz="12" w:space="0"/>
                  </w:tcBorders>
                  <w:vAlign w:val="center"/>
                </w:tcPr>
                <w:p w14:paraId="142DEE53">
                  <w:pPr>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lang w:val="en-US" w:eastAsia="zh-CN"/>
                    </w:rPr>
                    <w:t>200</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p>
              </w:tc>
              <w:tc>
                <w:tcPr>
                  <w:tcW w:w="685" w:type="pct"/>
                  <w:tcBorders>
                    <w:bottom w:val="single" w:color="auto" w:sz="12" w:space="0"/>
                  </w:tcBorders>
                  <w:vAlign w:val="center"/>
                </w:tcPr>
                <w:p w14:paraId="1187DFD9">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沉淀</w:t>
                  </w:r>
                </w:p>
              </w:tc>
              <w:tc>
                <w:tcPr>
                  <w:tcW w:w="649" w:type="pct"/>
                  <w:tcBorders>
                    <w:bottom w:val="single" w:color="auto" w:sz="12" w:space="0"/>
                  </w:tcBorders>
                  <w:vAlign w:val="center"/>
                </w:tcPr>
                <w:p w14:paraId="3533A21E">
                  <w:pPr>
                    <w:jc w:val="center"/>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是</w:t>
                  </w:r>
                </w:p>
              </w:tc>
              <w:tc>
                <w:tcPr>
                  <w:tcW w:w="400" w:type="pct"/>
                  <w:vMerge w:val="continue"/>
                  <w:tcBorders>
                    <w:bottom w:val="single" w:color="auto" w:sz="12" w:space="0"/>
                  </w:tcBorders>
                  <w:vAlign w:val="center"/>
                </w:tcPr>
                <w:p w14:paraId="76F30AA0">
                  <w:pPr>
                    <w:jc w:val="center"/>
                    <w:rPr>
                      <w:rFonts w:ascii="Times New Roman" w:hAnsi="Times New Roman" w:cs="Times New Roman"/>
                      <w:color w:val="auto"/>
                      <w:szCs w:val="21"/>
                      <w:highlight w:val="none"/>
                    </w:rPr>
                  </w:pPr>
                </w:p>
              </w:tc>
              <w:tc>
                <w:tcPr>
                  <w:tcW w:w="617" w:type="pct"/>
                  <w:vMerge w:val="continue"/>
                  <w:tcBorders>
                    <w:bottom w:val="single" w:color="auto" w:sz="12" w:space="0"/>
                    <w:right w:val="nil"/>
                  </w:tcBorders>
                  <w:vAlign w:val="center"/>
                </w:tcPr>
                <w:p w14:paraId="40072555">
                  <w:pPr>
                    <w:jc w:val="center"/>
                    <w:rPr>
                      <w:rFonts w:hint="eastAsia" w:ascii="Times New Roman" w:hAnsi="Times New Roman" w:eastAsia="宋体" w:cs="Times New Roman"/>
                      <w:color w:val="auto"/>
                      <w:szCs w:val="21"/>
                      <w:highlight w:val="none"/>
                      <w:lang w:eastAsia="zh-CN"/>
                    </w:rPr>
                  </w:pPr>
                </w:p>
              </w:tc>
            </w:tr>
          </w:tbl>
          <w:p w14:paraId="38586A90">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bCs/>
                <w:color w:val="auto"/>
                <w:sz w:val="24"/>
                <w:szCs w:val="24"/>
                <w:highlight w:val="none"/>
              </w:rPr>
              <w:t>本项目排水实施雨污分流制，本项目</w:t>
            </w:r>
            <w:r>
              <w:rPr>
                <w:rFonts w:hint="eastAsia" w:ascii="Times New Roman" w:hAnsi="Times New Roman" w:cs="Times New Roman"/>
                <w:bCs/>
                <w:color w:val="auto"/>
                <w:sz w:val="24"/>
                <w:szCs w:val="24"/>
                <w:highlight w:val="none"/>
                <w:lang w:val="en-US" w:eastAsia="zh-CN"/>
              </w:rPr>
              <w:t>实验室废水进入酸碱中和池处理后再进入预处理池预处理</w:t>
            </w:r>
            <w:r>
              <w:rPr>
                <w:rFonts w:ascii="Times New Roman" w:hAnsi="Times New Roman" w:cs="Times New Roman"/>
                <w:bCs/>
                <w:color w:val="auto"/>
                <w:sz w:val="24"/>
                <w:szCs w:val="24"/>
                <w:highlight w:val="none"/>
              </w:rPr>
              <w:t>，</w:t>
            </w:r>
            <w:r>
              <w:rPr>
                <w:rFonts w:ascii="Times New Roman" w:hAnsi="Times New Roman" w:cs="Times New Roman"/>
                <w:color w:val="auto"/>
                <w:sz w:val="24"/>
                <w:szCs w:val="24"/>
                <w:highlight w:val="none"/>
              </w:rPr>
              <w:t>处理达</w:t>
            </w:r>
            <w:r>
              <w:rPr>
                <w:rFonts w:hint="eastAsia" w:ascii="Times New Roman" w:hAnsi="Times New Roman" w:cs="Times New Roman"/>
                <w:color w:val="auto"/>
                <w:sz w:val="24"/>
                <w:szCs w:val="24"/>
                <w:highlight w:val="none"/>
                <w:lang w:val="en-US" w:eastAsia="zh-CN"/>
              </w:rPr>
              <w:t>《污水综合排放标准》（GB8978-1996）三级标准</w:t>
            </w:r>
            <w:r>
              <w:rPr>
                <w:rFonts w:ascii="Times New Roman" w:hAnsi="Times New Roman" w:cs="Times New Roman"/>
                <w:color w:val="auto"/>
                <w:sz w:val="24"/>
                <w:szCs w:val="24"/>
                <w:highlight w:val="none"/>
              </w:rPr>
              <w:t>，氨氮、总磷</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总氮达到</w:t>
            </w:r>
            <w:r>
              <w:rPr>
                <w:rFonts w:ascii="Times New Roman" w:hAnsi="Times New Roman" w:cs="Times New Roman"/>
                <w:color w:val="auto"/>
                <w:sz w:val="24"/>
                <w:szCs w:val="24"/>
                <w:highlight w:val="none"/>
              </w:rPr>
              <w:t>《污水排入城镇下水道水质标准》（GB/T31962-2015）中B级限值要求后，于</w:t>
            </w:r>
            <w:r>
              <w:rPr>
                <w:rFonts w:hint="eastAsia" w:ascii="Times New Roman" w:hAnsi="Times New Roman" w:cs="Times New Roman"/>
                <w:color w:val="auto"/>
                <w:sz w:val="24"/>
                <w:szCs w:val="24"/>
                <w:highlight w:val="none"/>
                <w:lang w:val="en-US" w:eastAsia="zh-CN"/>
              </w:rPr>
              <w:t>学校南侧总排口</w:t>
            </w:r>
            <w:r>
              <w:rPr>
                <w:rFonts w:ascii="Times New Roman" w:hAnsi="Times New Roman" w:cs="Times New Roman"/>
                <w:color w:val="auto"/>
                <w:sz w:val="24"/>
                <w:szCs w:val="24"/>
                <w:highlight w:val="none"/>
              </w:rPr>
              <w:t>排入市政污水管网，</w:t>
            </w:r>
            <w:r>
              <w:rPr>
                <w:rFonts w:hint="eastAsia" w:ascii="Times New Roman" w:hAnsi="Times New Roman" w:cs="Times New Roman"/>
                <w:color w:val="auto"/>
                <w:sz w:val="24"/>
                <w:szCs w:val="24"/>
                <w:highlight w:val="none"/>
              </w:rPr>
              <w:t>最终进入</w:t>
            </w:r>
            <w:r>
              <w:rPr>
                <w:rFonts w:hint="eastAsia" w:ascii="Times New Roman" w:hAnsi="Times New Roman" w:cs="Times New Roman"/>
                <w:color w:val="auto"/>
                <w:sz w:val="24"/>
                <w:szCs w:val="24"/>
                <w:highlight w:val="none"/>
                <w:lang w:eastAsia="zh-CN"/>
              </w:rPr>
              <w:t>马尔康市城市生活污水处理厂</w:t>
            </w:r>
            <w:r>
              <w:rPr>
                <w:rFonts w:hint="eastAsia" w:ascii="Times New Roman" w:hAnsi="Times New Roman" w:cs="Times New Roman"/>
                <w:color w:val="auto"/>
                <w:sz w:val="24"/>
                <w:szCs w:val="24"/>
                <w:highlight w:val="none"/>
              </w:rPr>
              <w:t>处理达标后外排。水污染物排放标准如下表所示。</w:t>
            </w:r>
          </w:p>
          <w:p w14:paraId="5419412D">
            <w:pPr>
              <w:pStyle w:val="117"/>
              <w:bidi w:val="0"/>
              <w:rPr>
                <w:color w:val="auto"/>
              </w:rPr>
            </w:pPr>
            <w:r>
              <w:rPr>
                <w:color w:val="auto"/>
              </w:rPr>
              <w:t>废水污染物排放执行标准</w:t>
            </w:r>
          </w:p>
          <w:tbl>
            <w:tblPr>
              <w:tblStyle w:val="4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454"/>
              <w:gridCol w:w="1930"/>
              <w:gridCol w:w="2241"/>
              <w:gridCol w:w="2435"/>
            </w:tblGrid>
            <w:tr w14:paraId="64FC2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tcBorders>
                    <w:tl2br w:val="nil"/>
                    <w:tr2bl w:val="nil"/>
                  </w:tcBorders>
                  <w:vAlign w:val="center"/>
                </w:tcPr>
                <w:p w14:paraId="009A1593">
                  <w:pPr>
                    <w:jc w:val="center"/>
                    <w:rPr>
                      <w:rFonts w:ascii="Times New Roman" w:hAnsi="Times New Roman" w:cs="Times New Roman"/>
                      <w:b/>
                      <w:bCs/>
                      <w:color w:val="auto"/>
                      <w:spacing w:val="4"/>
                      <w:szCs w:val="21"/>
                      <w:highlight w:val="none"/>
                    </w:rPr>
                  </w:pPr>
                  <w:r>
                    <w:rPr>
                      <w:rFonts w:ascii="Times New Roman" w:hAnsi="Times New Roman" w:cs="Times New Roman"/>
                      <w:b/>
                      <w:bCs/>
                      <w:color w:val="auto"/>
                      <w:spacing w:val="4"/>
                      <w:szCs w:val="21"/>
                      <w:highlight w:val="none"/>
                    </w:rPr>
                    <w:t>序号</w:t>
                  </w:r>
                </w:p>
              </w:tc>
              <w:tc>
                <w:tcPr>
                  <w:tcW w:w="825" w:type="pct"/>
                  <w:tcBorders>
                    <w:tl2br w:val="nil"/>
                    <w:tr2bl w:val="nil"/>
                  </w:tcBorders>
                  <w:vAlign w:val="center"/>
                </w:tcPr>
                <w:p w14:paraId="3DAD9934">
                  <w:pPr>
                    <w:jc w:val="center"/>
                    <w:rPr>
                      <w:rFonts w:ascii="Times New Roman" w:hAnsi="Times New Roman" w:cs="Times New Roman"/>
                      <w:b/>
                      <w:bCs/>
                      <w:color w:val="auto"/>
                      <w:spacing w:val="4"/>
                      <w:szCs w:val="21"/>
                      <w:highlight w:val="none"/>
                    </w:rPr>
                  </w:pPr>
                  <w:r>
                    <w:rPr>
                      <w:rFonts w:ascii="Times New Roman" w:hAnsi="Times New Roman" w:cs="Times New Roman"/>
                      <w:b/>
                      <w:bCs/>
                      <w:color w:val="auto"/>
                      <w:spacing w:val="4"/>
                      <w:szCs w:val="21"/>
                      <w:highlight w:val="none"/>
                    </w:rPr>
                    <w:t>排放口编号</w:t>
                  </w:r>
                </w:p>
              </w:tc>
              <w:tc>
                <w:tcPr>
                  <w:tcW w:w="1095" w:type="pct"/>
                  <w:tcBorders>
                    <w:tl2br w:val="nil"/>
                    <w:tr2bl w:val="nil"/>
                  </w:tcBorders>
                  <w:vAlign w:val="center"/>
                </w:tcPr>
                <w:p w14:paraId="385B4631">
                  <w:pPr>
                    <w:jc w:val="center"/>
                    <w:rPr>
                      <w:rFonts w:ascii="Times New Roman" w:hAnsi="Times New Roman" w:cs="Times New Roman"/>
                      <w:b/>
                      <w:bCs/>
                      <w:color w:val="auto"/>
                      <w:spacing w:val="4"/>
                      <w:szCs w:val="21"/>
                      <w:highlight w:val="none"/>
                    </w:rPr>
                  </w:pPr>
                  <w:r>
                    <w:rPr>
                      <w:rFonts w:ascii="Times New Roman" w:hAnsi="Times New Roman" w:cs="Times New Roman"/>
                      <w:b/>
                      <w:bCs/>
                      <w:color w:val="auto"/>
                      <w:spacing w:val="4"/>
                      <w:szCs w:val="21"/>
                      <w:highlight w:val="none"/>
                    </w:rPr>
                    <w:t>污染物种类</w:t>
                  </w:r>
                </w:p>
              </w:tc>
              <w:tc>
                <w:tcPr>
                  <w:tcW w:w="1271" w:type="pct"/>
                  <w:tcBorders>
                    <w:tl2br w:val="nil"/>
                    <w:tr2bl w:val="nil"/>
                  </w:tcBorders>
                  <w:vAlign w:val="center"/>
                </w:tcPr>
                <w:p w14:paraId="054E827C">
                  <w:pPr>
                    <w:jc w:val="center"/>
                    <w:rPr>
                      <w:rFonts w:ascii="Times New Roman" w:hAnsi="Times New Roman" w:cs="Times New Roman"/>
                      <w:b/>
                      <w:bCs/>
                      <w:color w:val="auto"/>
                      <w:spacing w:val="4"/>
                      <w:szCs w:val="21"/>
                      <w:highlight w:val="none"/>
                    </w:rPr>
                  </w:pPr>
                  <w:r>
                    <w:rPr>
                      <w:rFonts w:ascii="Times New Roman" w:hAnsi="Times New Roman" w:cs="Times New Roman"/>
                      <w:b/>
                      <w:bCs/>
                      <w:color w:val="auto"/>
                      <w:spacing w:val="4"/>
                      <w:szCs w:val="21"/>
                      <w:highlight w:val="none"/>
                    </w:rPr>
                    <w:t>单位</w:t>
                  </w:r>
                </w:p>
              </w:tc>
              <w:tc>
                <w:tcPr>
                  <w:tcW w:w="1381" w:type="pct"/>
                  <w:tcBorders>
                    <w:tl2br w:val="nil"/>
                    <w:tr2bl w:val="nil"/>
                  </w:tcBorders>
                  <w:vAlign w:val="center"/>
                </w:tcPr>
                <w:p w14:paraId="7ACE406D">
                  <w:pPr>
                    <w:jc w:val="center"/>
                    <w:rPr>
                      <w:rFonts w:ascii="Times New Roman" w:hAnsi="Times New Roman" w:cs="Times New Roman"/>
                      <w:b/>
                      <w:bCs/>
                      <w:color w:val="auto"/>
                      <w:spacing w:val="4"/>
                      <w:szCs w:val="21"/>
                      <w:highlight w:val="none"/>
                    </w:rPr>
                  </w:pPr>
                  <w:r>
                    <w:rPr>
                      <w:rFonts w:ascii="Times New Roman" w:hAnsi="Times New Roman" w:cs="Times New Roman"/>
                      <w:b/>
                      <w:bCs/>
                      <w:color w:val="auto"/>
                      <w:spacing w:val="4"/>
                      <w:szCs w:val="21"/>
                      <w:highlight w:val="none"/>
                    </w:rPr>
                    <w:t>浓度限值</w:t>
                  </w:r>
                </w:p>
              </w:tc>
            </w:tr>
            <w:tr w14:paraId="336011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tcBorders>
                    <w:tl2br w:val="nil"/>
                    <w:tr2bl w:val="nil"/>
                  </w:tcBorders>
                  <w:vAlign w:val="center"/>
                </w:tcPr>
                <w:p w14:paraId="019C65C1">
                  <w:pPr>
                    <w:jc w:val="center"/>
                    <w:rPr>
                      <w:rFonts w:ascii="Times New Roman" w:hAnsi="Times New Roman" w:cs="Times New Roman"/>
                      <w:color w:val="auto"/>
                      <w:spacing w:val="4"/>
                      <w:szCs w:val="21"/>
                      <w:highlight w:val="none"/>
                    </w:rPr>
                  </w:pPr>
                  <w:r>
                    <w:rPr>
                      <w:rFonts w:ascii="Times New Roman" w:hAnsi="Times New Roman" w:cs="Times New Roman"/>
                      <w:color w:val="auto"/>
                      <w:spacing w:val="4"/>
                      <w:szCs w:val="21"/>
                      <w:highlight w:val="none"/>
                    </w:rPr>
                    <w:t>1</w:t>
                  </w:r>
                </w:p>
              </w:tc>
              <w:tc>
                <w:tcPr>
                  <w:tcW w:w="825" w:type="pct"/>
                  <w:vMerge w:val="restart"/>
                  <w:tcBorders>
                    <w:tl2br w:val="nil"/>
                    <w:tr2bl w:val="nil"/>
                  </w:tcBorders>
                  <w:vAlign w:val="center"/>
                </w:tcPr>
                <w:p w14:paraId="630F5148">
                  <w:pPr>
                    <w:jc w:val="center"/>
                    <w:rPr>
                      <w:rFonts w:ascii="Times New Roman" w:hAnsi="Times New Roman" w:cs="Times New Roman"/>
                      <w:color w:val="auto"/>
                      <w:spacing w:val="4"/>
                      <w:szCs w:val="21"/>
                      <w:highlight w:val="none"/>
                    </w:rPr>
                  </w:pPr>
                  <w:r>
                    <w:rPr>
                      <w:rFonts w:ascii="Times New Roman" w:hAnsi="Times New Roman" w:cs="Times New Roman"/>
                      <w:color w:val="auto"/>
                      <w:szCs w:val="21"/>
                      <w:highlight w:val="none"/>
                    </w:rPr>
                    <w:t>DW001</w:t>
                  </w:r>
                </w:p>
              </w:tc>
              <w:tc>
                <w:tcPr>
                  <w:tcW w:w="1095" w:type="pct"/>
                  <w:tcBorders>
                    <w:tl2br w:val="nil"/>
                    <w:tr2bl w:val="nil"/>
                  </w:tcBorders>
                  <w:vAlign w:val="center"/>
                </w:tcPr>
                <w:p w14:paraId="4E16DC3D">
                  <w:pPr>
                    <w:jc w:val="center"/>
                    <w:rPr>
                      <w:rFonts w:hint="default"/>
                      <w:color w:val="auto"/>
                      <w:lang w:val="en-US" w:eastAsia="zh-CN"/>
                    </w:rPr>
                  </w:pPr>
                  <w:r>
                    <w:rPr>
                      <w:rFonts w:hint="eastAsia" w:ascii="Times New Roman" w:hAnsi="Times New Roman" w:cs="Times New Roman"/>
                      <w:color w:val="auto"/>
                      <w:szCs w:val="21"/>
                      <w:highlight w:val="none"/>
                      <w:lang w:val="en-US" w:eastAsia="zh-CN"/>
                    </w:rPr>
                    <w:t>pH</w:t>
                  </w:r>
                </w:p>
              </w:tc>
              <w:tc>
                <w:tcPr>
                  <w:tcW w:w="1271" w:type="pct"/>
                  <w:tcBorders>
                    <w:tl2br w:val="nil"/>
                    <w:tr2bl w:val="nil"/>
                  </w:tcBorders>
                  <w:vAlign w:val="center"/>
                </w:tcPr>
                <w:p w14:paraId="4290D433">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无量纲</w:t>
                  </w:r>
                </w:p>
              </w:tc>
              <w:tc>
                <w:tcPr>
                  <w:tcW w:w="1381" w:type="pct"/>
                  <w:tcBorders>
                    <w:tl2br w:val="nil"/>
                    <w:tr2bl w:val="nil"/>
                  </w:tcBorders>
                  <w:vAlign w:val="center"/>
                </w:tcPr>
                <w:p w14:paraId="14214CD5">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6~9</w:t>
                  </w:r>
                </w:p>
              </w:tc>
            </w:tr>
            <w:tr w14:paraId="710F7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tcBorders>
                    <w:tl2br w:val="nil"/>
                    <w:tr2bl w:val="nil"/>
                  </w:tcBorders>
                  <w:vAlign w:val="center"/>
                </w:tcPr>
                <w:p w14:paraId="04F79957">
                  <w:pPr>
                    <w:jc w:val="center"/>
                    <w:rPr>
                      <w:rFonts w:ascii="Times New Roman" w:hAnsi="Times New Roman" w:cs="Times New Roman"/>
                      <w:color w:val="auto"/>
                      <w:spacing w:val="4"/>
                      <w:szCs w:val="21"/>
                      <w:highlight w:val="none"/>
                    </w:rPr>
                  </w:pPr>
                </w:p>
              </w:tc>
              <w:tc>
                <w:tcPr>
                  <w:tcW w:w="825" w:type="pct"/>
                  <w:vMerge w:val="continue"/>
                  <w:tcBorders>
                    <w:tl2br w:val="nil"/>
                    <w:tr2bl w:val="nil"/>
                  </w:tcBorders>
                  <w:vAlign w:val="center"/>
                </w:tcPr>
                <w:p w14:paraId="4886C37B">
                  <w:pPr>
                    <w:jc w:val="center"/>
                    <w:rPr>
                      <w:rFonts w:ascii="Times New Roman" w:hAnsi="Times New Roman" w:cs="Times New Roman"/>
                      <w:color w:val="auto"/>
                      <w:spacing w:val="4"/>
                      <w:szCs w:val="21"/>
                      <w:highlight w:val="none"/>
                    </w:rPr>
                  </w:pPr>
                </w:p>
              </w:tc>
              <w:tc>
                <w:tcPr>
                  <w:tcW w:w="1095" w:type="pct"/>
                  <w:tcBorders>
                    <w:tl2br w:val="nil"/>
                    <w:tr2bl w:val="nil"/>
                  </w:tcBorders>
                  <w:vAlign w:val="center"/>
                </w:tcPr>
                <w:p w14:paraId="12850053">
                  <w:pPr>
                    <w:jc w:val="center"/>
                    <w:rPr>
                      <w:rFonts w:ascii="Times New Roman" w:hAnsi="Times New Roman" w:cs="Times New Roman"/>
                      <w:color w:val="auto"/>
                      <w:spacing w:val="4"/>
                      <w:szCs w:val="21"/>
                      <w:highlight w:val="none"/>
                    </w:rPr>
                  </w:pPr>
                  <w:r>
                    <w:rPr>
                      <w:rFonts w:ascii="Times New Roman" w:hAnsi="Times New Roman" w:cs="Times New Roman"/>
                      <w:color w:val="auto"/>
                      <w:szCs w:val="21"/>
                      <w:highlight w:val="none"/>
                    </w:rPr>
                    <w:t>COD</w:t>
                  </w:r>
                </w:p>
              </w:tc>
              <w:tc>
                <w:tcPr>
                  <w:tcW w:w="1271" w:type="pct"/>
                  <w:tcBorders>
                    <w:tl2br w:val="nil"/>
                    <w:tr2bl w:val="nil"/>
                  </w:tcBorders>
                  <w:vAlign w:val="center"/>
                </w:tcPr>
                <w:p w14:paraId="08CBD178">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mg/L</w:t>
                  </w:r>
                </w:p>
              </w:tc>
              <w:tc>
                <w:tcPr>
                  <w:tcW w:w="1381" w:type="pct"/>
                  <w:tcBorders>
                    <w:tl2br w:val="nil"/>
                    <w:tr2bl w:val="nil"/>
                  </w:tcBorders>
                  <w:vAlign w:val="center"/>
                </w:tcPr>
                <w:p w14:paraId="773552BB">
                  <w:pPr>
                    <w:jc w:val="center"/>
                    <w:rPr>
                      <w:rFonts w:hint="default" w:ascii="Times New Roman" w:hAnsi="Times New Roman" w:cs="Times New Roman" w:eastAsiaTheme="minorEastAsia"/>
                      <w:color w:val="auto"/>
                      <w:spacing w:val="4"/>
                      <w:szCs w:val="21"/>
                      <w:highlight w:val="none"/>
                      <w:lang w:val="en-US" w:eastAsia="zh-CN"/>
                    </w:rPr>
                  </w:pPr>
                  <w:r>
                    <w:rPr>
                      <w:rFonts w:hint="eastAsia" w:ascii="Times New Roman" w:hAnsi="Times New Roman" w:cs="Times New Roman"/>
                      <w:color w:val="auto"/>
                      <w:szCs w:val="21"/>
                      <w:highlight w:val="none"/>
                      <w:lang w:val="en-US" w:eastAsia="zh-CN"/>
                    </w:rPr>
                    <w:t>500</w:t>
                  </w:r>
                </w:p>
              </w:tc>
            </w:tr>
            <w:tr w14:paraId="2780B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tcBorders>
                    <w:tl2br w:val="nil"/>
                    <w:tr2bl w:val="nil"/>
                  </w:tcBorders>
                  <w:vAlign w:val="center"/>
                </w:tcPr>
                <w:p w14:paraId="46029A0F">
                  <w:pPr>
                    <w:jc w:val="center"/>
                    <w:rPr>
                      <w:rFonts w:ascii="Times New Roman" w:hAnsi="Times New Roman" w:cs="Times New Roman"/>
                      <w:color w:val="auto"/>
                      <w:spacing w:val="4"/>
                      <w:szCs w:val="21"/>
                      <w:highlight w:val="none"/>
                    </w:rPr>
                  </w:pPr>
                </w:p>
              </w:tc>
              <w:tc>
                <w:tcPr>
                  <w:tcW w:w="825" w:type="pct"/>
                  <w:vMerge w:val="continue"/>
                  <w:tcBorders>
                    <w:tl2br w:val="nil"/>
                    <w:tr2bl w:val="nil"/>
                  </w:tcBorders>
                  <w:vAlign w:val="center"/>
                </w:tcPr>
                <w:p w14:paraId="603912E2">
                  <w:pPr>
                    <w:jc w:val="center"/>
                    <w:rPr>
                      <w:rFonts w:ascii="Times New Roman" w:hAnsi="Times New Roman" w:cs="Times New Roman"/>
                      <w:color w:val="auto"/>
                      <w:spacing w:val="4"/>
                      <w:szCs w:val="21"/>
                      <w:highlight w:val="none"/>
                    </w:rPr>
                  </w:pPr>
                </w:p>
              </w:tc>
              <w:tc>
                <w:tcPr>
                  <w:tcW w:w="1095" w:type="pct"/>
                  <w:tcBorders>
                    <w:tl2br w:val="nil"/>
                    <w:tr2bl w:val="nil"/>
                  </w:tcBorders>
                  <w:vAlign w:val="center"/>
                </w:tcPr>
                <w:p w14:paraId="4E18F759">
                  <w:pPr>
                    <w:jc w:val="center"/>
                    <w:rPr>
                      <w:rFonts w:ascii="Times New Roman" w:hAnsi="Times New Roman" w:cs="Times New Roman"/>
                      <w:color w:val="auto"/>
                      <w:spacing w:val="4"/>
                      <w:szCs w:val="21"/>
                      <w:highlight w:val="none"/>
                    </w:rPr>
                  </w:pPr>
                  <w:r>
                    <w:rPr>
                      <w:rFonts w:ascii="Times New Roman" w:hAnsi="Times New Roman" w:cs="Times New Roman"/>
                      <w:color w:val="auto"/>
                      <w:szCs w:val="21"/>
                      <w:highlight w:val="none"/>
                    </w:rPr>
                    <w:t>BOD</w:t>
                  </w:r>
                </w:p>
              </w:tc>
              <w:tc>
                <w:tcPr>
                  <w:tcW w:w="1271" w:type="pct"/>
                  <w:tcBorders>
                    <w:tl2br w:val="nil"/>
                    <w:tr2bl w:val="nil"/>
                  </w:tcBorders>
                </w:tcPr>
                <w:p w14:paraId="50F6D40A">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mg/L</w:t>
                  </w:r>
                </w:p>
              </w:tc>
              <w:tc>
                <w:tcPr>
                  <w:tcW w:w="1381" w:type="pct"/>
                  <w:tcBorders>
                    <w:tl2br w:val="nil"/>
                    <w:tr2bl w:val="nil"/>
                  </w:tcBorders>
                  <w:vAlign w:val="center"/>
                </w:tcPr>
                <w:p w14:paraId="5808CEC4">
                  <w:pPr>
                    <w:jc w:val="center"/>
                    <w:rPr>
                      <w:rFonts w:hint="default" w:ascii="Times New Roman" w:hAnsi="Times New Roman" w:cs="Times New Roman" w:eastAsiaTheme="minorEastAsia"/>
                      <w:color w:val="auto"/>
                      <w:spacing w:val="4"/>
                      <w:szCs w:val="21"/>
                      <w:highlight w:val="none"/>
                      <w:lang w:val="en-US" w:eastAsia="zh-CN"/>
                    </w:rPr>
                  </w:pPr>
                  <w:r>
                    <w:rPr>
                      <w:rFonts w:hint="eastAsia" w:ascii="Times New Roman" w:hAnsi="Times New Roman" w:cs="Times New Roman"/>
                      <w:color w:val="auto"/>
                      <w:szCs w:val="21"/>
                      <w:highlight w:val="none"/>
                      <w:lang w:val="en-US" w:eastAsia="zh-CN"/>
                    </w:rPr>
                    <w:t>300</w:t>
                  </w:r>
                </w:p>
              </w:tc>
            </w:tr>
            <w:tr w14:paraId="6105A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tcBorders>
                    <w:tl2br w:val="nil"/>
                    <w:tr2bl w:val="nil"/>
                  </w:tcBorders>
                  <w:vAlign w:val="center"/>
                </w:tcPr>
                <w:p w14:paraId="147CEDC7">
                  <w:pPr>
                    <w:jc w:val="center"/>
                    <w:rPr>
                      <w:rFonts w:ascii="Times New Roman" w:hAnsi="Times New Roman" w:cs="Times New Roman"/>
                      <w:color w:val="auto"/>
                      <w:spacing w:val="4"/>
                      <w:szCs w:val="21"/>
                      <w:highlight w:val="none"/>
                    </w:rPr>
                  </w:pPr>
                </w:p>
              </w:tc>
              <w:tc>
                <w:tcPr>
                  <w:tcW w:w="825" w:type="pct"/>
                  <w:vMerge w:val="continue"/>
                  <w:tcBorders>
                    <w:tl2br w:val="nil"/>
                    <w:tr2bl w:val="nil"/>
                  </w:tcBorders>
                  <w:vAlign w:val="center"/>
                </w:tcPr>
                <w:p w14:paraId="73CC7C2F">
                  <w:pPr>
                    <w:jc w:val="center"/>
                    <w:rPr>
                      <w:rFonts w:ascii="Times New Roman" w:hAnsi="Times New Roman" w:cs="Times New Roman"/>
                      <w:color w:val="auto"/>
                      <w:spacing w:val="4"/>
                      <w:szCs w:val="21"/>
                      <w:highlight w:val="none"/>
                    </w:rPr>
                  </w:pPr>
                </w:p>
              </w:tc>
              <w:tc>
                <w:tcPr>
                  <w:tcW w:w="1095" w:type="pct"/>
                  <w:tcBorders>
                    <w:tl2br w:val="nil"/>
                    <w:tr2bl w:val="nil"/>
                  </w:tcBorders>
                  <w:vAlign w:val="center"/>
                </w:tcPr>
                <w:p w14:paraId="7D170737">
                  <w:pPr>
                    <w:jc w:val="center"/>
                    <w:rPr>
                      <w:rFonts w:ascii="Times New Roman" w:hAnsi="Times New Roman" w:cs="Times New Roman"/>
                      <w:color w:val="auto"/>
                      <w:spacing w:val="4"/>
                      <w:szCs w:val="21"/>
                      <w:highlight w:val="none"/>
                    </w:rPr>
                  </w:pPr>
                  <w:r>
                    <w:rPr>
                      <w:rFonts w:ascii="Times New Roman" w:hAnsi="Times New Roman" w:cs="Times New Roman"/>
                      <w:color w:val="auto"/>
                      <w:szCs w:val="21"/>
                      <w:highlight w:val="none"/>
                    </w:rPr>
                    <w:t>SS</w:t>
                  </w:r>
                </w:p>
              </w:tc>
              <w:tc>
                <w:tcPr>
                  <w:tcW w:w="1271" w:type="pct"/>
                  <w:tcBorders>
                    <w:tl2br w:val="nil"/>
                    <w:tr2bl w:val="nil"/>
                  </w:tcBorders>
                </w:tcPr>
                <w:p w14:paraId="499F469B">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mg/L</w:t>
                  </w:r>
                </w:p>
              </w:tc>
              <w:tc>
                <w:tcPr>
                  <w:tcW w:w="1381" w:type="pct"/>
                  <w:tcBorders>
                    <w:tl2br w:val="nil"/>
                    <w:tr2bl w:val="nil"/>
                  </w:tcBorders>
                  <w:vAlign w:val="center"/>
                </w:tcPr>
                <w:p w14:paraId="03D1C44D">
                  <w:pPr>
                    <w:jc w:val="center"/>
                    <w:rPr>
                      <w:rFonts w:hint="default" w:ascii="Times New Roman" w:hAnsi="Times New Roman" w:cs="Times New Roman" w:eastAsiaTheme="minorEastAsia"/>
                      <w:color w:val="auto"/>
                      <w:spacing w:val="4"/>
                      <w:szCs w:val="21"/>
                      <w:highlight w:val="none"/>
                      <w:lang w:val="en-US" w:eastAsia="zh-CN"/>
                    </w:rPr>
                  </w:pPr>
                  <w:r>
                    <w:rPr>
                      <w:rFonts w:hint="eastAsia" w:ascii="Times New Roman" w:hAnsi="Times New Roman" w:cs="Times New Roman"/>
                      <w:color w:val="auto"/>
                      <w:spacing w:val="4"/>
                      <w:szCs w:val="21"/>
                      <w:highlight w:val="none"/>
                      <w:lang w:val="en-US" w:eastAsia="zh-CN"/>
                    </w:rPr>
                    <w:t>400</w:t>
                  </w:r>
                </w:p>
              </w:tc>
            </w:tr>
            <w:tr w14:paraId="16BDF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tcBorders>
                    <w:tl2br w:val="nil"/>
                    <w:tr2bl w:val="nil"/>
                  </w:tcBorders>
                  <w:vAlign w:val="center"/>
                </w:tcPr>
                <w:p w14:paraId="577E8CEA">
                  <w:pPr>
                    <w:jc w:val="center"/>
                    <w:rPr>
                      <w:rFonts w:ascii="Times New Roman" w:hAnsi="Times New Roman" w:cs="Times New Roman"/>
                      <w:color w:val="auto"/>
                      <w:spacing w:val="4"/>
                      <w:szCs w:val="21"/>
                      <w:highlight w:val="none"/>
                    </w:rPr>
                  </w:pPr>
                </w:p>
              </w:tc>
              <w:tc>
                <w:tcPr>
                  <w:tcW w:w="825" w:type="pct"/>
                  <w:vMerge w:val="continue"/>
                  <w:tcBorders>
                    <w:tl2br w:val="nil"/>
                    <w:tr2bl w:val="nil"/>
                  </w:tcBorders>
                  <w:vAlign w:val="center"/>
                </w:tcPr>
                <w:p w14:paraId="41CC4470">
                  <w:pPr>
                    <w:jc w:val="center"/>
                    <w:rPr>
                      <w:rFonts w:ascii="Times New Roman" w:hAnsi="Times New Roman" w:cs="Times New Roman"/>
                      <w:color w:val="auto"/>
                      <w:spacing w:val="4"/>
                      <w:szCs w:val="21"/>
                      <w:highlight w:val="none"/>
                    </w:rPr>
                  </w:pPr>
                </w:p>
              </w:tc>
              <w:tc>
                <w:tcPr>
                  <w:tcW w:w="1095" w:type="pct"/>
                  <w:tcBorders>
                    <w:tl2br w:val="nil"/>
                    <w:tr2bl w:val="nil"/>
                  </w:tcBorders>
                  <w:vAlign w:val="center"/>
                </w:tcPr>
                <w:p w14:paraId="21A55907">
                  <w:pPr>
                    <w:jc w:val="center"/>
                    <w:rPr>
                      <w:rFonts w:ascii="Times New Roman" w:hAnsi="Times New Roman" w:cs="Times New Roman"/>
                      <w:color w:val="auto"/>
                      <w:spacing w:val="4"/>
                      <w:szCs w:val="21"/>
                      <w:highlight w:val="none"/>
                    </w:rPr>
                  </w:pPr>
                  <w:r>
                    <w:rPr>
                      <w:rFonts w:ascii="Times New Roman" w:hAnsi="Times New Roman" w:cs="Times New Roman"/>
                      <w:color w:val="auto"/>
                      <w:szCs w:val="21"/>
                      <w:highlight w:val="none"/>
                    </w:rPr>
                    <w:t>NH</w:t>
                  </w:r>
                  <w:r>
                    <w:rPr>
                      <w:rFonts w:ascii="Times New Roman" w:hAnsi="Times New Roman" w:cs="Times New Roman"/>
                      <w:color w:val="auto"/>
                      <w:szCs w:val="21"/>
                      <w:highlight w:val="none"/>
                      <w:vertAlign w:val="subscript"/>
                    </w:rPr>
                    <w:t>3</w:t>
                  </w:r>
                  <w:r>
                    <w:rPr>
                      <w:rFonts w:ascii="Times New Roman" w:hAnsi="Times New Roman" w:cs="Times New Roman"/>
                      <w:color w:val="auto"/>
                      <w:szCs w:val="21"/>
                      <w:highlight w:val="none"/>
                    </w:rPr>
                    <w:t>-N</w:t>
                  </w:r>
                </w:p>
              </w:tc>
              <w:tc>
                <w:tcPr>
                  <w:tcW w:w="1271" w:type="pct"/>
                  <w:tcBorders>
                    <w:tl2br w:val="nil"/>
                    <w:tr2bl w:val="nil"/>
                  </w:tcBorders>
                </w:tcPr>
                <w:p w14:paraId="29A71FFA">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mg/L</w:t>
                  </w:r>
                </w:p>
              </w:tc>
              <w:tc>
                <w:tcPr>
                  <w:tcW w:w="1381" w:type="pct"/>
                  <w:tcBorders>
                    <w:tl2br w:val="nil"/>
                    <w:tr2bl w:val="nil"/>
                  </w:tcBorders>
                  <w:vAlign w:val="center"/>
                </w:tcPr>
                <w:p w14:paraId="025CC025">
                  <w:pPr>
                    <w:jc w:val="center"/>
                    <w:rPr>
                      <w:rFonts w:ascii="Times New Roman" w:hAnsi="Times New Roman" w:cs="Times New Roman"/>
                      <w:color w:val="auto"/>
                      <w:spacing w:val="4"/>
                      <w:szCs w:val="21"/>
                      <w:highlight w:val="none"/>
                    </w:rPr>
                  </w:pPr>
                  <w:r>
                    <w:rPr>
                      <w:rFonts w:ascii="Times New Roman" w:hAnsi="Times New Roman" w:cs="Times New Roman"/>
                      <w:color w:val="auto"/>
                      <w:spacing w:val="4"/>
                      <w:szCs w:val="21"/>
                      <w:highlight w:val="none"/>
                    </w:rPr>
                    <w:t>45</w:t>
                  </w:r>
                </w:p>
              </w:tc>
            </w:tr>
            <w:tr w14:paraId="16E0B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tcBorders>
                    <w:tl2br w:val="nil"/>
                    <w:tr2bl w:val="nil"/>
                  </w:tcBorders>
                  <w:vAlign w:val="center"/>
                </w:tcPr>
                <w:p w14:paraId="62A8A568">
                  <w:pPr>
                    <w:jc w:val="center"/>
                    <w:rPr>
                      <w:rFonts w:ascii="Times New Roman" w:hAnsi="Times New Roman" w:cs="Times New Roman"/>
                      <w:color w:val="auto"/>
                      <w:spacing w:val="4"/>
                      <w:szCs w:val="21"/>
                      <w:highlight w:val="none"/>
                    </w:rPr>
                  </w:pPr>
                </w:p>
              </w:tc>
              <w:tc>
                <w:tcPr>
                  <w:tcW w:w="825" w:type="pct"/>
                  <w:vMerge w:val="continue"/>
                  <w:tcBorders>
                    <w:tl2br w:val="nil"/>
                    <w:tr2bl w:val="nil"/>
                  </w:tcBorders>
                  <w:vAlign w:val="center"/>
                </w:tcPr>
                <w:p w14:paraId="1094CAFB">
                  <w:pPr>
                    <w:jc w:val="center"/>
                    <w:rPr>
                      <w:rFonts w:ascii="Times New Roman" w:hAnsi="Times New Roman" w:cs="Times New Roman"/>
                      <w:color w:val="auto"/>
                      <w:spacing w:val="4"/>
                      <w:szCs w:val="21"/>
                      <w:highlight w:val="none"/>
                    </w:rPr>
                  </w:pPr>
                </w:p>
              </w:tc>
              <w:tc>
                <w:tcPr>
                  <w:tcW w:w="1095" w:type="pct"/>
                  <w:tcBorders>
                    <w:tl2br w:val="nil"/>
                    <w:tr2bl w:val="nil"/>
                  </w:tcBorders>
                  <w:vAlign w:val="center"/>
                </w:tcPr>
                <w:p w14:paraId="40640ADA">
                  <w:pPr>
                    <w:jc w:val="center"/>
                    <w:rPr>
                      <w:rFonts w:ascii="Times New Roman" w:hAnsi="Times New Roman" w:cs="Times New Roman"/>
                      <w:color w:val="auto"/>
                      <w:spacing w:val="4"/>
                      <w:szCs w:val="21"/>
                      <w:highlight w:val="none"/>
                    </w:rPr>
                  </w:pPr>
                  <w:r>
                    <w:rPr>
                      <w:rFonts w:ascii="Times New Roman" w:hAnsi="Times New Roman" w:cs="Times New Roman"/>
                      <w:color w:val="auto"/>
                      <w:szCs w:val="21"/>
                      <w:highlight w:val="none"/>
                    </w:rPr>
                    <w:t>TP</w:t>
                  </w:r>
                </w:p>
              </w:tc>
              <w:tc>
                <w:tcPr>
                  <w:tcW w:w="1271" w:type="pct"/>
                  <w:tcBorders>
                    <w:tl2br w:val="nil"/>
                    <w:tr2bl w:val="nil"/>
                  </w:tcBorders>
                </w:tcPr>
                <w:p w14:paraId="700FFE58">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mg/L</w:t>
                  </w:r>
                </w:p>
              </w:tc>
              <w:tc>
                <w:tcPr>
                  <w:tcW w:w="1381" w:type="pct"/>
                  <w:tcBorders>
                    <w:tl2br w:val="nil"/>
                    <w:tr2bl w:val="nil"/>
                  </w:tcBorders>
                  <w:vAlign w:val="center"/>
                </w:tcPr>
                <w:p w14:paraId="38B16958">
                  <w:pPr>
                    <w:jc w:val="center"/>
                    <w:rPr>
                      <w:rFonts w:ascii="Times New Roman" w:hAnsi="Times New Roman" w:cs="Times New Roman"/>
                      <w:color w:val="auto"/>
                      <w:spacing w:val="4"/>
                      <w:szCs w:val="21"/>
                      <w:highlight w:val="none"/>
                    </w:rPr>
                  </w:pPr>
                  <w:r>
                    <w:rPr>
                      <w:rFonts w:ascii="Times New Roman" w:hAnsi="Times New Roman" w:cs="Times New Roman"/>
                      <w:color w:val="auto"/>
                      <w:spacing w:val="4"/>
                      <w:szCs w:val="21"/>
                      <w:highlight w:val="none"/>
                    </w:rPr>
                    <w:t>8</w:t>
                  </w:r>
                </w:p>
              </w:tc>
            </w:tr>
          </w:tbl>
          <w:p w14:paraId="37C4A854">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本项目废水经</w:t>
            </w:r>
            <w:r>
              <w:rPr>
                <w:rFonts w:hint="eastAsia" w:ascii="Times New Roman" w:hAnsi="Times New Roman" w:cs="Times New Roman"/>
                <w:color w:val="auto"/>
                <w:sz w:val="24"/>
                <w:szCs w:val="24"/>
                <w:highlight w:val="none"/>
              </w:rPr>
              <w:t>污水处理站</w:t>
            </w:r>
            <w:r>
              <w:rPr>
                <w:rFonts w:ascii="Times New Roman" w:hAnsi="Times New Roman" w:cs="Times New Roman"/>
                <w:color w:val="auto"/>
                <w:sz w:val="24"/>
                <w:szCs w:val="24"/>
                <w:highlight w:val="none"/>
              </w:rPr>
              <w:t>处理后</w:t>
            </w:r>
            <w:r>
              <w:rPr>
                <w:rFonts w:ascii="Times New Roman" w:hAnsi="Times New Roman" w:cs="Times New Roman"/>
                <w:bCs/>
                <w:color w:val="auto"/>
                <w:sz w:val="24"/>
                <w:szCs w:val="24"/>
                <w:highlight w:val="none"/>
              </w:rPr>
              <w:t>进入</w:t>
            </w:r>
            <w:r>
              <w:rPr>
                <w:rFonts w:hint="eastAsia" w:ascii="Times New Roman" w:hAnsi="Times New Roman" w:cs="Times New Roman"/>
                <w:bCs/>
                <w:color w:val="auto"/>
                <w:sz w:val="24"/>
                <w:szCs w:val="24"/>
                <w:highlight w:val="none"/>
                <w:lang w:eastAsia="zh-CN"/>
              </w:rPr>
              <w:t>马尔康市城市生活污水处理厂</w:t>
            </w:r>
            <w:r>
              <w:rPr>
                <w:rFonts w:ascii="Times New Roman" w:hAnsi="Times New Roman" w:cs="Times New Roman"/>
                <w:bCs/>
                <w:color w:val="auto"/>
                <w:sz w:val="24"/>
                <w:szCs w:val="24"/>
                <w:highlight w:val="none"/>
              </w:rPr>
              <w:t>处理</w:t>
            </w:r>
            <w:r>
              <w:rPr>
                <w:rFonts w:hint="eastAsia" w:ascii="Times New Roman" w:hAnsi="Times New Roman" w:cs="Times New Roman"/>
                <w:bCs/>
                <w:color w:val="auto"/>
                <w:sz w:val="24"/>
                <w:szCs w:val="24"/>
                <w:highlight w:val="none"/>
              </w:rPr>
              <w:t>达到</w:t>
            </w:r>
            <w:r>
              <w:rPr>
                <w:rFonts w:hint="default" w:ascii="Times New Roman" w:hAnsi="Times New Roman" w:eastAsia="宋体" w:cs="Times New Roman"/>
                <w:color w:val="auto"/>
                <w:sz w:val="24"/>
                <w:szCs w:val="24"/>
                <w:highlight w:val="none"/>
                <w:lang w:val="en-US" w:eastAsia="zh-CN"/>
              </w:rPr>
              <w:t>《城镇污水处理厂污染物排放标准》（GB18918-2002）一级A标准</w:t>
            </w:r>
            <w:r>
              <w:rPr>
                <w:rFonts w:ascii="Times New Roman" w:hAnsi="Times New Roman" w:cs="Times New Roman"/>
                <w:bCs/>
                <w:color w:val="auto"/>
                <w:sz w:val="24"/>
                <w:szCs w:val="24"/>
                <w:highlight w:val="none"/>
              </w:rPr>
              <w:t>浓度限值后排入</w:t>
            </w:r>
            <w:r>
              <w:rPr>
                <w:rFonts w:hint="eastAsia" w:ascii="Times New Roman" w:hAnsi="Times New Roman" w:cs="Times New Roman"/>
                <w:bCs/>
                <w:color w:val="auto"/>
                <w:sz w:val="24"/>
                <w:szCs w:val="24"/>
                <w:highlight w:val="none"/>
                <w:lang w:eastAsia="zh-CN"/>
              </w:rPr>
              <w:t>梭磨河</w:t>
            </w:r>
            <w:r>
              <w:rPr>
                <w:rFonts w:ascii="Times New Roman" w:hAnsi="Times New Roman" w:cs="Times New Roman"/>
                <w:bCs/>
                <w:color w:val="auto"/>
                <w:sz w:val="24"/>
                <w:szCs w:val="24"/>
                <w:highlight w:val="none"/>
              </w:rPr>
              <w:t>，</w:t>
            </w:r>
            <w:r>
              <w:rPr>
                <w:rFonts w:hint="eastAsia" w:ascii="Times New Roman" w:hAnsi="Times New Roman" w:cs="Times New Roman"/>
                <w:color w:val="auto"/>
                <w:sz w:val="24"/>
                <w:szCs w:val="24"/>
                <w:highlight w:val="none"/>
              </w:rPr>
              <w:t>其废水排放口情况如下所示。</w:t>
            </w:r>
          </w:p>
          <w:p w14:paraId="76737FF2">
            <w:pPr>
              <w:pStyle w:val="117"/>
              <w:bidi w:val="0"/>
              <w:rPr>
                <w:color w:val="auto"/>
              </w:rPr>
            </w:pPr>
            <w:r>
              <w:rPr>
                <w:color w:val="auto"/>
              </w:rPr>
              <w:t>本项目废水间接排放口基本情况</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7"/>
              <w:gridCol w:w="911"/>
              <w:gridCol w:w="1279"/>
              <w:gridCol w:w="1208"/>
              <w:gridCol w:w="1208"/>
              <w:gridCol w:w="783"/>
              <w:gridCol w:w="597"/>
              <w:gridCol w:w="653"/>
              <w:gridCol w:w="901"/>
              <w:gridCol w:w="869"/>
            </w:tblGrid>
            <w:tr w14:paraId="6E7D2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vMerge w:val="restart"/>
                  <w:tcBorders>
                    <w:tl2br w:val="nil"/>
                    <w:tr2bl w:val="nil"/>
                  </w:tcBorders>
                  <w:vAlign w:val="center"/>
                </w:tcPr>
                <w:p w14:paraId="58F6BB5C">
                  <w:pPr>
                    <w:jc w:val="center"/>
                    <w:rPr>
                      <w:rFonts w:ascii="Times New Roman" w:hAnsi="Times New Roman" w:cs="Times New Roman"/>
                      <w:b/>
                      <w:bCs/>
                      <w:color w:val="auto"/>
                      <w:spacing w:val="4"/>
                      <w:szCs w:val="21"/>
                      <w:highlight w:val="none"/>
                    </w:rPr>
                  </w:pPr>
                  <w:r>
                    <w:rPr>
                      <w:rFonts w:ascii="Times New Roman" w:hAnsi="Times New Roman" w:cs="Times New Roman"/>
                      <w:b/>
                      <w:bCs/>
                      <w:color w:val="auto"/>
                      <w:spacing w:val="4"/>
                      <w:szCs w:val="21"/>
                      <w:highlight w:val="none"/>
                    </w:rPr>
                    <w:t>序号</w:t>
                  </w:r>
                </w:p>
              </w:tc>
              <w:tc>
                <w:tcPr>
                  <w:tcW w:w="911" w:type="dxa"/>
                  <w:vMerge w:val="restart"/>
                  <w:tcBorders>
                    <w:tl2br w:val="nil"/>
                    <w:tr2bl w:val="nil"/>
                  </w:tcBorders>
                  <w:vAlign w:val="center"/>
                </w:tcPr>
                <w:p w14:paraId="7AFEA15B">
                  <w:pPr>
                    <w:jc w:val="center"/>
                    <w:rPr>
                      <w:rFonts w:ascii="Times New Roman" w:hAnsi="Times New Roman" w:cs="Times New Roman"/>
                      <w:b/>
                      <w:bCs/>
                      <w:color w:val="auto"/>
                      <w:spacing w:val="4"/>
                      <w:szCs w:val="21"/>
                      <w:highlight w:val="none"/>
                    </w:rPr>
                  </w:pPr>
                  <w:r>
                    <w:rPr>
                      <w:rFonts w:ascii="Times New Roman" w:hAnsi="Times New Roman" w:cs="Times New Roman"/>
                      <w:b/>
                      <w:bCs/>
                      <w:color w:val="auto"/>
                      <w:spacing w:val="4"/>
                      <w:szCs w:val="21"/>
                      <w:highlight w:val="none"/>
                    </w:rPr>
                    <w:t>排放口编号</w:t>
                  </w:r>
                </w:p>
              </w:tc>
              <w:tc>
                <w:tcPr>
                  <w:tcW w:w="2487" w:type="dxa"/>
                  <w:gridSpan w:val="2"/>
                  <w:tcBorders>
                    <w:tl2br w:val="nil"/>
                    <w:tr2bl w:val="nil"/>
                  </w:tcBorders>
                  <w:vAlign w:val="center"/>
                </w:tcPr>
                <w:p w14:paraId="7AE350AC">
                  <w:pPr>
                    <w:jc w:val="center"/>
                    <w:rPr>
                      <w:rFonts w:ascii="Times New Roman" w:hAnsi="Times New Roman" w:cs="Times New Roman"/>
                      <w:b/>
                      <w:bCs/>
                      <w:color w:val="auto"/>
                      <w:spacing w:val="4"/>
                      <w:szCs w:val="21"/>
                      <w:highlight w:val="none"/>
                    </w:rPr>
                  </w:pPr>
                  <w:r>
                    <w:rPr>
                      <w:rFonts w:ascii="Times New Roman" w:hAnsi="Times New Roman" w:cs="Times New Roman"/>
                      <w:b/>
                      <w:bCs/>
                      <w:color w:val="auto"/>
                      <w:spacing w:val="4"/>
                      <w:szCs w:val="21"/>
                      <w:highlight w:val="none"/>
                    </w:rPr>
                    <w:t>排放口地理坐标</w:t>
                  </w:r>
                </w:p>
              </w:tc>
              <w:tc>
                <w:tcPr>
                  <w:tcW w:w="1208" w:type="dxa"/>
                  <w:vMerge w:val="restart"/>
                  <w:tcBorders>
                    <w:tl2br w:val="nil"/>
                    <w:tr2bl w:val="nil"/>
                  </w:tcBorders>
                  <w:vAlign w:val="center"/>
                </w:tcPr>
                <w:p w14:paraId="102A3059">
                  <w:pPr>
                    <w:jc w:val="center"/>
                    <w:rPr>
                      <w:rFonts w:ascii="Times New Roman" w:hAnsi="Times New Roman" w:cs="Times New Roman"/>
                      <w:b/>
                      <w:bCs/>
                      <w:color w:val="auto"/>
                      <w:spacing w:val="4"/>
                      <w:szCs w:val="21"/>
                      <w:highlight w:val="none"/>
                    </w:rPr>
                  </w:pPr>
                  <w:r>
                    <w:rPr>
                      <w:rFonts w:ascii="Times New Roman" w:hAnsi="Times New Roman" w:cs="Times New Roman"/>
                      <w:b/>
                      <w:bCs/>
                      <w:color w:val="auto"/>
                      <w:spacing w:val="4"/>
                      <w:szCs w:val="21"/>
                      <w:highlight w:val="none"/>
                    </w:rPr>
                    <w:t>废水排放量</w:t>
                  </w:r>
                  <w:r>
                    <w:rPr>
                      <w:rFonts w:hint="eastAsia" w:ascii="Times New Roman" w:hAnsi="Times New Roman" w:cs="Times New Roman"/>
                      <w:b/>
                      <w:bCs/>
                      <w:color w:val="auto"/>
                      <w:spacing w:val="4"/>
                      <w:szCs w:val="21"/>
                      <w:highlight w:val="none"/>
                      <w:lang w:eastAsia="zh-CN"/>
                    </w:rPr>
                    <w:t>（</w:t>
                  </w:r>
                  <w:r>
                    <w:rPr>
                      <w:rFonts w:ascii="Times New Roman" w:hAnsi="Times New Roman" w:cs="Times New Roman"/>
                      <w:b/>
                      <w:bCs/>
                      <w:color w:val="auto"/>
                      <w:spacing w:val="4"/>
                      <w:szCs w:val="21"/>
                      <w:highlight w:val="none"/>
                    </w:rPr>
                    <w:t>m</w:t>
                  </w:r>
                  <w:r>
                    <w:rPr>
                      <w:rFonts w:ascii="Times New Roman" w:hAnsi="Times New Roman" w:cs="Times New Roman"/>
                      <w:b/>
                      <w:bCs/>
                      <w:color w:val="auto"/>
                      <w:spacing w:val="4"/>
                      <w:szCs w:val="21"/>
                      <w:highlight w:val="none"/>
                      <w:vertAlign w:val="superscript"/>
                    </w:rPr>
                    <w:t>3</w:t>
                  </w:r>
                  <w:r>
                    <w:rPr>
                      <w:rFonts w:ascii="Times New Roman" w:hAnsi="Times New Roman" w:cs="Times New Roman"/>
                      <w:b/>
                      <w:bCs/>
                      <w:color w:val="auto"/>
                      <w:spacing w:val="4"/>
                      <w:szCs w:val="21"/>
                      <w:highlight w:val="none"/>
                    </w:rPr>
                    <w:t>/a</w:t>
                  </w:r>
                  <w:r>
                    <w:rPr>
                      <w:rFonts w:hint="eastAsia" w:ascii="Times New Roman" w:hAnsi="Times New Roman" w:cs="Times New Roman"/>
                      <w:b/>
                      <w:bCs/>
                      <w:color w:val="auto"/>
                      <w:spacing w:val="4"/>
                      <w:szCs w:val="21"/>
                      <w:highlight w:val="none"/>
                      <w:lang w:eastAsia="zh-CN"/>
                    </w:rPr>
                    <w:t>）</w:t>
                  </w:r>
                </w:p>
              </w:tc>
              <w:tc>
                <w:tcPr>
                  <w:tcW w:w="783" w:type="dxa"/>
                  <w:vMerge w:val="restart"/>
                  <w:tcBorders>
                    <w:tl2br w:val="nil"/>
                    <w:tr2bl w:val="nil"/>
                  </w:tcBorders>
                  <w:vAlign w:val="center"/>
                </w:tcPr>
                <w:p w14:paraId="1727075E">
                  <w:pPr>
                    <w:jc w:val="center"/>
                    <w:rPr>
                      <w:rFonts w:ascii="Times New Roman" w:hAnsi="Times New Roman" w:cs="Times New Roman"/>
                      <w:b/>
                      <w:bCs/>
                      <w:color w:val="auto"/>
                      <w:spacing w:val="4"/>
                      <w:szCs w:val="21"/>
                      <w:highlight w:val="none"/>
                    </w:rPr>
                  </w:pPr>
                  <w:r>
                    <w:rPr>
                      <w:rFonts w:ascii="Times New Roman" w:hAnsi="Times New Roman" w:cs="Times New Roman"/>
                      <w:b/>
                      <w:bCs/>
                      <w:color w:val="auto"/>
                      <w:spacing w:val="4"/>
                      <w:szCs w:val="21"/>
                      <w:highlight w:val="none"/>
                    </w:rPr>
                    <w:t>排放去向</w:t>
                  </w:r>
                </w:p>
              </w:tc>
              <w:tc>
                <w:tcPr>
                  <w:tcW w:w="597" w:type="dxa"/>
                  <w:vMerge w:val="restart"/>
                  <w:tcBorders>
                    <w:tl2br w:val="nil"/>
                    <w:tr2bl w:val="nil"/>
                  </w:tcBorders>
                  <w:vAlign w:val="center"/>
                </w:tcPr>
                <w:p w14:paraId="0F6FD02E">
                  <w:pPr>
                    <w:jc w:val="center"/>
                    <w:rPr>
                      <w:rFonts w:ascii="Times New Roman" w:hAnsi="Times New Roman" w:cs="Times New Roman"/>
                      <w:b/>
                      <w:bCs/>
                      <w:color w:val="auto"/>
                      <w:spacing w:val="4"/>
                      <w:szCs w:val="21"/>
                      <w:highlight w:val="none"/>
                    </w:rPr>
                  </w:pPr>
                  <w:r>
                    <w:rPr>
                      <w:rFonts w:ascii="Times New Roman" w:hAnsi="Times New Roman" w:cs="Times New Roman"/>
                      <w:b/>
                      <w:bCs/>
                      <w:color w:val="auto"/>
                      <w:spacing w:val="4"/>
                      <w:szCs w:val="21"/>
                      <w:highlight w:val="none"/>
                    </w:rPr>
                    <w:t>排放规律</w:t>
                  </w:r>
                </w:p>
              </w:tc>
              <w:tc>
                <w:tcPr>
                  <w:tcW w:w="2423" w:type="dxa"/>
                  <w:gridSpan w:val="3"/>
                  <w:tcBorders>
                    <w:tl2br w:val="nil"/>
                    <w:tr2bl w:val="nil"/>
                  </w:tcBorders>
                  <w:vAlign w:val="center"/>
                </w:tcPr>
                <w:p w14:paraId="5FA16126">
                  <w:pPr>
                    <w:jc w:val="center"/>
                    <w:rPr>
                      <w:rFonts w:ascii="Times New Roman" w:hAnsi="Times New Roman" w:cs="Times New Roman"/>
                      <w:b/>
                      <w:bCs/>
                      <w:color w:val="auto"/>
                      <w:spacing w:val="4"/>
                      <w:szCs w:val="21"/>
                      <w:highlight w:val="none"/>
                    </w:rPr>
                  </w:pPr>
                  <w:r>
                    <w:rPr>
                      <w:rFonts w:ascii="Times New Roman" w:hAnsi="Times New Roman" w:cs="Times New Roman"/>
                      <w:b/>
                      <w:bCs/>
                      <w:color w:val="auto"/>
                      <w:spacing w:val="4"/>
                      <w:szCs w:val="21"/>
                      <w:highlight w:val="none"/>
                    </w:rPr>
                    <w:t>受纳污水处理厂信息</w:t>
                  </w:r>
                </w:p>
              </w:tc>
            </w:tr>
            <w:tr w14:paraId="436D4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vMerge w:val="continue"/>
                  <w:tcBorders>
                    <w:tl2br w:val="nil"/>
                    <w:tr2bl w:val="nil"/>
                  </w:tcBorders>
                  <w:vAlign w:val="center"/>
                </w:tcPr>
                <w:p w14:paraId="79AD6D4A">
                  <w:pPr>
                    <w:jc w:val="center"/>
                    <w:rPr>
                      <w:rFonts w:ascii="Times New Roman" w:hAnsi="Times New Roman" w:cs="Times New Roman"/>
                      <w:b/>
                      <w:bCs/>
                      <w:color w:val="auto"/>
                      <w:spacing w:val="4"/>
                      <w:szCs w:val="21"/>
                      <w:highlight w:val="none"/>
                    </w:rPr>
                  </w:pPr>
                </w:p>
              </w:tc>
              <w:tc>
                <w:tcPr>
                  <w:tcW w:w="911" w:type="dxa"/>
                  <w:vMerge w:val="continue"/>
                  <w:tcBorders>
                    <w:tl2br w:val="nil"/>
                    <w:tr2bl w:val="nil"/>
                  </w:tcBorders>
                  <w:vAlign w:val="center"/>
                </w:tcPr>
                <w:p w14:paraId="14651C03">
                  <w:pPr>
                    <w:jc w:val="center"/>
                    <w:rPr>
                      <w:rFonts w:ascii="Times New Roman" w:hAnsi="Times New Roman" w:cs="Times New Roman"/>
                      <w:b/>
                      <w:bCs/>
                      <w:color w:val="auto"/>
                      <w:spacing w:val="4"/>
                      <w:szCs w:val="21"/>
                      <w:highlight w:val="none"/>
                    </w:rPr>
                  </w:pPr>
                </w:p>
              </w:tc>
              <w:tc>
                <w:tcPr>
                  <w:tcW w:w="1279" w:type="dxa"/>
                  <w:tcBorders>
                    <w:tl2br w:val="nil"/>
                    <w:tr2bl w:val="nil"/>
                  </w:tcBorders>
                  <w:vAlign w:val="center"/>
                </w:tcPr>
                <w:p w14:paraId="3DD91B5A">
                  <w:pPr>
                    <w:jc w:val="center"/>
                    <w:rPr>
                      <w:rFonts w:ascii="Times New Roman" w:hAnsi="Times New Roman" w:cs="Times New Roman"/>
                      <w:b/>
                      <w:bCs/>
                      <w:color w:val="auto"/>
                      <w:spacing w:val="4"/>
                      <w:szCs w:val="21"/>
                      <w:highlight w:val="none"/>
                    </w:rPr>
                  </w:pPr>
                  <w:r>
                    <w:rPr>
                      <w:rFonts w:ascii="Times New Roman" w:hAnsi="Times New Roman" w:cs="Times New Roman"/>
                      <w:b/>
                      <w:bCs/>
                      <w:color w:val="auto"/>
                      <w:spacing w:val="4"/>
                      <w:szCs w:val="21"/>
                      <w:highlight w:val="none"/>
                    </w:rPr>
                    <w:t>经度</w:t>
                  </w:r>
                </w:p>
              </w:tc>
              <w:tc>
                <w:tcPr>
                  <w:tcW w:w="1208" w:type="dxa"/>
                  <w:tcBorders>
                    <w:tl2br w:val="nil"/>
                    <w:tr2bl w:val="nil"/>
                  </w:tcBorders>
                  <w:vAlign w:val="center"/>
                </w:tcPr>
                <w:p w14:paraId="33FEF82E">
                  <w:pPr>
                    <w:jc w:val="center"/>
                    <w:rPr>
                      <w:rFonts w:ascii="Times New Roman" w:hAnsi="Times New Roman" w:cs="Times New Roman"/>
                      <w:b/>
                      <w:bCs/>
                      <w:color w:val="auto"/>
                      <w:spacing w:val="4"/>
                      <w:szCs w:val="21"/>
                      <w:highlight w:val="none"/>
                    </w:rPr>
                  </w:pPr>
                  <w:r>
                    <w:rPr>
                      <w:rFonts w:ascii="Times New Roman" w:hAnsi="Times New Roman" w:cs="Times New Roman"/>
                      <w:b/>
                      <w:bCs/>
                      <w:color w:val="auto"/>
                      <w:spacing w:val="4"/>
                      <w:szCs w:val="21"/>
                      <w:highlight w:val="none"/>
                    </w:rPr>
                    <w:t>纬度</w:t>
                  </w:r>
                </w:p>
              </w:tc>
              <w:tc>
                <w:tcPr>
                  <w:tcW w:w="1208" w:type="dxa"/>
                  <w:vMerge w:val="continue"/>
                  <w:tcBorders>
                    <w:tl2br w:val="nil"/>
                    <w:tr2bl w:val="nil"/>
                  </w:tcBorders>
                  <w:vAlign w:val="center"/>
                </w:tcPr>
                <w:p w14:paraId="49C0D166">
                  <w:pPr>
                    <w:jc w:val="center"/>
                    <w:rPr>
                      <w:rFonts w:ascii="Times New Roman" w:hAnsi="Times New Roman" w:cs="Times New Roman"/>
                      <w:b/>
                      <w:bCs/>
                      <w:color w:val="auto"/>
                      <w:spacing w:val="4"/>
                      <w:szCs w:val="21"/>
                      <w:highlight w:val="none"/>
                    </w:rPr>
                  </w:pPr>
                </w:p>
              </w:tc>
              <w:tc>
                <w:tcPr>
                  <w:tcW w:w="783" w:type="dxa"/>
                  <w:vMerge w:val="continue"/>
                  <w:tcBorders>
                    <w:tl2br w:val="nil"/>
                    <w:tr2bl w:val="nil"/>
                  </w:tcBorders>
                  <w:vAlign w:val="center"/>
                </w:tcPr>
                <w:p w14:paraId="064E3D44">
                  <w:pPr>
                    <w:jc w:val="center"/>
                    <w:rPr>
                      <w:rFonts w:ascii="Times New Roman" w:hAnsi="Times New Roman" w:cs="Times New Roman"/>
                      <w:b/>
                      <w:bCs/>
                      <w:color w:val="auto"/>
                      <w:spacing w:val="4"/>
                      <w:szCs w:val="21"/>
                      <w:highlight w:val="none"/>
                    </w:rPr>
                  </w:pPr>
                </w:p>
              </w:tc>
              <w:tc>
                <w:tcPr>
                  <w:tcW w:w="597" w:type="dxa"/>
                  <w:vMerge w:val="continue"/>
                  <w:tcBorders>
                    <w:tl2br w:val="nil"/>
                    <w:tr2bl w:val="nil"/>
                  </w:tcBorders>
                  <w:vAlign w:val="center"/>
                </w:tcPr>
                <w:p w14:paraId="1337C6C4">
                  <w:pPr>
                    <w:jc w:val="center"/>
                    <w:rPr>
                      <w:rFonts w:ascii="Times New Roman" w:hAnsi="Times New Roman" w:cs="Times New Roman"/>
                      <w:b/>
                      <w:bCs/>
                      <w:color w:val="auto"/>
                      <w:spacing w:val="4"/>
                      <w:szCs w:val="21"/>
                      <w:highlight w:val="none"/>
                    </w:rPr>
                  </w:pPr>
                </w:p>
              </w:tc>
              <w:tc>
                <w:tcPr>
                  <w:tcW w:w="653" w:type="dxa"/>
                  <w:tcBorders>
                    <w:tl2br w:val="nil"/>
                    <w:tr2bl w:val="nil"/>
                  </w:tcBorders>
                  <w:vAlign w:val="center"/>
                </w:tcPr>
                <w:p w14:paraId="59336ADE">
                  <w:pPr>
                    <w:jc w:val="center"/>
                    <w:rPr>
                      <w:rFonts w:ascii="Times New Roman" w:hAnsi="Times New Roman" w:cs="Times New Roman"/>
                      <w:b/>
                      <w:bCs/>
                      <w:color w:val="auto"/>
                      <w:spacing w:val="4"/>
                      <w:szCs w:val="21"/>
                      <w:highlight w:val="none"/>
                    </w:rPr>
                  </w:pPr>
                  <w:r>
                    <w:rPr>
                      <w:rFonts w:ascii="Times New Roman" w:hAnsi="Times New Roman" w:cs="Times New Roman"/>
                      <w:b/>
                      <w:bCs/>
                      <w:color w:val="auto"/>
                      <w:spacing w:val="4"/>
                      <w:szCs w:val="21"/>
                      <w:highlight w:val="none"/>
                    </w:rPr>
                    <w:t>名称</w:t>
                  </w:r>
                </w:p>
              </w:tc>
              <w:tc>
                <w:tcPr>
                  <w:tcW w:w="901" w:type="dxa"/>
                  <w:tcBorders>
                    <w:tl2br w:val="nil"/>
                    <w:tr2bl w:val="nil"/>
                  </w:tcBorders>
                  <w:vAlign w:val="center"/>
                </w:tcPr>
                <w:p w14:paraId="6CE5B4E0">
                  <w:pPr>
                    <w:jc w:val="center"/>
                    <w:rPr>
                      <w:rFonts w:ascii="Times New Roman" w:hAnsi="Times New Roman" w:cs="Times New Roman"/>
                      <w:b/>
                      <w:bCs/>
                      <w:color w:val="auto"/>
                      <w:spacing w:val="4"/>
                      <w:szCs w:val="21"/>
                      <w:highlight w:val="none"/>
                    </w:rPr>
                  </w:pPr>
                  <w:r>
                    <w:rPr>
                      <w:rFonts w:ascii="Times New Roman" w:hAnsi="Times New Roman" w:cs="Times New Roman"/>
                      <w:b/>
                      <w:bCs/>
                      <w:color w:val="auto"/>
                      <w:spacing w:val="4"/>
                      <w:szCs w:val="21"/>
                      <w:highlight w:val="none"/>
                    </w:rPr>
                    <w:t>污染物种类</w:t>
                  </w:r>
                </w:p>
              </w:tc>
              <w:tc>
                <w:tcPr>
                  <w:tcW w:w="869" w:type="dxa"/>
                  <w:tcBorders>
                    <w:tl2br w:val="nil"/>
                    <w:tr2bl w:val="nil"/>
                  </w:tcBorders>
                  <w:vAlign w:val="center"/>
                </w:tcPr>
                <w:p w14:paraId="26AFC764">
                  <w:pPr>
                    <w:jc w:val="center"/>
                    <w:rPr>
                      <w:rFonts w:ascii="Times New Roman" w:hAnsi="Times New Roman" w:cs="Times New Roman"/>
                      <w:b/>
                      <w:bCs/>
                      <w:color w:val="auto"/>
                      <w:spacing w:val="4"/>
                      <w:szCs w:val="21"/>
                      <w:highlight w:val="none"/>
                    </w:rPr>
                  </w:pPr>
                  <w:r>
                    <w:rPr>
                      <w:rFonts w:ascii="Times New Roman" w:hAnsi="Times New Roman" w:cs="Times New Roman"/>
                      <w:b/>
                      <w:bCs/>
                      <w:color w:val="auto"/>
                      <w:spacing w:val="4"/>
                      <w:szCs w:val="21"/>
                      <w:highlight w:val="none"/>
                    </w:rPr>
                    <w:t>排放标准</w:t>
                  </w:r>
                  <w:r>
                    <w:rPr>
                      <w:rFonts w:hint="eastAsia" w:ascii="Times New Roman" w:hAnsi="Times New Roman" w:cs="Times New Roman"/>
                      <w:b/>
                      <w:bCs/>
                      <w:color w:val="auto"/>
                      <w:spacing w:val="4"/>
                      <w:szCs w:val="21"/>
                      <w:highlight w:val="none"/>
                      <w:lang w:eastAsia="zh-CN"/>
                    </w:rPr>
                    <w:t>（</w:t>
                  </w:r>
                  <w:r>
                    <w:rPr>
                      <w:rFonts w:ascii="Times New Roman" w:hAnsi="Times New Roman" w:cs="Times New Roman"/>
                      <w:b/>
                      <w:bCs/>
                      <w:color w:val="auto"/>
                      <w:spacing w:val="4"/>
                      <w:szCs w:val="21"/>
                      <w:highlight w:val="none"/>
                    </w:rPr>
                    <w:t>mg/L</w:t>
                  </w:r>
                  <w:r>
                    <w:rPr>
                      <w:rFonts w:hint="eastAsia" w:ascii="Times New Roman" w:hAnsi="Times New Roman" w:cs="Times New Roman"/>
                      <w:b/>
                      <w:bCs/>
                      <w:color w:val="auto"/>
                      <w:spacing w:val="4"/>
                      <w:szCs w:val="21"/>
                      <w:highlight w:val="none"/>
                      <w:lang w:eastAsia="zh-CN"/>
                    </w:rPr>
                    <w:t>）</w:t>
                  </w:r>
                </w:p>
              </w:tc>
            </w:tr>
            <w:tr w14:paraId="103C5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vMerge w:val="restart"/>
                  <w:tcBorders>
                    <w:tl2br w:val="nil"/>
                    <w:tr2bl w:val="nil"/>
                  </w:tcBorders>
                  <w:vAlign w:val="center"/>
                </w:tcPr>
                <w:p w14:paraId="17FA75FA">
                  <w:pPr>
                    <w:jc w:val="center"/>
                    <w:rPr>
                      <w:rFonts w:ascii="Times New Roman" w:hAnsi="Times New Roman" w:cs="Times New Roman"/>
                      <w:color w:val="auto"/>
                      <w:spacing w:val="4"/>
                      <w:szCs w:val="21"/>
                      <w:highlight w:val="none"/>
                    </w:rPr>
                  </w:pPr>
                  <w:r>
                    <w:rPr>
                      <w:rFonts w:ascii="Times New Roman" w:hAnsi="Times New Roman" w:cs="Times New Roman"/>
                      <w:color w:val="auto"/>
                      <w:spacing w:val="4"/>
                      <w:szCs w:val="21"/>
                      <w:highlight w:val="none"/>
                    </w:rPr>
                    <w:t>1</w:t>
                  </w:r>
                </w:p>
              </w:tc>
              <w:tc>
                <w:tcPr>
                  <w:tcW w:w="911" w:type="dxa"/>
                  <w:vMerge w:val="restart"/>
                  <w:tcBorders>
                    <w:tl2br w:val="nil"/>
                    <w:tr2bl w:val="nil"/>
                  </w:tcBorders>
                  <w:vAlign w:val="center"/>
                </w:tcPr>
                <w:p w14:paraId="7E1C02AA">
                  <w:pPr>
                    <w:jc w:val="center"/>
                    <w:rPr>
                      <w:rFonts w:ascii="Times New Roman" w:hAnsi="Times New Roman" w:cs="Times New Roman"/>
                      <w:color w:val="auto"/>
                      <w:spacing w:val="4"/>
                      <w:szCs w:val="21"/>
                      <w:highlight w:val="none"/>
                    </w:rPr>
                  </w:pPr>
                  <w:r>
                    <w:rPr>
                      <w:rFonts w:ascii="Times New Roman" w:hAnsi="Times New Roman" w:cs="Times New Roman"/>
                      <w:color w:val="auto"/>
                      <w:szCs w:val="21"/>
                      <w:highlight w:val="none"/>
                    </w:rPr>
                    <w:t>DW001</w:t>
                  </w:r>
                </w:p>
              </w:tc>
              <w:tc>
                <w:tcPr>
                  <w:tcW w:w="1279" w:type="dxa"/>
                  <w:vMerge w:val="restart"/>
                  <w:tcBorders>
                    <w:tl2br w:val="nil"/>
                    <w:tr2bl w:val="nil"/>
                  </w:tcBorders>
                  <w:vAlign w:val="center"/>
                </w:tcPr>
                <w:p w14:paraId="7ACD7DCD">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102°11′15.15800″</w:t>
                  </w:r>
                </w:p>
              </w:tc>
              <w:tc>
                <w:tcPr>
                  <w:tcW w:w="1208" w:type="dxa"/>
                  <w:vMerge w:val="restart"/>
                  <w:tcBorders>
                    <w:tl2br w:val="nil"/>
                    <w:tr2bl w:val="nil"/>
                  </w:tcBorders>
                  <w:vAlign w:val="center"/>
                </w:tcPr>
                <w:p w14:paraId="44AA7D30">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31°55′7.54396″</w:t>
                  </w:r>
                </w:p>
              </w:tc>
              <w:tc>
                <w:tcPr>
                  <w:tcW w:w="1208" w:type="dxa"/>
                  <w:vMerge w:val="restart"/>
                  <w:tcBorders>
                    <w:tl2br w:val="nil"/>
                    <w:tr2bl w:val="nil"/>
                  </w:tcBorders>
                  <w:vAlign w:val="center"/>
                </w:tcPr>
                <w:p w14:paraId="2681B8FE">
                  <w:pPr>
                    <w:jc w:val="center"/>
                    <w:rPr>
                      <w:rFonts w:hint="default" w:ascii="Times New Roman" w:hAnsi="Times New Roman" w:cs="Times New Roman" w:eastAsiaTheme="minorEastAsia"/>
                      <w:color w:val="auto"/>
                      <w:spacing w:val="4"/>
                      <w:szCs w:val="21"/>
                      <w:highlight w:val="none"/>
                      <w:lang w:val="en-US" w:eastAsia="zh-CN"/>
                    </w:rPr>
                  </w:pPr>
                  <w:r>
                    <w:rPr>
                      <w:rFonts w:hint="eastAsia" w:ascii="Times New Roman" w:hAnsi="Times New Roman" w:cs="Times New Roman"/>
                      <w:bCs/>
                      <w:color w:val="auto"/>
                      <w:szCs w:val="21"/>
                      <w:highlight w:val="none"/>
                      <w:lang w:val="en-US" w:eastAsia="zh-CN"/>
                    </w:rPr>
                    <w:t>6.81</w:t>
                  </w:r>
                </w:p>
              </w:tc>
              <w:tc>
                <w:tcPr>
                  <w:tcW w:w="783" w:type="dxa"/>
                  <w:vMerge w:val="restart"/>
                  <w:tcBorders>
                    <w:tl2br w:val="nil"/>
                    <w:tr2bl w:val="nil"/>
                  </w:tcBorders>
                  <w:vAlign w:val="center"/>
                </w:tcPr>
                <w:p w14:paraId="35F3B179">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市政污水管网</w:t>
                  </w:r>
                </w:p>
              </w:tc>
              <w:tc>
                <w:tcPr>
                  <w:tcW w:w="597" w:type="dxa"/>
                  <w:vMerge w:val="restart"/>
                  <w:tcBorders>
                    <w:tl2br w:val="nil"/>
                    <w:tr2bl w:val="nil"/>
                  </w:tcBorders>
                  <w:vAlign w:val="center"/>
                </w:tcPr>
                <w:p w14:paraId="0B741C50">
                  <w:pPr>
                    <w:jc w:val="center"/>
                    <w:rPr>
                      <w:rFonts w:ascii="Times New Roman" w:hAnsi="Times New Roman" w:cs="Times New Roman"/>
                      <w:color w:val="auto"/>
                      <w:spacing w:val="4"/>
                      <w:szCs w:val="21"/>
                      <w:highlight w:val="none"/>
                    </w:rPr>
                  </w:pPr>
                  <w:r>
                    <w:rPr>
                      <w:rFonts w:ascii="Times New Roman" w:hAnsi="Times New Roman" w:cs="Times New Roman"/>
                      <w:color w:val="auto"/>
                      <w:spacing w:val="4"/>
                      <w:szCs w:val="21"/>
                      <w:highlight w:val="none"/>
                    </w:rPr>
                    <w:t>连续排放</w:t>
                  </w:r>
                </w:p>
              </w:tc>
              <w:tc>
                <w:tcPr>
                  <w:tcW w:w="653" w:type="dxa"/>
                  <w:vMerge w:val="restart"/>
                  <w:tcBorders>
                    <w:tl2br w:val="nil"/>
                    <w:tr2bl w:val="nil"/>
                  </w:tcBorders>
                  <w:vAlign w:val="center"/>
                </w:tcPr>
                <w:p w14:paraId="56BD1F1C">
                  <w:pPr>
                    <w:jc w:val="center"/>
                    <w:rPr>
                      <w:rFonts w:hint="eastAsia" w:ascii="Times New Roman" w:hAnsi="Times New Roman" w:cs="Times New Roman" w:eastAsiaTheme="minorEastAsia"/>
                      <w:color w:val="auto"/>
                      <w:spacing w:val="4"/>
                      <w:szCs w:val="21"/>
                      <w:highlight w:val="none"/>
                      <w:lang w:eastAsia="zh-CN"/>
                    </w:rPr>
                  </w:pPr>
                  <w:r>
                    <w:rPr>
                      <w:rFonts w:hint="eastAsia" w:ascii="Times New Roman" w:hAnsi="Times New Roman" w:cs="Times New Roman"/>
                      <w:color w:val="auto"/>
                      <w:spacing w:val="4"/>
                      <w:szCs w:val="21"/>
                      <w:highlight w:val="none"/>
                      <w:lang w:eastAsia="zh-CN"/>
                    </w:rPr>
                    <w:t>马尔康市城市生活污水处理厂</w:t>
                  </w:r>
                </w:p>
              </w:tc>
              <w:tc>
                <w:tcPr>
                  <w:tcW w:w="901" w:type="dxa"/>
                  <w:tcBorders>
                    <w:tl2br w:val="nil"/>
                    <w:tr2bl w:val="nil"/>
                  </w:tcBorders>
                  <w:vAlign w:val="center"/>
                </w:tcPr>
                <w:p w14:paraId="47F7B2F4">
                  <w:pPr>
                    <w:jc w:val="center"/>
                    <w:rPr>
                      <w:rFonts w:ascii="Times New Roman" w:hAnsi="Times New Roman" w:cs="Times New Roman"/>
                      <w:color w:val="auto"/>
                      <w:spacing w:val="4"/>
                      <w:szCs w:val="21"/>
                      <w:highlight w:val="none"/>
                    </w:rPr>
                  </w:pPr>
                  <w:r>
                    <w:rPr>
                      <w:rFonts w:ascii="Times New Roman" w:hAnsi="Times New Roman" w:cs="Times New Roman"/>
                      <w:color w:val="auto"/>
                      <w:spacing w:val="4"/>
                      <w:szCs w:val="21"/>
                      <w:highlight w:val="none"/>
                    </w:rPr>
                    <w:t>COD</w:t>
                  </w:r>
                </w:p>
              </w:tc>
              <w:tc>
                <w:tcPr>
                  <w:tcW w:w="869" w:type="dxa"/>
                  <w:tcBorders>
                    <w:tl2br w:val="nil"/>
                    <w:tr2bl w:val="nil"/>
                  </w:tcBorders>
                  <w:vAlign w:val="center"/>
                </w:tcPr>
                <w:p w14:paraId="5FC1C811">
                  <w:pPr>
                    <w:jc w:val="center"/>
                    <w:rPr>
                      <w:rFonts w:hint="default" w:ascii="Times New Roman" w:hAnsi="Times New Roman" w:cs="Times New Roman" w:eastAsiaTheme="minorEastAsia"/>
                      <w:color w:val="auto"/>
                      <w:spacing w:val="4"/>
                      <w:szCs w:val="21"/>
                      <w:highlight w:val="none"/>
                      <w:lang w:val="en-US" w:eastAsia="zh-CN"/>
                    </w:rPr>
                  </w:pPr>
                  <w:r>
                    <w:rPr>
                      <w:rFonts w:hint="eastAsia" w:ascii="Times New Roman" w:hAnsi="Times New Roman" w:cs="Times New Roman"/>
                      <w:color w:val="auto"/>
                      <w:spacing w:val="4"/>
                      <w:szCs w:val="21"/>
                      <w:highlight w:val="none"/>
                      <w:lang w:val="en-US" w:eastAsia="zh-CN"/>
                    </w:rPr>
                    <w:t>50</w:t>
                  </w:r>
                </w:p>
              </w:tc>
            </w:tr>
            <w:tr w14:paraId="57B6C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vMerge w:val="continue"/>
                  <w:tcBorders>
                    <w:tl2br w:val="nil"/>
                    <w:tr2bl w:val="nil"/>
                  </w:tcBorders>
                  <w:vAlign w:val="center"/>
                </w:tcPr>
                <w:p w14:paraId="0AE32B29">
                  <w:pPr>
                    <w:jc w:val="center"/>
                    <w:rPr>
                      <w:rFonts w:ascii="Times New Roman" w:hAnsi="Times New Roman" w:cs="Times New Roman"/>
                      <w:color w:val="auto"/>
                      <w:spacing w:val="4"/>
                      <w:szCs w:val="21"/>
                      <w:highlight w:val="none"/>
                    </w:rPr>
                  </w:pPr>
                </w:p>
              </w:tc>
              <w:tc>
                <w:tcPr>
                  <w:tcW w:w="911" w:type="dxa"/>
                  <w:vMerge w:val="continue"/>
                  <w:tcBorders>
                    <w:tl2br w:val="nil"/>
                    <w:tr2bl w:val="nil"/>
                  </w:tcBorders>
                  <w:vAlign w:val="center"/>
                </w:tcPr>
                <w:p w14:paraId="53088222">
                  <w:pPr>
                    <w:jc w:val="center"/>
                    <w:rPr>
                      <w:rFonts w:ascii="Times New Roman" w:hAnsi="Times New Roman" w:cs="Times New Roman"/>
                      <w:color w:val="auto"/>
                      <w:spacing w:val="4"/>
                      <w:szCs w:val="21"/>
                      <w:highlight w:val="none"/>
                    </w:rPr>
                  </w:pPr>
                </w:p>
              </w:tc>
              <w:tc>
                <w:tcPr>
                  <w:tcW w:w="1279" w:type="dxa"/>
                  <w:vMerge w:val="continue"/>
                  <w:tcBorders>
                    <w:tl2br w:val="nil"/>
                    <w:tr2bl w:val="nil"/>
                  </w:tcBorders>
                  <w:vAlign w:val="center"/>
                </w:tcPr>
                <w:p w14:paraId="7B67F142">
                  <w:pPr>
                    <w:jc w:val="center"/>
                    <w:rPr>
                      <w:rFonts w:ascii="Times New Roman" w:hAnsi="Times New Roman" w:cs="Times New Roman"/>
                      <w:color w:val="auto"/>
                      <w:spacing w:val="4"/>
                      <w:szCs w:val="21"/>
                      <w:highlight w:val="none"/>
                    </w:rPr>
                  </w:pPr>
                </w:p>
              </w:tc>
              <w:tc>
                <w:tcPr>
                  <w:tcW w:w="1208" w:type="dxa"/>
                  <w:vMerge w:val="continue"/>
                  <w:tcBorders>
                    <w:tl2br w:val="nil"/>
                    <w:tr2bl w:val="nil"/>
                  </w:tcBorders>
                  <w:vAlign w:val="center"/>
                </w:tcPr>
                <w:p w14:paraId="20AB888E">
                  <w:pPr>
                    <w:jc w:val="center"/>
                    <w:rPr>
                      <w:rFonts w:ascii="Times New Roman" w:hAnsi="Times New Roman" w:cs="Times New Roman"/>
                      <w:color w:val="auto"/>
                      <w:spacing w:val="4"/>
                      <w:szCs w:val="21"/>
                      <w:highlight w:val="none"/>
                    </w:rPr>
                  </w:pPr>
                </w:p>
              </w:tc>
              <w:tc>
                <w:tcPr>
                  <w:tcW w:w="1208" w:type="dxa"/>
                  <w:vMerge w:val="continue"/>
                  <w:tcBorders>
                    <w:tl2br w:val="nil"/>
                    <w:tr2bl w:val="nil"/>
                  </w:tcBorders>
                  <w:vAlign w:val="center"/>
                </w:tcPr>
                <w:p w14:paraId="2631AB18">
                  <w:pPr>
                    <w:jc w:val="center"/>
                    <w:rPr>
                      <w:rFonts w:ascii="Times New Roman" w:hAnsi="Times New Roman" w:cs="Times New Roman"/>
                      <w:color w:val="auto"/>
                      <w:spacing w:val="4"/>
                      <w:szCs w:val="21"/>
                      <w:highlight w:val="none"/>
                    </w:rPr>
                  </w:pPr>
                </w:p>
              </w:tc>
              <w:tc>
                <w:tcPr>
                  <w:tcW w:w="783" w:type="dxa"/>
                  <w:vMerge w:val="continue"/>
                  <w:tcBorders>
                    <w:tl2br w:val="nil"/>
                    <w:tr2bl w:val="nil"/>
                  </w:tcBorders>
                  <w:vAlign w:val="center"/>
                </w:tcPr>
                <w:p w14:paraId="3BA1D5DF">
                  <w:pPr>
                    <w:jc w:val="center"/>
                    <w:rPr>
                      <w:rFonts w:ascii="Times New Roman" w:hAnsi="Times New Roman" w:cs="Times New Roman"/>
                      <w:color w:val="auto"/>
                      <w:szCs w:val="21"/>
                      <w:highlight w:val="none"/>
                    </w:rPr>
                  </w:pPr>
                </w:p>
              </w:tc>
              <w:tc>
                <w:tcPr>
                  <w:tcW w:w="597" w:type="dxa"/>
                  <w:vMerge w:val="continue"/>
                  <w:tcBorders>
                    <w:tl2br w:val="nil"/>
                    <w:tr2bl w:val="nil"/>
                  </w:tcBorders>
                  <w:vAlign w:val="center"/>
                </w:tcPr>
                <w:p w14:paraId="59BE05F6">
                  <w:pPr>
                    <w:jc w:val="center"/>
                    <w:rPr>
                      <w:rFonts w:ascii="Times New Roman" w:hAnsi="Times New Roman" w:cs="Times New Roman"/>
                      <w:color w:val="auto"/>
                      <w:spacing w:val="4"/>
                      <w:szCs w:val="21"/>
                      <w:highlight w:val="none"/>
                    </w:rPr>
                  </w:pPr>
                </w:p>
              </w:tc>
              <w:tc>
                <w:tcPr>
                  <w:tcW w:w="653" w:type="dxa"/>
                  <w:vMerge w:val="continue"/>
                  <w:tcBorders>
                    <w:tl2br w:val="nil"/>
                    <w:tr2bl w:val="nil"/>
                  </w:tcBorders>
                  <w:vAlign w:val="center"/>
                </w:tcPr>
                <w:p w14:paraId="2B9252B9">
                  <w:pPr>
                    <w:jc w:val="center"/>
                    <w:rPr>
                      <w:rFonts w:ascii="Times New Roman" w:hAnsi="Times New Roman" w:cs="Times New Roman"/>
                      <w:color w:val="auto"/>
                      <w:spacing w:val="4"/>
                      <w:szCs w:val="21"/>
                      <w:highlight w:val="none"/>
                    </w:rPr>
                  </w:pPr>
                </w:p>
              </w:tc>
              <w:tc>
                <w:tcPr>
                  <w:tcW w:w="901" w:type="dxa"/>
                  <w:tcBorders>
                    <w:tl2br w:val="nil"/>
                    <w:tr2bl w:val="nil"/>
                  </w:tcBorders>
                  <w:vAlign w:val="center"/>
                </w:tcPr>
                <w:p w14:paraId="72304C7B">
                  <w:pPr>
                    <w:jc w:val="center"/>
                    <w:rPr>
                      <w:rFonts w:ascii="Times New Roman" w:hAnsi="Times New Roman" w:cs="Times New Roman"/>
                      <w:color w:val="auto"/>
                      <w:spacing w:val="4"/>
                      <w:szCs w:val="21"/>
                      <w:highlight w:val="none"/>
                    </w:rPr>
                  </w:pPr>
                  <w:r>
                    <w:rPr>
                      <w:rFonts w:ascii="Times New Roman" w:hAnsi="Times New Roman" w:cs="Times New Roman"/>
                      <w:color w:val="auto"/>
                      <w:szCs w:val="21"/>
                      <w:highlight w:val="none"/>
                    </w:rPr>
                    <w:t>BOD</w:t>
                  </w:r>
                  <w:r>
                    <w:rPr>
                      <w:rFonts w:ascii="Times New Roman" w:hAnsi="Times New Roman" w:cs="Times New Roman"/>
                      <w:color w:val="auto"/>
                      <w:szCs w:val="21"/>
                      <w:highlight w:val="none"/>
                      <w:vertAlign w:val="subscript"/>
                    </w:rPr>
                    <w:t>5</w:t>
                  </w:r>
                </w:p>
              </w:tc>
              <w:tc>
                <w:tcPr>
                  <w:tcW w:w="869" w:type="dxa"/>
                  <w:tcBorders>
                    <w:tl2br w:val="nil"/>
                    <w:tr2bl w:val="nil"/>
                  </w:tcBorders>
                  <w:vAlign w:val="center"/>
                </w:tcPr>
                <w:p w14:paraId="296F5345">
                  <w:pPr>
                    <w:jc w:val="center"/>
                    <w:rPr>
                      <w:rFonts w:hint="default" w:ascii="Times New Roman" w:hAnsi="Times New Roman" w:cs="Times New Roman" w:eastAsiaTheme="minorEastAsia"/>
                      <w:color w:val="auto"/>
                      <w:spacing w:val="4"/>
                      <w:szCs w:val="21"/>
                      <w:highlight w:val="none"/>
                      <w:lang w:val="en-US" w:eastAsia="zh-CN"/>
                    </w:rPr>
                  </w:pPr>
                  <w:r>
                    <w:rPr>
                      <w:rFonts w:hint="eastAsia" w:ascii="Times New Roman" w:hAnsi="Times New Roman" w:cs="Times New Roman"/>
                      <w:color w:val="auto"/>
                      <w:spacing w:val="4"/>
                      <w:szCs w:val="21"/>
                      <w:highlight w:val="none"/>
                      <w:lang w:val="en-US" w:eastAsia="zh-CN"/>
                    </w:rPr>
                    <w:t>10</w:t>
                  </w:r>
                </w:p>
              </w:tc>
            </w:tr>
            <w:tr w14:paraId="33589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vMerge w:val="continue"/>
                  <w:tcBorders>
                    <w:tl2br w:val="nil"/>
                    <w:tr2bl w:val="nil"/>
                  </w:tcBorders>
                  <w:vAlign w:val="center"/>
                </w:tcPr>
                <w:p w14:paraId="037225AD">
                  <w:pPr>
                    <w:jc w:val="center"/>
                    <w:rPr>
                      <w:rFonts w:ascii="Times New Roman" w:hAnsi="Times New Roman" w:cs="Times New Roman"/>
                      <w:color w:val="auto"/>
                      <w:spacing w:val="4"/>
                      <w:szCs w:val="21"/>
                      <w:highlight w:val="none"/>
                    </w:rPr>
                  </w:pPr>
                </w:p>
              </w:tc>
              <w:tc>
                <w:tcPr>
                  <w:tcW w:w="911" w:type="dxa"/>
                  <w:vMerge w:val="continue"/>
                  <w:tcBorders>
                    <w:tl2br w:val="nil"/>
                    <w:tr2bl w:val="nil"/>
                  </w:tcBorders>
                  <w:vAlign w:val="center"/>
                </w:tcPr>
                <w:p w14:paraId="02D93601">
                  <w:pPr>
                    <w:jc w:val="center"/>
                    <w:rPr>
                      <w:rFonts w:ascii="Times New Roman" w:hAnsi="Times New Roman" w:cs="Times New Roman"/>
                      <w:color w:val="auto"/>
                      <w:spacing w:val="4"/>
                      <w:szCs w:val="21"/>
                      <w:highlight w:val="none"/>
                    </w:rPr>
                  </w:pPr>
                </w:p>
              </w:tc>
              <w:tc>
                <w:tcPr>
                  <w:tcW w:w="1279" w:type="dxa"/>
                  <w:vMerge w:val="continue"/>
                  <w:tcBorders>
                    <w:tl2br w:val="nil"/>
                    <w:tr2bl w:val="nil"/>
                  </w:tcBorders>
                  <w:vAlign w:val="center"/>
                </w:tcPr>
                <w:p w14:paraId="1FF2B4E8">
                  <w:pPr>
                    <w:jc w:val="center"/>
                    <w:rPr>
                      <w:rFonts w:ascii="Times New Roman" w:hAnsi="Times New Roman" w:cs="Times New Roman"/>
                      <w:color w:val="auto"/>
                      <w:spacing w:val="4"/>
                      <w:szCs w:val="21"/>
                      <w:highlight w:val="none"/>
                    </w:rPr>
                  </w:pPr>
                </w:p>
              </w:tc>
              <w:tc>
                <w:tcPr>
                  <w:tcW w:w="1208" w:type="dxa"/>
                  <w:vMerge w:val="continue"/>
                  <w:tcBorders>
                    <w:tl2br w:val="nil"/>
                    <w:tr2bl w:val="nil"/>
                  </w:tcBorders>
                  <w:vAlign w:val="center"/>
                </w:tcPr>
                <w:p w14:paraId="08A84837">
                  <w:pPr>
                    <w:jc w:val="center"/>
                    <w:rPr>
                      <w:rFonts w:ascii="Times New Roman" w:hAnsi="Times New Roman" w:cs="Times New Roman"/>
                      <w:color w:val="auto"/>
                      <w:spacing w:val="4"/>
                      <w:szCs w:val="21"/>
                      <w:highlight w:val="none"/>
                    </w:rPr>
                  </w:pPr>
                </w:p>
              </w:tc>
              <w:tc>
                <w:tcPr>
                  <w:tcW w:w="1208" w:type="dxa"/>
                  <w:vMerge w:val="continue"/>
                  <w:tcBorders>
                    <w:tl2br w:val="nil"/>
                    <w:tr2bl w:val="nil"/>
                  </w:tcBorders>
                  <w:vAlign w:val="center"/>
                </w:tcPr>
                <w:p w14:paraId="3E58BE78">
                  <w:pPr>
                    <w:jc w:val="center"/>
                    <w:rPr>
                      <w:rFonts w:ascii="Times New Roman" w:hAnsi="Times New Roman" w:cs="Times New Roman"/>
                      <w:color w:val="auto"/>
                      <w:spacing w:val="4"/>
                      <w:szCs w:val="21"/>
                      <w:highlight w:val="none"/>
                    </w:rPr>
                  </w:pPr>
                </w:p>
              </w:tc>
              <w:tc>
                <w:tcPr>
                  <w:tcW w:w="783" w:type="dxa"/>
                  <w:vMerge w:val="continue"/>
                  <w:tcBorders>
                    <w:tl2br w:val="nil"/>
                    <w:tr2bl w:val="nil"/>
                  </w:tcBorders>
                  <w:vAlign w:val="center"/>
                </w:tcPr>
                <w:p w14:paraId="64581F5C">
                  <w:pPr>
                    <w:jc w:val="center"/>
                    <w:rPr>
                      <w:rFonts w:ascii="Times New Roman" w:hAnsi="Times New Roman" w:cs="Times New Roman"/>
                      <w:color w:val="auto"/>
                      <w:szCs w:val="21"/>
                      <w:highlight w:val="none"/>
                    </w:rPr>
                  </w:pPr>
                </w:p>
              </w:tc>
              <w:tc>
                <w:tcPr>
                  <w:tcW w:w="597" w:type="dxa"/>
                  <w:vMerge w:val="continue"/>
                  <w:tcBorders>
                    <w:tl2br w:val="nil"/>
                    <w:tr2bl w:val="nil"/>
                  </w:tcBorders>
                  <w:vAlign w:val="center"/>
                </w:tcPr>
                <w:p w14:paraId="1F7A2A09">
                  <w:pPr>
                    <w:jc w:val="center"/>
                    <w:rPr>
                      <w:rFonts w:ascii="Times New Roman" w:hAnsi="Times New Roman" w:cs="Times New Roman"/>
                      <w:color w:val="auto"/>
                      <w:spacing w:val="4"/>
                      <w:szCs w:val="21"/>
                      <w:highlight w:val="none"/>
                    </w:rPr>
                  </w:pPr>
                </w:p>
              </w:tc>
              <w:tc>
                <w:tcPr>
                  <w:tcW w:w="653" w:type="dxa"/>
                  <w:vMerge w:val="continue"/>
                  <w:tcBorders>
                    <w:tl2br w:val="nil"/>
                    <w:tr2bl w:val="nil"/>
                  </w:tcBorders>
                  <w:vAlign w:val="center"/>
                </w:tcPr>
                <w:p w14:paraId="30ECECE4">
                  <w:pPr>
                    <w:jc w:val="center"/>
                    <w:rPr>
                      <w:rFonts w:ascii="Times New Roman" w:hAnsi="Times New Roman" w:cs="Times New Roman"/>
                      <w:color w:val="auto"/>
                      <w:spacing w:val="4"/>
                      <w:szCs w:val="21"/>
                      <w:highlight w:val="none"/>
                    </w:rPr>
                  </w:pPr>
                </w:p>
              </w:tc>
              <w:tc>
                <w:tcPr>
                  <w:tcW w:w="901" w:type="dxa"/>
                  <w:tcBorders>
                    <w:tl2br w:val="nil"/>
                    <w:tr2bl w:val="nil"/>
                  </w:tcBorders>
                  <w:vAlign w:val="center"/>
                </w:tcPr>
                <w:p w14:paraId="7E9121C2">
                  <w:pPr>
                    <w:jc w:val="center"/>
                    <w:rPr>
                      <w:rFonts w:ascii="Times New Roman" w:hAnsi="Times New Roman" w:cs="Times New Roman"/>
                      <w:color w:val="auto"/>
                      <w:spacing w:val="4"/>
                      <w:szCs w:val="21"/>
                      <w:highlight w:val="none"/>
                    </w:rPr>
                  </w:pPr>
                  <w:r>
                    <w:rPr>
                      <w:rFonts w:ascii="Times New Roman" w:hAnsi="Times New Roman" w:cs="Times New Roman"/>
                      <w:color w:val="auto"/>
                      <w:spacing w:val="4"/>
                      <w:szCs w:val="21"/>
                      <w:highlight w:val="none"/>
                    </w:rPr>
                    <w:t>TN</w:t>
                  </w:r>
                </w:p>
              </w:tc>
              <w:tc>
                <w:tcPr>
                  <w:tcW w:w="869" w:type="dxa"/>
                  <w:tcBorders>
                    <w:tl2br w:val="nil"/>
                    <w:tr2bl w:val="nil"/>
                  </w:tcBorders>
                  <w:vAlign w:val="center"/>
                </w:tcPr>
                <w:p w14:paraId="03BC9EB5">
                  <w:pPr>
                    <w:jc w:val="center"/>
                    <w:rPr>
                      <w:rFonts w:hint="default" w:ascii="Times New Roman" w:hAnsi="Times New Roman" w:cs="Times New Roman" w:eastAsiaTheme="minorEastAsia"/>
                      <w:color w:val="auto"/>
                      <w:spacing w:val="4"/>
                      <w:szCs w:val="21"/>
                      <w:highlight w:val="none"/>
                      <w:lang w:val="en-US" w:eastAsia="zh-CN"/>
                    </w:rPr>
                  </w:pPr>
                  <w:r>
                    <w:rPr>
                      <w:rFonts w:hint="eastAsia" w:ascii="Times New Roman" w:hAnsi="Times New Roman" w:cs="Times New Roman"/>
                      <w:color w:val="auto"/>
                      <w:spacing w:val="4"/>
                      <w:szCs w:val="21"/>
                      <w:highlight w:val="none"/>
                      <w:lang w:val="en-US" w:eastAsia="zh-CN"/>
                    </w:rPr>
                    <w:t>15</w:t>
                  </w:r>
                </w:p>
              </w:tc>
            </w:tr>
            <w:tr w14:paraId="7EEFCE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vMerge w:val="continue"/>
                  <w:tcBorders>
                    <w:tl2br w:val="nil"/>
                    <w:tr2bl w:val="nil"/>
                  </w:tcBorders>
                  <w:vAlign w:val="center"/>
                </w:tcPr>
                <w:p w14:paraId="0A119945">
                  <w:pPr>
                    <w:jc w:val="center"/>
                    <w:rPr>
                      <w:rFonts w:ascii="Times New Roman" w:hAnsi="Times New Roman" w:cs="Times New Roman"/>
                      <w:color w:val="auto"/>
                      <w:spacing w:val="4"/>
                      <w:szCs w:val="21"/>
                      <w:highlight w:val="none"/>
                    </w:rPr>
                  </w:pPr>
                </w:p>
              </w:tc>
              <w:tc>
                <w:tcPr>
                  <w:tcW w:w="911" w:type="dxa"/>
                  <w:vMerge w:val="continue"/>
                  <w:tcBorders>
                    <w:tl2br w:val="nil"/>
                    <w:tr2bl w:val="nil"/>
                  </w:tcBorders>
                  <w:vAlign w:val="center"/>
                </w:tcPr>
                <w:p w14:paraId="14D3F08D">
                  <w:pPr>
                    <w:jc w:val="center"/>
                    <w:rPr>
                      <w:rFonts w:ascii="Times New Roman" w:hAnsi="Times New Roman" w:cs="Times New Roman"/>
                      <w:color w:val="auto"/>
                      <w:spacing w:val="4"/>
                      <w:szCs w:val="21"/>
                      <w:highlight w:val="none"/>
                    </w:rPr>
                  </w:pPr>
                </w:p>
              </w:tc>
              <w:tc>
                <w:tcPr>
                  <w:tcW w:w="1279" w:type="dxa"/>
                  <w:vMerge w:val="continue"/>
                  <w:tcBorders>
                    <w:tl2br w:val="nil"/>
                    <w:tr2bl w:val="nil"/>
                  </w:tcBorders>
                  <w:vAlign w:val="center"/>
                </w:tcPr>
                <w:p w14:paraId="5D57D027">
                  <w:pPr>
                    <w:jc w:val="center"/>
                    <w:rPr>
                      <w:rFonts w:ascii="Times New Roman" w:hAnsi="Times New Roman" w:cs="Times New Roman"/>
                      <w:color w:val="auto"/>
                      <w:spacing w:val="4"/>
                      <w:szCs w:val="21"/>
                      <w:highlight w:val="none"/>
                    </w:rPr>
                  </w:pPr>
                </w:p>
              </w:tc>
              <w:tc>
                <w:tcPr>
                  <w:tcW w:w="1208" w:type="dxa"/>
                  <w:vMerge w:val="continue"/>
                  <w:tcBorders>
                    <w:tl2br w:val="nil"/>
                    <w:tr2bl w:val="nil"/>
                  </w:tcBorders>
                  <w:vAlign w:val="center"/>
                </w:tcPr>
                <w:p w14:paraId="5F50C659">
                  <w:pPr>
                    <w:jc w:val="center"/>
                    <w:rPr>
                      <w:rFonts w:ascii="Times New Roman" w:hAnsi="Times New Roman" w:cs="Times New Roman"/>
                      <w:color w:val="auto"/>
                      <w:spacing w:val="4"/>
                      <w:szCs w:val="21"/>
                      <w:highlight w:val="none"/>
                    </w:rPr>
                  </w:pPr>
                </w:p>
              </w:tc>
              <w:tc>
                <w:tcPr>
                  <w:tcW w:w="1208" w:type="dxa"/>
                  <w:vMerge w:val="continue"/>
                  <w:tcBorders>
                    <w:tl2br w:val="nil"/>
                    <w:tr2bl w:val="nil"/>
                  </w:tcBorders>
                  <w:vAlign w:val="center"/>
                </w:tcPr>
                <w:p w14:paraId="0B927DDE">
                  <w:pPr>
                    <w:jc w:val="center"/>
                    <w:rPr>
                      <w:rFonts w:ascii="Times New Roman" w:hAnsi="Times New Roman" w:cs="Times New Roman"/>
                      <w:color w:val="auto"/>
                      <w:spacing w:val="4"/>
                      <w:szCs w:val="21"/>
                      <w:highlight w:val="none"/>
                    </w:rPr>
                  </w:pPr>
                </w:p>
              </w:tc>
              <w:tc>
                <w:tcPr>
                  <w:tcW w:w="783" w:type="dxa"/>
                  <w:vMerge w:val="continue"/>
                  <w:tcBorders>
                    <w:tl2br w:val="nil"/>
                    <w:tr2bl w:val="nil"/>
                  </w:tcBorders>
                  <w:vAlign w:val="center"/>
                </w:tcPr>
                <w:p w14:paraId="49AEBBD0">
                  <w:pPr>
                    <w:jc w:val="center"/>
                    <w:rPr>
                      <w:rFonts w:ascii="Times New Roman" w:hAnsi="Times New Roman" w:cs="Times New Roman"/>
                      <w:color w:val="auto"/>
                      <w:szCs w:val="21"/>
                      <w:highlight w:val="none"/>
                    </w:rPr>
                  </w:pPr>
                </w:p>
              </w:tc>
              <w:tc>
                <w:tcPr>
                  <w:tcW w:w="597" w:type="dxa"/>
                  <w:vMerge w:val="continue"/>
                  <w:tcBorders>
                    <w:tl2br w:val="nil"/>
                    <w:tr2bl w:val="nil"/>
                  </w:tcBorders>
                  <w:vAlign w:val="center"/>
                </w:tcPr>
                <w:p w14:paraId="74125350">
                  <w:pPr>
                    <w:jc w:val="center"/>
                    <w:rPr>
                      <w:rFonts w:ascii="Times New Roman" w:hAnsi="Times New Roman" w:cs="Times New Roman"/>
                      <w:color w:val="auto"/>
                      <w:spacing w:val="4"/>
                      <w:szCs w:val="21"/>
                      <w:highlight w:val="none"/>
                    </w:rPr>
                  </w:pPr>
                </w:p>
              </w:tc>
              <w:tc>
                <w:tcPr>
                  <w:tcW w:w="653" w:type="dxa"/>
                  <w:vMerge w:val="continue"/>
                  <w:tcBorders>
                    <w:tl2br w:val="nil"/>
                    <w:tr2bl w:val="nil"/>
                  </w:tcBorders>
                  <w:vAlign w:val="center"/>
                </w:tcPr>
                <w:p w14:paraId="38919B49">
                  <w:pPr>
                    <w:jc w:val="center"/>
                    <w:rPr>
                      <w:rFonts w:ascii="Times New Roman" w:hAnsi="Times New Roman" w:cs="Times New Roman"/>
                      <w:color w:val="auto"/>
                      <w:spacing w:val="4"/>
                      <w:szCs w:val="21"/>
                      <w:highlight w:val="none"/>
                    </w:rPr>
                  </w:pPr>
                </w:p>
              </w:tc>
              <w:tc>
                <w:tcPr>
                  <w:tcW w:w="901" w:type="dxa"/>
                  <w:tcBorders>
                    <w:tl2br w:val="nil"/>
                    <w:tr2bl w:val="nil"/>
                  </w:tcBorders>
                  <w:vAlign w:val="center"/>
                </w:tcPr>
                <w:p w14:paraId="74D8BE58">
                  <w:pPr>
                    <w:jc w:val="center"/>
                    <w:rPr>
                      <w:rFonts w:ascii="Times New Roman" w:hAnsi="Times New Roman" w:cs="Times New Roman"/>
                      <w:color w:val="auto"/>
                      <w:spacing w:val="4"/>
                      <w:szCs w:val="21"/>
                      <w:highlight w:val="none"/>
                    </w:rPr>
                  </w:pPr>
                  <w:r>
                    <w:rPr>
                      <w:rFonts w:ascii="Times New Roman" w:hAnsi="Times New Roman" w:cs="Times New Roman"/>
                      <w:color w:val="auto"/>
                      <w:szCs w:val="21"/>
                      <w:highlight w:val="none"/>
                    </w:rPr>
                    <w:t>NH</w:t>
                  </w:r>
                  <w:r>
                    <w:rPr>
                      <w:rFonts w:ascii="Times New Roman" w:hAnsi="Times New Roman" w:cs="Times New Roman"/>
                      <w:color w:val="auto"/>
                      <w:szCs w:val="21"/>
                      <w:highlight w:val="none"/>
                      <w:vertAlign w:val="subscript"/>
                    </w:rPr>
                    <w:t>3</w:t>
                  </w:r>
                  <w:r>
                    <w:rPr>
                      <w:rFonts w:ascii="Times New Roman" w:hAnsi="Times New Roman" w:cs="Times New Roman"/>
                      <w:color w:val="auto"/>
                      <w:szCs w:val="21"/>
                      <w:highlight w:val="none"/>
                    </w:rPr>
                    <w:t>-N</w:t>
                  </w:r>
                </w:p>
              </w:tc>
              <w:tc>
                <w:tcPr>
                  <w:tcW w:w="869" w:type="dxa"/>
                  <w:tcBorders>
                    <w:tl2br w:val="nil"/>
                    <w:tr2bl w:val="nil"/>
                  </w:tcBorders>
                  <w:vAlign w:val="center"/>
                </w:tcPr>
                <w:p w14:paraId="52417A2F">
                  <w:pPr>
                    <w:jc w:val="center"/>
                    <w:rPr>
                      <w:rFonts w:hint="default" w:ascii="Times New Roman" w:hAnsi="Times New Roman" w:cs="Times New Roman" w:eastAsiaTheme="minorEastAsia"/>
                      <w:color w:val="auto"/>
                      <w:spacing w:val="4"/>
                      <w:szCs w:val="21"/>
                      <w:highlight w:val="none"/>
                      <w:lang w:val="en-US" w:eastAsia="zh-CN"/>
                    </w:rPr>
                  </w:pPr>
                  <w:r>
                    <w:rPr>
                      <w:rFonts w:hint="eastAsia" w:ascii="Times New Roman" w:hAnsi="Times New Roman" w:cs="Times New Roman"/>
                      <w:color w:val="auto"/>
                      <w:spacing w:val="4"/>
                      <w:szCs w:val="21"/>
                      <w:highlight w:val="none"/>
                      <w:lang w:val="en-US" w:eastAsia="zh-CN"/>
                    </w:rPr>
                    <w:t>5</w:t>
                  </w:r>
                </w:p>
              </w:tc>
            </w:tr>
            <w:tr w14:paraId="2733A5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vMerge w:val="continue"/>
                  <w:tcBorders>
                    <w:tl2br w:val="nil"/>
                    <w:tr2bl w:val="nil"/>
                  </w:tcBorders>
                  <w:vAlign w:val="center"/>
                </w:tcPr>
                <w:p w14:paraId="33E04B17">
                  <w:pPr>
                    <w:jc w:val="center"/>
                    <w:rPr>
                      <w:rFonts w:ascii="Times New Roman" w:hAnsi="Times New Roman" w:cs="Times New Roman"/>
                      <w:color w:val="auto"/>
                      <w:spacing w:val="4"/>
                      <w:szCs w:val="21"/>
                      <w:highlight w:val="none"/>
                    </w:rPr>
                  </w:pPr>
                </w:p>
              </w:tc>
              <w:tc>
                <w:tcPr>
                  <w:tcW w:w="911" w:type="dxa"/>
                  <w:vMerge w:val="continue"/>
                  <w:tcBorders>
                    <w:tl2br w:val="nil"/>
                    <w:tr2bl w:val="nil"/>
                  </w:tcBorders>
                  <w:vAlign w:val="center"/>
                </w:tcPr>
                <w:p w14:paraId="09AEB4FA">
                  <w:pPr>
                    <w:jc w:val="center"/>
                    <w:rPr>
                      <w:rFonts w:ascii="Times New Roman" w:hAnsi="Times New Roman" w:cs="Times New Roman"/>
                      <w:color w:val="auto"/>
                      <w:spacing w:val="4"/>
                      <w:szCs w:val="21"/>
                      <w:highlight w:val="none"/>
                    </w:rPr>
                  </w:pPr>
                </w:p>
              </w:tc>
              <w:tc>
                <w:tcPr>
                  <w:tcW w:w="1279" w:type="dxa"/>
                  <w:vMerge w:val="continue"/>
                  <w:tcBorders>
                    <w:tl2br w:val="nil"/>
                    <w:tr2bl w:val="nil"/>
                  </w:tcBorders>
                  <w:vAlign w:val="center"/>
                </w:tcPr>
                <w:p w14:paraId="096BE6A0">
                  <w:pPr>
                    <w:jc w:val="center"/>
                    <w:rPr>
                      <w:rFonts w:ascii="Times New Roman" w:hAnsi="Times New Roman" w:cs="Times New Roman"/>
                      <w:color w:val="auto"/>
                      <w:spacing w:val="4"/>
                      <w:szCs w:val="21"/>
                      <w:highlight w:val="none"/>
                    </w:rPr>
                  </w:pPr>
                </w:p>
              </w:tc>
              <w:tc>
                <w:tcPr>
                  <w:tcW w:w="1208" w:type="dxa"/>
                  <w:vMerge w:val="continue"/>
                  <w:tcBorders>
                    <w:tl2br w:val="nil"/>
                    <w:tr2bl w:val="nil"/>
                  </w:tcBorders>
                  <w:vAlign w:val="center"/>
                </w:tcPr>
                <w:p w14:paraId="246BC667">
                  <w:pPr>
                    <w:jc w:val="center"/>
                    <w:rPr>
                      <w:rFonts w:ascii="Times New Roman" w:hAnsi="Times New Roman" w:cs="Times New Roman"/>
                      <w:color w:val="auto"/>
                      <w:spacing w:val="4"/>
                      <w:szCs w:val="21"/>
                      <w:highlight w:val="none"/>
                    </w:rPr>
                  </w:pPr>
                </w:p>
              </w:tc>
              <w:tc>
                <w:tcPr>
                  <w:tcW w:w="1208" w:type="dxa"/>
                  <w:vMerge w:val="continue"/>
                  <w:tcBorders>
                    <w:tl2br w:val="nil"/>
                    <w:tr2bl w:val="nil"/>
                  </w:tcBorders>
                  <w:vAlign w:val="center"/>
                </w:tcPr>
                <w:p w14:paraId="7DAFBA4D">
                  <w:pPr>
                    <w:jc w:val="center"/>
                    <w:rPr>
                      <w:rFonts w:ascii="Times New Roman" w:hAnsi="Times New Roman" w:cs="Times New Roman"/>
                      <w:color w:val="auto"/>
                      <w:spacing w:val="4"/>
                      <w:szCs w:val="21"/>
                      <w:highlight w:val="none"/>
                    </w:rPr>
                  </w:pPr>
                </w:p>
              </w:tc>
              <w:tc>
                <w:tcPr>
                  <w:tcW w:w="783" w:type="dxa"/>
                  <w:vMerge w:val="continue"/>
                  <w:tcBorders>
                    <w:tl2br w:val="nil"/>
                    <w:tr2bl w:val="nil"/>
                  </w:tcBorders>
                  <w:vAlign w:val="center"/>
                </w:tcPr>
                <w:p w14:paraId="5140183D">
                  <w:pPr>
                    <w:jc w:val="center"/>
                    <w:rPr>
                      <w:rFonts w:ascii="Times New Roman" w:hAnsi="Times New Roman" w:cs="Times New Roman"/>
                      <w:color w:val="auto"/>
                      <w:szCs w:val="21"/>
                      <w:highlight w:val="none"/>
                    </w:rPr>
                  </w:pPr>
                </w:p>
              </w:tc>
              <w:tc>
                <w:tcPr>
                  <w:tcW w:w="597" w:type="dxa"/>
                  <w:vMerge w:val="continue"/>
                  <w:tcBorders>
                    <w:tl2br w:val="nil"/>
                    <w:tr2bl w:val="nil"/>
                  </w:tcBorders>
                  <w:vAlign w:val="center"/>
                </w:tcPr>
                <w:p w14:paraId="655A5166">
                  <w:pPr>
                    <w:jc w:val="center"/>
                    <w:rPr>
                      <w:rFonts w:ascii="Times New Roman" w:hAnsi="Times New Roman" w:cs="Times New Roman"/>
                      <w:color w:val="auto"/>
                      <w:spacing w:val="4"/>
                      <w:szCs w:val="21"/>
                      <w:highlight w:val="none"/>
                    </w:rPr>
                  </w:pPr>
                </w:p>
              </w:tc>
              <w:tc>
                <w:tcPr>
                  <w:tcW w:w="653" w:type="dxa"/>
                  <w:vMerge w:val="continue"/>
                  <w:tcBorders>
                    <w:tl2br w:val="nil"/>
                    <w:tr2bl w:val="nil"/>
                  </w:tcBorders>
                  <w:vAlign w:val="center"/>
                </w:tcPr>
                <w:p w14:paraId="0F457FC7">
                  <w:pPr>
                    <w:jc w:val="center"/>
                    <w:rPr>
                      <w:rFonts w:ascii="Times New Roman" w:hAnsi="Times New Roman" w:cs="Times New Roman"/>
                      <w:color w:val="auto"/>
                      <w:spacing w:val="4"/>
                      <w:szCs w:val="21"/>
                      <w:highlight w:val="none"/>
                    </w:rPr>
                  </w:pPr>
                </w:p>
              </w:tc>
              <w:tc>
                <w:tcPr>
                  <w:tcW w:w="901" w:type="dxa"/>
                  <w:tcBorders>
                    <w:tl2br w:val="nil"/>
                    <w:tr2bl w:val="nil"/>
                  </w:tcBorders>
                  <w:vAlign w:val="center"/>
                </w:tcPr>
                <w:p w14:paraId="24BACA94">
                  <w:pPr>
                    <w:jc w:val="center"/>
                    <w:rPr>
                      <w:rFonts w:ascii="Times New Roman" w:hAnsi="Times New Roman" w:cs="Times New Roman"/>
                      <w:color w:val="auto"/>
                      <w:spacing w:val="4"/>
                      <w:szCs w:val="21"/>
                      <w:highlight w:val="none"/>
                    </w:rPr>
                  </w:pPr>
                  <w:r>
                    <w:rPr>
                      <w:rFonts w:ascii="Times New Roman" w:hAnsi="Times New Roman" w:cs="Times New Roman"/>
                      <w:color w:val="auto"/>
                      <w:spacing w:val="4"/>
                      <w:szCs w:val="21"/>
                      <w:highlight w:val="none"/>
                    </w:rPr>
                    <w:t>TP</w:t>
                  </w:r>
                </w:p>
              </w:tc>
              <w:tc>
                <w:tcPr>
                  <w:tcW w:w="869" w:type="dxa"/>
                  <w:tcBorders>
                    <w:tl2br w:val="nil"/>
                    <w:tr2bl w:val="nil"/>
                  </w:tcBorders>
                  <w:vAlign w:val="center"/>
                </w:tcPr>
                <w:p w14:paraId="7F8B7496">
                  <w:pPr>
                    <w:jc w:val="center"/>
                    <w:rPr>
                      <w:rFonts w:hint="default" w:ascii="Times New Roman" w:hAnsi="Times New Roman" w:cs="Times New Roman" w:eastAsiaTheme="minorEastAsia"/>
                      <w:color w:val="auto"/>
                      <w:spacing w:val="4"/>
                      <w:szCs w:val="21"/>
                      <w:highlight w:val="none"/>
                      <w:lang w:val="en-US" w:eastAsia="zh-CN"/>
                    </w:rPr>
                  </w:pPr>
                  <w:r>
                    <w:rPr>
                      <w:rFonts w:hint="eastAsia" w:ascii="Times New Roman" w:hAnsi="Times New Roman" w:cs="Times New Roman"/>
                      <w:color w:val="auto"/>
                      <w:spacing w:val="4"/>
                      <w:szCs w:val="21"/>
                      <w:highlight w:val="none"/>
                      <w:lang w:val="en-US" w:eastAsia="zh-CN"/>
                    </w:rPr>
                    <w:t>0.5</w:t>
                  </w:r>
                </w:p>
              </w:tc>
            </w:tr>
          </w:tbl>
          <w:p w14:paraId="4890C971">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3、</w:t>
            </w:r>
            <w:r>
              <w:rPr>
                <w:rFonts w:ascii="Times New Roman" w:hAnsi="Times New Roman" w:cs="Times New Roman"/>
                <w:b/>
                <w:color w:val="auto"/>
                <w:sz w:val="24"/>
                <w:szCs w:val="24"/>
                <w:highlight w:val="none"/>
              </w:rPr>
              <w:t>污染物排放信息</w:t>
            </w:r>
          </w:p>
          <w:p w14:paraId="7358ED51">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本项目废水污染物排放信息见下表。</w:t>
            </w:r>
          </w:p>
          <w:p w14:paraId="48173BB7">
            <w:pPr>
              <w:pStyle w:val="117"/>
              <w:bidi w:val="0"/>
              <w:rPr>
                <w:color w:val="auto"/>
              </w:rPr>
            </w:pPr>
            <w:r>
              <w:rPr>
                <w:color w:val="auto"/>
              </w:rPr>
              <w:t>本项目废水污染物排放信息表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6"/>
              <w:gridCol w:w="616"/>
              <w:gridCol w:w="780"/>
              <w:gridCol w:w="954"/>
              <w:gridCol w:w="981"/>
              <w:gridCol w:w="448"/>
              <w:gridCol w:w="702"/>
              <w:gridCol w:w="963"/>
              <w:gridCol w:w="1048"/>
              <w:gridCol w:w="916"/>
              <w:gridCol w:w="1062"/>
            </w:tblGrid>
            <w:tr w14:paraId="3B25E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 w:type="pct"/>
                  <w:vMerge w:val="restart"/>
                  <w:tcBorders>
                    <w:tl2br w:val="nil"/>
                    <w:tr2bl w:val="nil"/>
                  </w:tcBorders>
                  <w:shd w:val="clear" w:color="auto" w:fill="auto"/>
                  <w:vAlign w:val="center"/>
                </w:tcPr>
                <w:p w14:paraId="7F42C329">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污染源</w:t>
                  </w:r>
                </w:p>
              </w:tc>
              <w:tc>
                <w:tcPr>
                  <w:tcW w:w="349" w:type="pct"/>
                  <w:vMerge w:val="restart"/>
                  <w:tcBorders>
                    <w:tl2br w:val="nil"/>
                    <w:tr2bl w:val="nil"/>
                  </w:tcBorders>
                  <w:shd w:val="clear" w:color="auto" w:fill="auto"/>
                  <w:vAlign w:val="center"/>
                </w:tcPr>
                <w:p w14:paraId="51693810">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污染物</w:t>
                  </w:r>
                </w:p>
              </w:tc>
              <w:tc>
                <w:tcPr>
                  <w:tcW w:w="1539" w:type="pct"/>
                  <w:gridSpan w:val="3"/>
                  <w:tcBorders>
                    <w:tl2br w:val="nil"/>
                    <w:tr2bl w:val="nil"/>
                  </w:tcBorders>
                  <w:shd w:val="clear" w:color="auto" w:fill="auto"/>
                  <w:vAlign w:val="center"/>
                </w:tcPr>
                <w:p w14:paraId="7DA1B219">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污染物产生</w:t>
                  </w:r>
                </w:p>
              </w:tc>
              <w:tc>
                <w:tcPr>
                  <w:tcW w:w="652" w:type="pct"/>
                  <w:gridSpan w:val="2"/>
                  <w:tcBorders>
                    <w:tl2br w:val="nil"/>
                    <w:tr2bl w:val="nil"/>
                  </w:tcBorders>
                  <w:shd w:val="clear" w:color="auto" w:fill="auto"/>
                  <w:vAlign w:val="center"/>
                </w:tcPr>
                <w:p w14:paraId="04B84F5C">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治理措施</w:t>
                  </w:r>
                </w:p>
              </w:tc>
              <w:tc>
                <w:tcPr>
                  <w:tcW w:w="2261" w:type="pct"/>
                  <w:gridSpan w:val="4"/>
                  <w:tcBorders>
                    <w:tl2br w:val="nil"/>
                    <w:tr2bl w:val="nil"/>
                  </w:tcBorders>
                  <w:shd w:val="clear" w:color="auto" w:fill="auto"/>
                  <w:vAlign w:val="center"/>
                </w:tcPr>
                <w:p w14:paraId="7C7069D0">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污染物排放</w:t>
                  </w:r>
                </w:p>
              </w:tc>
            </w:tr>
            <w:tr w14:paraId="36137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 w:type="pct"/>
                  <w:vMerge w:val="continue"/>
                  <w:tcBorders>
                    <w:tl2br w:val="nil"/>
                    <w:tr2bl w:val="nil"/>
                  </w:tcBorders>
                  <w:shd w:val="clear" w:color="auto" w:fill="auto"/>
                  <w:vAlign w:val="center"/>
                </w:tcPr>
                <w:p w14:paraId="53ED96BC">
                  <w:pPr>
                    <w:widowControl/>
                    <w:jc w:val="center"/>
                    <w:rPr>
                      <w:rFonts w:ascii="Times New Roman" w:hAnsi="Times New Roman" w:cs="Times New Roman"/>
                      <w:b/>
                      <w:bCs/>
                      <w:color w:val="auto"/>
                      <w:szCs w:val="21"/>
                      <w:highlight w:val="none"/>
                    </w:rPr>
                  </w:pPr>
                </w:p>
              </w:tc>
              <w:tc>
                <w:tcPr>
                  <w:tcW w:w="349" w:type="pct"/>
                  <w:vMerge w:val="continue"/>
                  <w:tcBorders>
                    <w:tl2br w:val="nil"/>
                    <w:tr2bl w:val="nil"/>
                  </w:tcBorders>
                  <w:shd w:val="clear" w:color="auto" w:fill="auto"/>
                  <w:vAlign w:val="center"/>
                </w:tcPr>
                <w:p w14:paraId="2E412AB5">
                  <w:pPr>
                    <w:widowControl/>
                    <w:jc w:val="center"/>
                    <w:rPr>
                      <w:rFonts w:ascii="Times New Roman" w:hAnsi="Times New Roman" w:cs="Times New Roman"/>
                      <w:b/>
                      <w:bCs/>
                      <w:color w:val="auto"/>
                      <w:szCs w:val="21"/>
                      <w:highlight w:val="none"/>
                    </w:rPr>
                  </w:pPr>
                </w:p>
              </w:tc>
              <w:tc>
                <w:tcPr>
                  <w:tcW w:w="442" w:type="pct"/>
                  <w:tcBorders>
                    <w:tl2br w:val="nil"/>
                    <w:tr2bl w:val="nil"/>
                  </w:tcBorders>
                  <w:shd w:val="clear" w:color="auto" w:fill="auto"/>
                  <w:vAlign w:val="center"/>
                </w:tcPr>
                <w:p w14:paraId="08814D09">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水量</w:t>
                  </w:r>
                  <w:r>
                    <w:rPr>
                      <w:rFonts w:hint="eastAsia" w:ascii="Times New Roman" w:hAnsi="Times New Roman" w:cs="Times New Roman"/>
                      <w:b/>
                      <w:bCs/>
                      <w:color w:val="auto"/>
                      <w:kern w:val="0"/>
                      <w:szCs w:val="21"/>
                      <w:highlight w:val="none"/>
                      <w:lang w:eastAsia="zh-CN" w:bidi="ar"/>
                    </w:rPr>
                    <w:t>（</w:t>
                  </w:r>
                  <w:r>
                    <w:rPr>
                      <w:rFonts w:ascii="Times New Roman" w:hAnsi="Times New Roman" w:cs="Times New Roman"/>
                      <w:b/>
                      <w:bCs/>
                      <w:color w:val="auto"/>
                      <w:kern w:val="0"/>
                      <w:szCs w:val="21"/>
                      <w:highlight w:val="none"/>
                      <w:lang w:bidi="ar"/>
                    </w:rPr>
                    <w:t>m</w:t>
                  </w:r>
                  <w:r>
                    <w:rPr>
                      <w:rFonts w:ascii="Times New Roman" w:hAnsi="Times New Roman" w:cs="Times New Roman"/>
                      <w:b/>
                      <w:bCs/>
                      <w:color w:val="auto"/>
                      <w:kern w:val="0"/>
                      <w:szCs w:val="21"/>
                      <w:highlight w:val="none"/>
                      <w:vertAlign w:val="superscript"/>
                      <w:lang w:bidi="ar"/>
                    </w:rPr>
                    <w:t>3</w:t>
                  </w:r>
                  <w:r>
                    <w:rPr>
                      <w:rFonts w:ascii="Times New Roman" w:hAnsi="Times New Roman" w:cs="Times New Roman"/>
                      <w:b/>
                      <w:bCs/>
                      <w:color w:val="auto"/>
                      <w:kern w:val="0"/>
                      <w:szCs w:val="21"/>
                      <w:highlight w:val="none"/>
                      <w:lang w:bidi="ar"/>
                    </w:rPr>
                    <w:t>/a</w:t>
                  </w:r>
                  <w:r>
                    <w:rPr>
                      <w:rFonts w:hint="eastAsia" w:ascii="Times New Roman" w:hAnsi="Times New Roman" w:cs="Times New Roman"/>
                      <w:b/>
                      <w:bCs/>
                      <w:color w:val="auto"/>
                      <w:kern w:val="0"/>
                      <w:szCs w:val="21"/>
                      <w:highlight w:val="none"/>
                      <w:lang w:eastAsia="zh-CN" w:bidi="ar"/>
                    </w:rPr>
                    <w:t>）</w:t>
                  </w:r>
                </w:p>
              </w:tc>
              <w:tc>
                <w:tcPr>
                  <w:tcW w:w="541" w:type="pct"/>
                  <w:tcBorders>
                    <w:tl2br w:val="nil"/>
                    <w:tr2bl w:val="nil"/>
                  </w:tcBorders>
                  <w:shd w:val="clear" w:color="auto" w:fill="auto"/>
                  <w:vAlign w:val="center"/>
                </w:tcPr>
                <w:p w14:paraId="48A2C55E">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浓度</w:t>
                  </w:r>
                  <w:r>
                    <w:rPr>
                      <w:rFonts w:hint="eastAsia" w:ascii="Times New Roman" w:hAnsi="Times New Roman" w:cs="Times New Roman"/>
                      <w:b/>
                      <w:bCs/>
                      <w:color w:val="auto"/>
                      <w:kern w:val="0"/>
                      <w:szCs w:val="21"/>
                      <w:highlight w:val="none"/>
                      <w:lang w:eastAsia="zh-CN" w:bidi="ar"/>
                    </w:rPr>
                    <w:t>（</w:t>
                  </w:r>
                  <w:r>
                    <w:rPr>
                      <w:rFonts w:ascii="Times New Roman" w:hAnsi="Times New Roman" w:cs="Times New Roman"/>
                      <w:b/>
                      <w:bCs/>
                      <w:color w:val="auto"/>
                      <w:kern w:val="0"/>
                      <w:szCs w:val="21"/>
                      <w:highlight w:val="none"/>
                      <w:lang w:bidi="ar"/>
                    </w:rPr>
                    <w:t>mg/L</w:t>
                  </w:r>
                  <w:r>
                    <w:rPr>
                      <w:rFonts w:hint="eastAsia" w:ascii="Times New Roman" w:hAnsi="Times New Roman" w:cs="Times New Roman"/>
                      <w:b/>
                      <w:bCs/>
                      <w:color w:val="auto"/>
                      <w:kern w:val="0"/>
                      <w:szCs w:val="21"/>
                      <w:highlight w:val="none"/>
                      <w:lang w:eastAsia="zh-CN" w:bidi="ar"/>
                    </w:rPr>
                    <w:t>）</w:t>
                  </w:r>
                </w:p>
              </w:tc>
              <w:tc>
                <w:tcPr>
                  <w:tcW w:w="555" w:type="pct"/>
                  <w:tcBorders>
                    <w:tl2br w:val="nil"/>
                    <w:tr2bl w:val="nil"/>
                  </w:tcBorders>
                  <w:shd w:val="clear" w:color="auto" w:fill="auto"/>
                  <w:vAlign w:val="center"/>
                </w:tcPr>
                <w:p w14:paraId="27B83A13">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产生量</w:t>
                  </w:r>
                  <w:r>
                    <w:rPr>
                      <w:rFonts w:hint="eastAsia" w:ascii="Times New Roman" w:hAnsi="Times New Roman" w:cs="Times New Roman"/>
                      <w:b/>
                      <w:bCs/>
                      <w:color w:val="auto"/>
                      <w:kern w:val="0"/>
                      <w:szCs w:val="21"/>
                      <w:highlight w:val="none"/>
                      <w:lang w:eastAsia="zh-CN" w:bidi="ar"/>
                    </w:rPr>
                    <w:t>（</w:t>
                  </w:r>
                  <w:r>
                    <w:rPr>
                      <w:rFonts w:ascii="Times New Roman" w:hAnsi="Times New Roman" w:cs="Times New Roman"/>
                      <w:b/>
                      <w:bCs/>
                      <w:color w:val="auto"/>
                      <w:kern w:val="0"/>
                      <w:szCs w:val="21"/>
                      <w:highlight w:val="none"/>
                      <w:lang w:bidi="ar"/>
                    </w:rPr>
                    <w:t>t/a</w:t>
                  </w:r>
                  <w:r>
                    <w:rPr>
                      <w:rFonts w:hint="eastAsia" w:ascii="Times New Roman" w:hAnsi="Times New Roman" w:cs="Times New Roman"/>
                      <w:b/>
                      <w:bCs/>
                      <w:color w:val="auto"/>
                      <w:kern w:val="0"/>
                      <w:szCs w:val="21"/>
                      <w:highlight w:val="none"/>
                      <w:lang w:eastAsia="zh-CN" w:bidi="ar"/>
                    </w:rPr>
                    <w:t>）</w:t>
                  </w:r>
                </w:p>
              </w:tc>
              <w:tc>
                <w:tcPr>
                  <w:tcW w:w="254" w:type="pct"/>
                  <w:tcBorders>
                    <w:tl2br w:val="nil"/>
                    <w:tr2bl w:val="nil"/>
                  </w:tcBorders>
                  <w:shd w:val="clear" w:color="auto" w:fill="auto"/>
                  <w:vAlign w:val="center"/>
                </w:tcPr>
                <w:p w14:paraId="5B3C7F97">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治理工艺</w:t>
                  </w:r>
                </w:p>
              </w:tc>
              <w:tc>
                <w:tcPr>
                  <w:tcW w:w="398" w:type="pct"/>
                  <w:tcBorders>
                    <w:tl2br w:val="nil"/>
                    <w:tr2bl w:val="nil"/>
                  </w:tcBorders>
                  <w:shd w:val="clear" w:color="auto" w:fill="auto"/>
                  <w:vAlign w:val="center"/>
                </w:tcPr>
                <w:p w14:paraId="48FE76F8">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处理效率</w:t>
                  </w:r>
                </w:p>
              </w:tc>
              <w:tc>
                <w:tcPr>
                  <w:tcW w:w="546" w:type="pct"/>
                  <w:tcBorders>
                    <w:tl2br w:val="nil"/>
                    <w:tr2bl w:val="nil"/>
                  </w:tcBorders>
                  <w:shd w:val="clear" w:color="auto" w:fill="auto"/>
                  <w:vAlign w:val="center"/>
                </w:tcPr>
                <w:p w14:paraId="345AD0DA">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水量</w:t>
                  </w:r>
                  <w:r>
                    <w:rPr>
                      <w:rFonts w:hint="eastAsia" w:ascii="Times New Roman" w:hAnsi="Times New Roman" w:cs="Times New Roman"/>
                      <w:b/>
                      <w:bCs/>
                      <w:color w:val="auto"/>
                      <w:kern w:val="0"/>
                      <w:szCs w:val="21"/>
                      <w:highlight w:val="none"/>
                      <w:lang w:eastAsia="zh-CN" w:bidi="ar"/>
                    </w:rPr>
                    <w:t>（</w:t>
                  </w:r>
                  <w:r>
                    <w:rPr>
                      <w:rFonts w:ascii="Times New Roman" w:hAnsi="Times New Roman" w:cs="Times New Roman"/>
                      <w:b/>
                      <w:bCs/>
                      <w:color w:val="auto"/>
                      <w:kern w:val="0"/>
                      <w:szCs w:val="21"/>
                      <w:highlight w:val="none"/>
                      <w:lang w:bidi="ar"/>
                    </w:rPr>
                    <w:t>m</w:t>
                  </w:r>
                  <w:r>
                    <w:rPr>
                      <w:rFonts w:ascii="Times New Roman" w:hAnsi="Times New Roman" w:cs="Times New Roman"/>
                      <w:b/>
                      <w:bCs/>
                      <w:color w:val="auto"/>
                      <w:kern w:val="0"/>
                      <w:szCs w:val="21"/>
                      <w:highlight w:val="none"/>
                      <w:vertAlign w:val="superscript"/>
                      <w:lang w:bidi="ar"/>
                    </w:rPr>
                    <w:t>3</w:t>
                  </w:r>
                  <w:r>
                    <w:rPr>
                      <w:rFonts w:ascii="Times New Roman" w:hAnsi="Times New Roman" w:cs="Times New Roman"/>
                      <w:b/>
                      <w:bCs/>
                      <w:color w:val="auto"/>
                      <w:kern w:val="0"/>
                      <w:szCs w:val="21"/>
                      <w:highlight w:val="none"/>
                      <w:lang w:bidi="ar"/>
                    </w:rPr>
                    <w:t>/a</w:t>
                  </w:r>
                  <w:r>
                    <w:rPr>
                      <w:rFonts w:hint="eastAsia" w:ascii="Times New Roman" w:hAnsi="Times New Roman" w:cs="Times New Roman"/>
                      <w:b/>
                      <w:bCs/>
                      <w:color w:val="auto"/>
                      <w:kern w:val="0"/>
                      <w:szCs w:val="21"/>
                      <w:highlight w:val="none"/>
                      <w:lang w:eastAsia="zh-CN" w:bidi="ar"/>
                    </w:rPr>
                    <w:t>）</w:t>
                  </w:r>
                </w:p>
              </w:tc>
              <w:tc>
                <w:tcPr>
                  <w:tcW w:w="594" w:type="pct"/>
                  <w:tcBorders>
                    <w:tl2br w:val="nil"/>
                    <w:tr2bl w:val="nil"/>
                  </w:tcBorders>
                  <w:shd w:val="clear" w:color="auto" w:fill="auto"/>
                  <w:vAlign w:val="center"/>
                </w:tcPr>
                <w:p w14:paraId="61EB6C1E">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浓度</w:t>
                  </w:r>
                  <w:r>
                    <w:rPr>
                      <w:rFonts w:hint="eastAsia" w:ascii="Times New Roman" w:hAnsi="Times New Roman" w:cs="Times New Roman"/>
                      <w:b/>
                      <w:bCs/>
                      <w:color w:val="auto"/>
                      <w:kern w:val="0"/>
                      <w:szCs w:val="21"/>
                      <w:highlight w:val="none"/>
                      <w:lang w:eastAsia="zh-CN" w:bidi="ar"/>
                    </w:rPr>
                    <w:t>（</w:t>
                  </w:r>
                  <w:r>
                    <w:rPr>
                      <w:rFonts w:ascii="Times New Roman" w:hAnsi="Times New Roman" w:cs="Times New Roman"/>
                      <w:b/>
                      <w:bCs/>
                      <w:color w:val="auto"/>
                      <w:kern w:val="0"/>
                      <w:szCs w:val="21"/>
                      <w:highlight w:val="none"/>
                      <w:lang w:bidi="ar"/>
                    </w:rPr>
                    <w:t>mg/L</w:t>
                  </w:r>
                  <w:r>
                    <w:rPr>
                      <w:rFonts w:hint="eastAsia" w:ascii="Times New Roman" w:hAnsi="Times New Roman" w:cs="Times New Roman"/>
                      <w:b/>
                      <w:bCs/>
                      <w:color w:val="auto"/>
                      <w:kern w:val="0"/>
                      <w:szCs w:val="21"/>
                      <w:highlight w:val="none"/>
                      <w:lang w:eastAsia="zh-CN" w:bidi="ar"/>
                    </w:rPr>
                    <w:t>）</w:t>
                  </w:r>
                </w:p>
              </w:tc>
              <w:tc>
                <w:tcPr>
                  <w:tcW w:w="519" w:type="pct"/>
                  <w:tcBorders>
                    <w:tl2br w:val="nil"/>
                    <w:tr2bl w:val="nil"/>
                  </w:tcBorders>
                  <w:shd w:val="clear" w:color="auto" w:fill="auto"/>
                  <w:vAlign w:val="center"/>
                </w:tcPr>
                <w:p w14:paraId="72AD77B9">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排放量</w:t>
                  </w:r>
                  <w:r>
                    <w:rPr>
                      <w:rFonts w:hint="eastAsia" w:ascii="Times New Roman" w:hAnsi="Times New Roman" w:cs="Times New Roman"/>
                      <w:b/>
                      <w:bCs/>
                      <w:color w:val="auto"/>
                      <w:kern w:val="0"/>
                      <w:szCs w:val="21"/>
                      <w:highlight w:val="none"/>
                      <w:lang w:eastAsia="zh-CN" w:bidi="ar"/>
                    </w:rPr>
                    <w:t>（</w:t>
                  </w:r>
                  <w:r>
                    <w:rPr>
                      <w:rFonts w:ascii="Times New Roman" w:hAnsi="Times New Roman" w:cs="Times New Roman"/>
                      <w:b/>
                      <w:bCs/>
                      <w:color w:val="auto"/>
                      <w:kern w:val="0"/>
                      <w:szCs w:val="21"/>
                      <w:highlight w:val="none"/>
                      <w:lang w:bidi="ar"/>
                    </w:rPr>
                    <w:t>t/a</w:t>
                  </w:r>
                  <w:r>
                    <w:rPr>
                      <w:rFonts w:hint="eastAsia" w:ascii="Times New Roman" w:hAnsi="Times New Roman" w:cs="Times New Roman"/>
                      <w:b/>
                      <w:bCs/>
                      <w:color w:val="auto"/>
                      <w:kern w:val="0"/>
                      <w:szCs w:val="21"/>
                      <w:highlight w:val="none"/>
                      <w:lang w:eastAsia="zh-CN" w:bidi="ar"/>
                    </w:rPr>
                    <w:t>）</w:t>
                  </w:r>
                </w:p>
              </w:tc>
              <w:tc>
                <w:tcPr>
                  <w:tcW w:w="601" w:type="pct"/>
                  <w:tcBorders>
                    <w:tl2br w:val="nil"/>
                    <w:tr2bl w:val="nil"/>
                  </w:tcBorders>
                  <w:shd w:val="clear" w:color="auto" w:fill="auto"/>
                  <w:vAlign w:val="center"/>
                </w:tcPr>
                <w:p w14:paraId="75C3F719">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排放标准</w:t>
                  </w:r>
                  <w:r>
                    <w:rPr>
                      <w:rFonts w:hint="eastAsia" w:ascii="Times New Roman" w:hAnsi="Times New Roman" w:cs="Times New Roman"/>
                      <w:b/>
                      <w:bCs/>
                      <w:color w:val="auto"/>
                      <w:kern w:val="0"/>
                      <w:szCs w:val="21"/>
                      <w:highlight w:val="none"/>
                      <w:lang w:eastAsia="zh-CN" w:bidi="ar"/>
                    </w:rPr>
                    <w:t>（</w:t>
                  </w:r>
                  <w:r>
                    <w:rPr>
                      <w:rFonts w:ascii="Times New Roman" w:hAnsi="Times New Roman" w:cs="Times New Roman"/>
                      <w:b/>
                      <w:bCs/>
                      <w:color w:val="auto"/>
                      <w:kern w:val="0"/>
                      <w:szCs w:val="21"/>
                      <w:highlight w:val="none"/>
                      <w:lang w:bidi="ar"/>
                    </w:rPr>
                    <w:t>mg/L</w:t>
                  </w:r>
                  <w:r>
                    <w:rPr>
                      <w:rFonts w:hint="eastAsia" w:ascii="Times New Roman" w:hAnsi="Times New Roman" w:cs="Times New Roman"/>
                      <w:b/>
                      <w:bCs/>
                      <w:color w:val="auto"/>
                      <w:kern w:val="0"/>
                      <w:szCs w:val="21"/>
                      <w:highlight w:val="none"/>
                      <w:lang w:eastAsia="zh-CN" w:bidi="ar"/>
                    </w:rPr>
                    <w:t>）</w:t>
                  </w:r>
                </w:p>
              </w:tc>
            </w:tr>
            <w:tr w14:paraId="59ECC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 w:type="pct"/>
                  <w:vMerge w:val="restart"/>
                  <w:tcBorders>
                    <w:tl2br w:val="nil"/>
                    <w:tr2bl w:val="nil"/>
                  </w:tcBorders>
                  <w:shd w:val="clear" w:color="auto" w:fill="auto"/>
                  <w:vAlign w:val="center"/>
                </w:tcPr>
                <w:p w14:paraId="39AF5D54">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val="en-US" w:eastAsia="zh-CN" w:bidi="ar"/>
                    </w:rPr>
                    <w:t>实验</w:t>
                  </w:r>
                  <w:r>
                    <w:rPr>
                      <w:rFonts w:ascii="Times New Roman" w:hAnsi="Times New Roman" w:cs="Times New Roman"/>
                      <w:color w:val="auto"/>
                      <w:kern w:val="0"/>
                      <w:szCs w:val="21"/>
                      <w:highlight w:val="none"/>
                      <w:lang w:bidi="ar"/>
                    </w:rPr>
                    <w:t>废水</w:t>
                  </w:r>
                </w:p>
              </w:tc>
              <w:tc>
                <w:tcPr>
                  <w:tcW w:w="349" w:type="pct"/>
                  <w:tcBorders>
                    <w:tl2br w:val="nil"/>
                    <w:tr2bl w:val="nil"/>
                  </w:tcBorders>
                  <w:shd w:val="clear" w:color="auto" w:fill="auto"/>
                  <w:vAlign w:val="center"/>
                </w:tcPr>
                <w:p w14:paraId="5CDA5FC7">
                  <w:pPr>
                    <w:widowControl/>
                    <w:jc w:val="center"/>
                    <w:textAlignment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pH</w:t>
                  </w:r>
                </w:p>
              </w:tc>
              <w:tc>
                <w:tcPr>
                  <w:tcW w:w="442" w:type="pct"/>
                  <w:vMerge w:val="restart"/>
                  <w:tcBorders>
                    <w:tl2br w:val="nil"/>
                    <w:tr2bl w:val="nil"/>
                  </w:tcBorders>
                  <w:shd w:val="clear" w:color="auto" w:fill="auto"/>
                  <w:vAlign w:val="center"/>
                </w:tcPr>
                <w:p w14:paraId="21E2C1BB">
                  <w:pPr>
                    <w:widowControl/>
                    <w:jc w:val="center"/>
                    <w:textAlignment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bCs/>
                      <w:color w:val="auto"/>
                      <w:szCs w:val="21"/>
                      <w:highlight w:val="none"/>
                      <w:lang w:val="en-US" w:eastAsia="zh-CN"/>
                    </w:rPr>
                    <w:t>6.81</w:t>
                  </w:r>
                </w:p>
              </w:tc>
              <w:tc>
                <w:tcPr>
                  <w:tcW w:w="541" w:type="pct"/>
                  <w:tcBorders>
                    <w:tl2br w:val="nil"/>
                    <w:tr2bl w:val="nil"/>
                  </w:tcBorders>
                  <w:shd w:val="clear" w:color="auto" w:fill="auto"/>
                  <w:vAlign w:val="center"/>
                </w:tcPr>
                <w:p w14:paraId="2296C296">
                  <w:pPr>
                    <w:widowControl/>
                    <w:jc w:val="center"/>
                    <w:textAlignment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5~10</w:t>
                  </w:r>
                </w:p>
              </w:tc>
              <w:tc>
                <w:tcPr>
                  <w:tcW w:w="555" w:type="pct"/>
                  <w:tcBorders>
                    <w:tl2br w:val="nil"/>
                    <w:tr2bl w:val="nil"/>
                  </w:tcBorders>
                  <w:shd w:val="clear" w:color="auto" w:fill="auto"/>
                  <w:vAlign w:val="center"/>
                </w:tcPr>
                <w:p w14:paraId="3E15CF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54" w:type="pct"/>
                  <w:vMerge w:val="restart"/>
                  <w:tcBorders>
                    <w:tl2br w:val="nil"/>
                    <w:tr2bl w:val="nil"/>
                  </w:tcBorders>
                  <w:shd w:val="clear" w:color="auto" w:fill="auto"/>
                  <w:vAlign w:val="center"/>
                </w:tcPr>
                <w:p w14:paraId="6E8089AE">
                  <w:pPr>
                    <w:widowControl/>
                    <w:jc w:val="center"/>
                    <w:textAlignment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bCs/>
                      <w:color w:val="auto"/>
                      <w:spacing w:val="-10"/>
                      <w:szCs w:val="21"/>
                      <w:highlight w:val="none"/>
                      <w:lang w:val="en-US" w:eastAsia="zh-CN"/>
                    </w:rPr>
                    <w:t>酸碱中和+沉淀</w:t>
                  </w:r>
                </w:p>
              </w:tc>
              <w:tc>
                <w:tcPr>
                  <w:tcW w:w="398" w:type="pct"/>
                  <w:tcBorders>
                    <w:tl2br w:val="nil"/>
                    <w:tr2bl w:val="nil"/>
                  </w:tcBorders>
                  <w:shd w:val="clear" w:color="auto" w:fill="auto"/>
                  <w:vAlign w:val="center"/>
                </w:tcPr>
                <w:p w14:paraId="3E77F3E9">
                  <w:pPr>
                    <w:widowControl/>
                    <w:jc w:val="center"/>
                    <w:textAlignment w:val="center"/>
                    <w:rPr>
                      <w:rFonts w:hint="default" w:ascii="Times New Roman" w:hAnsi="Times New Roman" w:cs="Times New Roman" w:eastAsiaTheme="minorEastAsia"/>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100</w:t>
                  </w:r>
                </w:p>
              </w:tc>
              <w:tc>
                <w:tcPr>
                  <w:tcW w:w="546" w:type="pct"/>
                  <w:vMerge w:val="restart"/>
                  <w:tcBorders>
                    <w:tl2br w:val="nil"/>
                    <w:tr2bl w:val="nil"/>
                  </w:tcBorders>
                  <w:shd w:val="clear" w:color="auto" w:fill="auto"/>
                  <w:vAlign w:val="center"/>
                </w:tcPr>
                <w:p w14:paraId="64212841">
                  <w:pPr>
                    <w:widowControl/>
                    <w:jc w:val="center"/>
                    <w:textAlignment w:val="center"/>
                    <w:rPr>
                      <w:rFonts w:hint="default" w:ascii="Times New Roman" w:hAnsi="Times New Roman" w:cs="Times New Roman"/>
                      <w:color w:val="auto"/>
                      <w:szCs w:val="21"/>
                      <w:highlight w:val="none"/>
                      <w:lang w:val="en-US"/>
                    </w:rPr>
                  </w:pPr>
                  <w:r>
                    <w:rPr>
                      <w:rFonts w:hint="eastAsia" w:ascii="Times New Roman" w:hAnsi="Times New Roman" w:cs="Times New Roman"/>
                      <w:bCs/>
                      <w:color w:val="auto"/>
                      <w:szCs w:val="21"/>
                      <w:highlight w:val="none"/>
                      <w:lang w:val="en-US" w:eastAsia="zh-CN"/>
                    </w:rPr>
                    <w:t>6.81</w:t>
                  </w:r>
                </w:p>
              </w:tc>
              <w:tc>
                <w:tcPr>
                  <w:tcW w:w="594" w:type="pct"/>
                  <w:tcBorders>
                    <w:tl2br w:val="nil"/>
                    <w:tr2bl w:val="nil"/>
                  </w:tcBorders>
                  <w:shd w:val="clear" w:color="auto" w:fill="auto"/>
                  <w:noWrap/>
                  <w:vAlign w:val="center"/>
                </w:tcPr>
                <w:p w14:paraId="3F1DD202">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6~9</w:t>
                  </w:r>
                </w:p>
              </w:tc>
              <w:tc>
                <w:tcPr>
                  <w:tcW w:w="519" w:type="pct"/>
                  <w:tcBorders>
                    <w:tl2br w:val="nil"/>
                    <w:tr2bl w:val="nil"/>
                  </w:tcBorders>
                  <w:shd w:val="clear" w:color="auto" w:fill="auto"/>
                  <w:vAlign w:val="center"/>
                </w:tcPr>
                <w:p w14:paraId="5D88AB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01" w:type="pct"/>
                  <w:tcBorders>
                    <w:tl2br w:val="nil"/>
                    <w:tr2bl w:val="nil"/>
                  </w:tcBorders>
                  <w:shd w:val="clear" w:color="auto" w:fill="auto"/>
                  <w:vAlign w:val="center"/>
                </w:tcPr>
                <w:p w14:paraId="3B59C9AA">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6~9</w:t>
                  </w:r>
                </w:p>
              </w:tc>
            </w:tr>
            <w:tr w14:paraId="57148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 w:type="pct"/>
                  <w:vMerge w:val="continue"/>
                  <w:tcBorders>
                    <w:tl2br w:val="nil"/>
                    <w:tr2bl w:val="nil"/>
                  </w:tcBorders>
                  <w:shd w:val="clear" w:color="auto" w:fill="auto"/>
                  <w:vAlign w:val="center"/>
                </w:tcPr>
                <w:p w14:paraId="5B2C246C">
                  <w:pPr>
                    <w:widowControl/>
                    <w:jc w:val="center"/>
                    <w:textAlignment w:val="center"/>
                    <w:rPr>
                      <w:rFonts w:ascii="Times New Roman" w:hAnsi="Times New Roman" w:cs="Times New Roman"/>
                      <w:color w:val="auto"/>
                      <w:szCs w:val="21"/>
                      <w:highlight w:val="none"/>
                    </w:rPr>
                  </w:pPr>
                </w:p>
              </w:tc>
              <w:tc>
                <w:tcPr>
                  <w:tcW w:w="349" w:type="pct"/>
                  <w:tcBorders>
                    <w:tl2br w:val="nil"/>
                    <w:tr2bl w:val="nil"/>
                  </w:tcBorders>
                  <w:shd w:val="clear" w:color="auto" w:fill="auto"/>
                  <w:vAlign w:val="center"/>
                </w:tcPr>
                <w:p w14:paraId="655227F2">
                  <w:pPr>
                    <w:widowControl/>
                    <w:jc w:val="center"/>
                    <w:textAlignment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COD</w:t>
                  </w:r>
                </w:p>
              </w:tc>
              <w:tc>
                <w:tcPr>
                  <w:tcW w:w="442" w:type="pct"/>
                  <w:vMerge w:val="continue"/>
                  <w:tcBorders>
                    <w:tl2br w:val="nil"/>
                    <w:tr2bl w:val="nil"/>
                  </w:tcBorders>
                  <w:shd w:val="clear" w:color="auto" w:fill="auto"/>
                  <w:vAlign w:val="center"/>
                </w:tcPr>
                <w:p w14:paraId="2927598C">
                  <w:pPr>
                    <w:widowControl/>
                    <w:jc w:val="center"/>
                    <w:textAlignment w:val="center"/>
                    <w:rPr>
                      <w:rFonts w:hint="default" w:ascii="Times New Roman" w:hAnsi="Times New Roman" w:cs="Times New Roman" w:eastAsiaTheme="minorEastAsia"/>
                      <w:color w:val="auto"/>
                      <w:szCs w:val="21"/>
                      <w:highlight w:val="none"/>
                      <w:lang w:val="en-US" w:eastAsia="zh-CN"/>
                    </w:rPr>
                  </w:pPr>
                </w:p>
              </w:tc>
              <w:tc>
                <w:tcPr>
                  <w:tcW w:w="541" w:type="pct"/>
                  <w:tcBorders>
                    <w:tl2br w:val="nil"/>
                    <w:tr2bl w:val="nil"/>
                  </w:tcBorders>
                  <w:shd w:val="clear" w:color="auto" w:fill="auto"/>
                  <w:vAlign w:val="center"/>
                </w:tcPr>
                <w:p w14:paraId="69B9E499">
                  <w:pPr>
                    <w:widowControl/>
                    <w:jc w:val="center"/>
                    <w:textAlignment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300</w:t>
                  </w:r>
                </w:p>
              </w:tc>
              <w:tc>
                <w:tcPr>
                  <w:tcW w:w="555" w:type="pct"/>
                  <w:tcBorders>
                    <w:tl2br w:val="nil"/>
                    <w:tr2bl w:val="nil"/>
                  </w:tcBorders>
                  <w:shd w:val="clear" w:color="auto" w:fill="auto"/>
                  <w:vAlign w:val="center"/>
                </w:tcPr>
                <w:p w14:paraId="3BA2747E">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0.0020 </w:t>
                  </w:r>
                </w:p>
              </w:tc>
              <w:tc>
                <w:tcPr>
                  <w:tcW w:w="254" w:type="pct"/>
                  <w:vMerge w:val="continue"/>
                  <w:tcBorders>
                    <w:tl2br w:val="nil"/>
                    <w:tr2bl w:val="nil"/>
                  </w:tcBorders>
                  <w:shd w:val="clear" w:color="auto" w:fill="auto"/>
                  <w:vAlign w:val="center"/>
                </w:tcPr>
                <w:p w14:paraId="0153023D">
                  <w:pPr>
                    <w:widowControl/>
                    <w:jc w:val="center"/>
                    <w:textAlignment w:val="center"/>
                    <w:rPr>
                      <w:rFonts w:hint="default" w:ascii="Times New Roman" w:hAnsi="Times New Roman" w:cs="Times New Roman" w:eastAsiaTheme="minorEastAsia"/>
                      <w:color w:val="auto"/>
                      <w:szCs w:val="21"/>
                      <w:highlight w:val="none"/>
                      <w:lang w:val="en-US" w:eastAsia="zh-CN"/>
                    </w:rPr>
                  </w:pPr>
                </w:p>
              </w:tc>
              <w:tc>
                <w:tcPr>
                  <w:tcW w:w="398" w:type="pct"/>
                  <w:tcBorders>
                    <w:tl2br w:val="nil"/>
                    <w:tr2bl w:val="nil"/>
                  </w:tcBorders>
                  <w:shd w:val="clear" w:color="auto" w:fill="auto"/>
                  <w:vAlign w:val="center"/>
                </w:tcPr>
                <w:p w14:paraId="1A3499CE">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6.67%</w:t>
                  </w:r>
                </w:p>
              </w:tc>
              <w:tc>
                <w:tcPr>
                  <w:tcW w:w="546" w:type="pct"/>
                  <w:vMerge w:val="continue"/>
                  <w:tcBorders>
                    <w:tl2br w:val="nil"/>
                    <w:tr2bl w:val="nil"/>
                  </w:tcBorders>
                  <w:shd w:val="clear" w:color="auto" w:fill="auto"/>
                  <w:vAlign w:val="center"/>
                </w:tcPr>
                <w:p w14:paraId="32446045">
                  <w:pPr>
                    <w:widowControl/>
                    <w:jc w:val="center"/>
                    <w:textAlignment w:val="center"/>
                    <w:rPr>
                      <w:rFonts w:ascii="Times New Roman" w:hAnsi="Times New Roman" w:cs="Times New Roman"/>
                      <w:color w:val="auto"/>
                      <w:szCs w:val="21"/>
                      <w:highlight w:val="none"/>
                    </w:rPr>
                  </w:pPr>
                </w:p>
              </w:tc>
              <w:tc>
                <w:tcPr>
                  <w:tcW w:w="594" w:type="pct"/>
                  <w:tcBorders>
                    <w:tl2br w:val="nil"/>
                    <w:tr2bl w:val="nil"/>
                  </w:tcBorders>
                  <w:shd w:val="clear" w:color="auto" w:fill="auto"/>
                  <w:noWrap/>
                  <w:vAlign w:val="center"/>
                </w:tcPr>
                <w:p w14:paraId="73897EE3">
                  <w:pPr>
                    <w:keepNext w:val="0"/>
                    <w:keepLines w:val="0"/>
                    <w:widowControl/>
                    <w:suppressLineNumbers w:val="0"/>
                    <w:jc w:val="center"/>
                    <w:textAlignment w:val="center"/>
                    <w:rPr>
                      <w:rFonts w:ascii="Times New Roman" w:hAnsi="Times New Roman" w:cs="Times New Roman"/>
                      <w:color w:val="auto"/>
                      <w:spacing w:val="4"/>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280</w:t>
                  </w:r>
                </w:p>
              </w:tc>
              <w:tc>
                <w:tcPr>
                  <w:tcW w:w="519" w:type="pct"/>
                  <w:tcBorders>
                    <w:tl2br w:val="nil"/>
                    <w:tr2bl w:val="nil"/>
                  </w:tcBorders>
                  <w:shd w:val="clear" w:color="auto" w:fill="auto"/>
                  <w:vAlign w:val="center"/>
                </w:tcPr>
                <w:p w14:paraId="2FF80C23">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0.0019 </w:t>
                  </w:r>
                </w:p>
              </w:tc>
              <w:tc>
                <w:tcPr>
                  <w:tcW w:w="601" w:type="pct"/>
                  <w:tcBorders>
                    <w:tl2br w:val="nil"/>
                    <w:tr2bl w:val="nil"/>
                  </w:tcBorders>
                  <w:shd w:val="clear" w:color="auto" w:fill="auto"/>
                  <w:vAlign w:val="center"/>
                </w:tcPr>
                <w:p w14:paraId="2696B0E4">
                  <w:pPr>
                    <w:jc w:val="center"/>
                    <w:rPr>
                      <w:rFonts w:hint="default" w:ascii="Times New Roman" w:hAnsi="Times New Roman" w:cs="Times New Roman" w:eastAsiaTheme="minorEastAsia"/>
                      <w:color w:val="auto"/>
                      <w:spacing w:val="4"/>
                      <w:szCs w:val="21"/>
                      <w:highlight w:val="none"/>
                      <w:lang w:val="en-US" w:eastAsia="zh-CN"/>
                    </w:rPr>
                  </w:pPr>
                  <w:r>
                    <w:rPr>
                      <w:rFonts w:hint="eastAsia" w:ascii="Times New Roman" w:hAnsi="Times New Roman" w:cs="Times New Roman"/>
                      <w:color w:val="auto"/>
                      <w:szCs w:val="21"/>
                      <w:highlight w:val="none"/>
                      <w:lang w:val="en-US" w:eastAsia="zh-CN"/>
                    </w:rPr>
                    <w:t>500</w:t>
                  </w:r>
                </w:p>
              </w:tc>
            </w:tr>
            <w:tr w14:paraId="0628E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 w:type="pct"/>
                  <w:vMerge w:val="continue"/>
                  <w:tcBorders>
                    <w:tl2br w:val="nil"/>
                    <w:tr2bl w:val="nil"/>
                  </w:tcBorders>
                  <w:shd w:val="clear" w:color="auto" w:fill="auto"/>
                  <w:vAlign w:val="center"/>
                </w:tcPr>
                <w:p w14:paraId="4E4B2F3B">
                  <w:pPr>
                    <w:jc w:val="center"/>
                    <w:rPr>
                      <w:rFonts w:ascii="Times New Roman" w:hAnsi="Times New Roman" w:cs="Times New Roman"/>
                      <w:color w:val="auto"/>
                      <w:szCs w:val="21"/>
                      <w:highlight w:val="none"/>
                    </w:rPr>
                  </w:pPr>
                </w:p>
              </w:tc>
              <w:tc>
                <w:tcPr>
                  <w:tcW w:w="349" w:type="pct"/>
                  <w:tcBorders>
                    <w:tl2br w:val="nil"/>
                    <w:tr2bl w:val="nil"/>
                  </w:tcBorders>
                  <w:shd w:val="clear" w:color="auto" w:fill="auto"/>
                  <w:vAlign w:val="center"/>
                </w:tcPr>
                <w:p w14:paraId="4CA5FB47">
                  <w:pPr>
                    <w:widowControl/>
                    <w:jc w:val="center"/>
                    <w:textAlignment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BOD</w:t>
                  </w:r>
                </w:p>
              </w:tc>
              <w:tc>
                <w:tcPr>
                  <w:tcW w:w="442" w:type="pct"/>
                  <w:vMerge w:val="continue"/>
                  <w:tcBorders>
                    <w:tl2br w:val="nil"/>
                    <w:tr2bl w:val="nil"/>
                  </w:tcBorders>
                  <w:shd w:val="clear" w:color="auto" w:fill="auto"/>
                  <w:vAlign w:val="center"/>
                </w:tcPr>
                <w:p w14:paraId="783917F9">
                  <w:pPr>
                    <w:jc w:val="center"/>
                    <w:rPr>
                      <w:rFonts w:ascii="Times New Roman" w:hAnsi="Times New Roman" w:cs="Times New Roman"/>
                      <w:color w:val="auto"/>
                      <w:szCs w:val="21"/>
                      <w:highlight w:val="none"/>
                    </w:rPr>
                  </w:pPr>
                </w:p>
              </w:tc>
              <w:tc>
                <w:tcPr>
                  <w:tcW w:w="541" w:type="pct"/>
                  <w:tcBorders>
                    <w:tl2br w:val="nil"/>
                    <w:tr2bl w:val="nil"/>
                  </w:tcBorders>
                  <w:shd w:val="clear" w:color="auto" w:fill="auto"/>
                  <w:vAlign w:val="center"/>
                </w:tcPr>
                <w:p w14:paraId="4509982D">
                  <w:pPr>
                    <w:widowControl/>
                    <w:jc w:val="center"/>
                    <w:textAlignment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150</w:t>
                  </w:r>
                </w:p>
              </w:tc>
              <w:tc>
                <w:tcPr>
                  <w:tcW w:w="555" w:type="pct"/>
                  <w:tcBorders>
                    <w:tl2br w:val="nil"/>
                    <w:tr2bl w:val="nil"/>
                  </w:tcBorders>
                  <w:shd w:val="clear" w:color="auto" w:fill="auto"/>
                  <w:vAlign w:val="center"/>
                </w:tcPr>
                <w:p w14:paraId="1BD084FA">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0.0010 </w:t>
                  </w:r>
                </w:p>
              </w:tc>
              <w:tc>
                <w:tcPr>
                  <w:tcW w:w="254" w:type="pct"/>
                  <w:vMerge w:val="continue"/>
                  <w:tcBorders>
                    <w:tl2br w:val="nil"/>
                    <w:tr2bl w:val="nil"/>
                  </w:tcBorders>
                  <w:shd w:val="clear" w:color="auto" w:fill="auto"/>
                  <w:vAlign w:val="center"/>
                </w:tcPr>
                <w:p w14:paraId="68D072DA">
                  <w:pPr>
                    <w:jc w:val="center"/>
                    <w:rPr>
                      <w:rFonts w:ascii="Times New Roman" w:hAnsi="Times New Roman" w:cs="Times New Roman"/>
                      <w:color w:val="auto"/>
                      <w:szCs w:val="21"/>
                      <w:highlight w:val="none"/>
                    </w:rPr>
                  </w:pPr>
                </w:p>
              </w:tc>
              <w:tc>
                <w:tcPr>
                  <w:tcW w:w="398" w:type="pct"/>
                  <w:tcBorders>
                    <w:tl2br w:val="nil"/>
                    <w:tr2bl w:val="nil"/>
                  </w:tcBorders>
                  <w:shd w:val="clear" w:color="auto" w:fill="auto"/>
                  <w:vAlign w:val="center"/>
                </w:tcPr>
                <w:p w14:paraId="45C4B377">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546" w:type="pct"/>
                  <w:vMerge w:val="continue"/>
                  <w:tcBorders>
                    <w:tl2br w:val="nil"/>
                    <w:tr2bl w:val="nil"/>
                  </w:tcBorders>
                  <w:shd w:val="clear" w:color="auto" w:fill="auto"/>
                  <w:vAlign w:val="center"/>
                </w:tcPr>
                <w:p w14:paraId="7D7FDEBC">
                  <w:pPr>
                    <w:jc w:val="center"/>
                    <w:rPr>
                      <w:rFonts w:ascii="Times New Roman" w:hAnsi="Times New Roman" w:cs="Times New Roman"/>
                      <w:color w:val="auto"/>
                      <w:szCs w:val="21"/>
                      <w:highlight w:val="none"/>
                    </w:rPr>
                  </w:pPr>
                </w:p>
              </w:tc>
              <w:tc>
                <w:tcPr>
                  <w:tcW w:w="594" w:type="pct"/>
                  <w:tcBorders>
                    <w:tl2br w:val="nil"/>
                    <w:tr2bl w:val="nil"/>
                  </w:tcBorders>
                  <w:shd w:val="clear" w:color="auto" w:fill="auto"/>
                  <w:noWrap/>
                  <w:vAlign w:val="center"/>
                </w:tcPr>
                <w:p w14:paraId="290B1C4E">
                  <w:pPr>
                    <w:keepNext w:val="0"/>
                    <w:keepLines w:val="0"/>
                    <w:widowControl/>
                    <w:suppressLineNumbers w:val="0"/>
                    <w:jc w:val="center"/>
                    <w:textAlignment w:val="center"/>
                    <w:rPr>
                      <w:rFonts w:ascii="Times New Roman" w:hAnsi="Times New Roman" w:cs="Times New Roman"/>
                      <w:color w:val="auto"/>
                      <w:spacing w:val="4"/>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519" w:type="pct"/>
                  <w:tcBorders>
                    <w:tl2br w:val="nil"/>
                    <w:tr2bl w:val="nil"/>
                  </w:tcBorders>
                  <w:shd w:val="clear" w:color="auto" w:fill="auto"/>
                  <w:vAlign w:val="center"/>
                </w:tcPr>
                <w:p w14:paraId="6129E22A">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0.0008 </w:t>
                  </w:r>
                </w:p>
              </w:tc>
              <w:tc>
                <w:tcPr>
                  <w:tcW w:w="601" w:type="pct"/>
                  <w:tcBorders>
                    <w:tl2br w:val="nil"/>
                    <w:tr2bl w:val="nil"/>
                  </w:tcBorders>
                  <w:shd w:val="clear" w:color="auto" w:fill="auto"/>
                  <w:vAlign w:val="center"/>
                </w:tcPr>
                <w:p w14:paraId="302A7829">
                  <w:pPr>
                    <w:jc w:val="center"/>
                    <w:rPr>
                      <w:rFonts w:hint="default" w:ascii="Times New Roman" w:hAnsi="Times New Roman" w:cs="Times New Roman" w:eastAsiaTheme="minorEastAsia"/>
                      <w:color w:val="auto"/>
                      <w:spacing w:val="4"/>
                      <w:szCs w:val="21"/>
                      <w:highlight w:val="none"/>
                      <w:lang w:val="en-US" w:eastAsia="zh-CN"/>
                    </w:rPr>
                  </w:pPr>
                  <w:r>
                    <w:rPr>
                      <w:rFonts w:hint="eastAsia" w:ascii="Times New Roman" w:hAnsi="Times New Roman" w:cs="Times New Roman"/>
                      <w:color w:val="auto"/>
                      <w:szCs w:val="21"/>
                      <w:highlight w:val="none"/>
                      <w:lang w:val="en-US" w:eastAsia="zh-CN"/>
                    </w:rPr>
                    <w:t>300</w:t>
                  </w:r>
                </w:p>
              </w:tc>
            </w:tr>
            <w:tr w14:paraId="79785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 w:type="pct"/>
                  <w:vMerge w:val="continue"/>
                  <w:tcBorders>
                    <w:tl2br w:val="nil"/>
                    <w:tr2bl w:val="nil"/>
                  </w:tcBorders>
                  <w:shd w:val="clear" w:color="auto" w:fill="auto"/>
                  <w:vAlign w:val="center"/>
                </w:tcPr>
                <w:p w14:paraId="5649A749">
                  <w:pPr>
                    <w:jc w:val="center"/>
                    <w:rPr>
                      <w:rFonts w:ascii="Times New Roman" w:hAnsi="Times New Roman" w:cs="Times New Roman"/>
                      <w:color w:val="auto"/>
                      <w:szCs w:val="21"/>
                      <w:highlight w:val="none"/>
                    </w:rPr>
                  </w:pPr>
                </w:p>
              </w:tc>
              <w:tc>
                <w:tcPr>
                  <w:tcW w:w="349" w:type="pct"/>
                  <w:tcBorders>
                    <w:tl2br w:val="nil"/>
                    <w:tr2bl w:val="nil"/>
                  </w:tcBorders>
                  <w:shd w:val="clear" w:color="auto" w:fill="auto"/>
                  <w:vAlign w:val="center"/>
                </w:tcPr>
                <w:p w14:paraId="7CC3AFBF">
                  <w:pPr>
                    <w:widowControl/>
                    <w:jc w:val="center"/>
                    <w:textAlignment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SS</w:t>
                  </w:r>
                </w:p>
              </w:tc>
              <w:tc>
                <w:tcPr>
                  <w:tcW w:w="442" w:type="pct"/>
                  <w:vMerge w:val="continue"/>
                  <w:tcBorders>
                    <w:tl2br w:val="nil"/>
                    <w:tr2bl w:val="nil"/>
                  </w:tcBorders>
                  <w:shd w:val="clear" w:color="auto" w:fill="auto"/>
                  <w:vAlign w:val="center"/>
                </w:tcPr>
                <w:p w14:paraId="3AD7843E">
                  <w:pPr>
                    <w:jc w:val="center"/>
                    <w:rPr>
                      <w:rFonts w:ascii="Times New Roman" w:hAnsi="Times New Roman" w:cs="Times New Roman"/>
                      <w:color w:val="auto"/>
                      <w:szCs w:val="21"/>
                      <w:highlight w:val="none"/>
                    </w:rPr>
                  </w:pPr>
                </w:p>
              </w:tc>
              <w:tc>
                <w:tcPr>
                  <w:tcW w:w="541" w:type="pct"/>
                  <w:tcBorders>
                    <w:tl2br w:val="nil"/>
                    <w:tr2bl w:val="nil"/>
                  </w:tcBorders>
                  <w:shd w:val="clear" w:color="auto" w:fill="auto"/>
                  <w:vAlign w:val="center"/>
                </w:tcPr>
                <w:p w14:paraId="4216A1FB">
                  <w:pPr>
                    <w:widowControl/>
                    <w:jc w:val="center"/>
                    <w:textAlignment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120</w:t>
                  </w:r>
                </w:p>
              </w:tc>
              <w:tc>
                <w:tcPr>
                  <w:tcW w:w="555" w:type="pct"/>
                  <w:tcBorders>
                    <w:tl2br w:val="nil"/>
                    <w:tr2bl w:val="nil"/>
                  </w:tcBorders>
                  <w:shd w:val="clear" w:color="auto" w:fill="auto"/>
                  <w:vAlign w:val="center"/>
                </w:tcPr>
                <w:p w14:paraId="4EB4FA19">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0.0008 </w:t>
                  </w:r>
                </w:p>
              </w:tc>
              <w:tc>
                <w:tcPr>
                  <w:tcW w:w="254" w:type="pct"/>
                  <w:vMerge w:val="continue"/>
                  <w:tcBorders>
                    <w:tl2br w:val="nil"/>
                    <w:tr2bl w:val="nil"/>
                  </w:tcBorders>
                  <w:shd w:val="clear" w:color="auto" w:fill="auto"/>
                  <w:vAlign w:val="center"/>
                </w:tcPr>
                <w:p w14:paraId="20662B2C">
                  <w:pPr>
                    <w:jc w:val="center"/>
                    <w:rPr>
                      <w:rFonts w:ascii="Times New Roman" w:hAnsi="Times New Roman" w:cs="Times New Roman"/>
                      <w:color w:val="auto"/>
                      <w:szCs w:val="21"/>
                      <w:highlight w:val="none"/>
                    </w:rPr>
                  </w:pPr>
                </w:p>
              </w:tc>
              <w:tc>
                <w:tcPr>
                  <w:tcW w:w="398" w:type="pct"/>
                  <w:tcBorders>
                    <w:tl2br w:val="nil"/>
                    <w:tr2bl w:val="nil"/>
                  </w:tcBorders>
                  <w:shd w:val="clear" w:color="auto" w:fill="auto"/>
                  <w:vAlign w:val="center"/>
                </w:tcPr>
                <w:p w14:paraId="625D7803">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546" w:type="pct"/>
                  <w:vMerge w:val="continue"/>
                  <w:tcBorders>
                    <w:tl2br w:val="nil"/>
                    <w:tr2bl w:val="nil"/>
                  </w:tcBorders>
                  <w:shd w:val="clear" w:color="auto" w:fill="auto"/>
                  <w:vAlign w:val="center"/>
                </w:tcPr>
                <w:p w14:paraId="1F1DCE8E">
                  <w:pPr>
                    <w:jc w:val="center"/>
                    <w:rPr>
                      <w:rFonts w:ascii="Times New Roman" w:hAnsi="Times New Roman" w:cs="Times New Roman"/>
                      <w:color w:val="auto"/>
                      <w:szCs w:val="21"/>
                      <w:highlight w:val="none"/>
                    </w:rPr>
                  </w:pPr>
                </w:p>
              </w:tc>
              <w:tc>
                <w:tcPr>
                  <w:tcW w:w="594" w:type="pct"/>
                  <w:tcBorders>
                    <w:tl2br w:val="nil"/>
                    <w:tr2bl w:val="nil"/>
                  </w:tcBorders>
                  <w:shd w:val="clear" w:color="auto" w:fill="auto"/>
                  <w:noWrap/>
                  <w:vAlign w:val="center"/>
                </w:tcPr>
                <w:p w14:paraId="6C44E76B">
                  <w:pPr>
                    <w:keepNext w:val="0"/>
                    <w:keepLines w:val="0"/>
                    <w:widowControl/>
                    <w:suppressLineNumbers w:val="0"/>
                    <w:jc w:val="center"/>
                    <w:textAlignment w:val="center"/>
                    <w:rPr>
                      <w:rFonts w:ascii="Times New Roman" w:hAnsi="Times New Roman" w:cs="Times New Roman"/>
                      <w:color w:val="auto"/>
                      <w:spacing w:val="4"/>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19" w:type="pct"/>
                  <w:tcBorders>
                    <w:tl2br w:val="nil"/>
                    <w:tr2bl w:val="nil"/>
                  </w:tcBorders>
                  <w:shd w:val="clear" w:color="auto" w:fill="auto"/>
                  <w:vAlign w:val="center"/>
                </w:tcPr>
                <w:p w14:paraId="26AE49E6">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0.0004 </w:t>
                  </w:r>
                </w:p>
              </w:tc>
              <w:tc>
                <w:tcPr>
                  <w:tcW w:w="601" w:type="pct"/>
                  <w:tcBorders>
                    <w:tl2br w:val="nil"/>
                    <w:tr2bl w:val="nil"/>
                  </w:tcBorders>
                  <w:shd w:val="clear" w:color="auto" w:fill="auto"/>
                  <w:vAlign w:val="center"/>
                </w:tcPr>
                <w:p w14:paraId="450A199F">
                  <w:pPr>
                    <w:jc w:val="center"/>
                    <w:rPr>
                      <w:rFonts w:hint="default" w:ascii="Times New Roman" w:hAnsi="Times New Roman" w:cs="Times New Roman" w:eastAsiaTheme="minorEastAsia"/>
                      <w:color w:val="auto"/>
                      <w:spacing w:val="4"/>
                      <w:szCs w:val="21"/>
                      <w:highlight w:val="none"/>
                      <w:lang w:val="en-US" w:eastAsia="zh-CN"/>
                    </w:rPr>
                  </w:pPr>
                  <w:r>
                    <w:rPr>
                      <w:rFonts w:hint="eastAsia" w:ascii="Times New Roman" w:hAnsi="Times New Roman" w:cs="Times New Roman"/>
                      <w:color w:val="auto"/>
                      <w:spacing w:val="4"/>
                      <w:szCs w:val="21"/>
                      <w:highlight w:val="none"/>
                      <w:lang w:val="en-US" w:eastAsia="zh-CN"/>
                    </w:rPr>
                    <w:t>400</w:t>
                  </w:r>
                </w:p>
              </w:tc>
            </w:tr>
            <w:tr w14:paraId="1FFD5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 w:type="pct"/>
                  <w:vMerge w:val="continue"/>
                  <w:tcBorders>
                    <w:tl2br w:val="nil"/>
                    <w:tr2bl w:val="nil"/>
                  </w:tcBorders>
                  <w:shd w:val="clear" w:color="auto" w:fill="auto"/>
                  <w:vAlign w:val="center"/>
                </w:tcPr>
                <w:p w14:paraId="296B4FBA">
                  <w:pPr>
                    <w:jc w:val="center"/>
                    <w:rPr>
                      <w:rFonts w:ascii="Times New Roman" w:hAnsi="Times New Roman" w:cs="Times New Roman"/>
                      <w:color w:val="auto"/>
                      <w:szCs w:val="21"/>
                      <w:highlight w:val="none"/>
                    </w:rPr>
                  </w:pPr>
                </w:p>
              </w:tc>
              <w:tc>
                <w:tcPr>
                  <w:tcW w:w="349" w:type="pct"/>
                  <w:tcBorders>
                    <w:tl2br w:val="nil"/>
                    <w:tr2bl w:val="nil"/>
                  </w:tcBorders>
                  <w:shd w:val="clear" w:color="auto" w:fill="auto"/>
                  <w:vAlign w:val="center"/>
                </w:tcPr>
                <w:p w14:paraId="65387766">
                  <w:pPr>
                    <w:widowControl/>
                    <w:jc w:val="center"/>
                    <w:textAlignment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NH</w:t>
                  </w:r>
                  <w:r>
                    <w:rPr>
                      <w:rFonts w:ascii="Times New Roman" w:hAnsi="Times New Roman" w:cs="Times New Roman"/>
                      <w:color w:val="auto"/>
                      <w:szCs w:val="21"/>
                      <w:highlight w:val="none"/>
                      <w:vertAlign w:val="subscript"/>
                    </w:rPr>
                    <w:t>3</w:t>
                  </w:r>
                  <w:r>
                    <w:rPr>
                      <w:rFonts w:ascii="Times New Roman" w:hAnsi="Times New Roman" w:cs="Times New Roman"/>
                      <w:color w:val="auto"/>
                      <w:szCs w:val="21"/>
                      <w:highlight w:val="none"/>
                    </w:rPr>
                    <w:t>-N</w:t>
                  </w:r>
                </w:p>
              </w:tc>
              <w:tc>
                <w:tcPr>
                  <w:tcW w:w="442" w:type="pct"/>
                  <w:vMerge w:val="continue"/>
                  <w:tcBorders>
                    <w:tl2br w:val="nil"/>
                    <w:tr2bl w:val="nil"/>
                  </w:tcBorders>
                  <w:shd w:val="clear" w:color="auto" w:fill="auto"/>
                  <w:vAlign w:val="center"/>
                </w:tcPr>
                <w:p w14:paraId="22247A65">
                  <w:pPr>
                    <w:jc w:val="center"/>
                    <w:rPr>
                      <w:rFonts w:ascii="Times New Roman" w:hAnsi="Times New Roman" w:cs="Times New Roman"/>
                      <w:color w:val="auto"/>
                      <w:szCs w:val="21"/>
                      <w:highlight w:val="none"/>
                    </w:rPr>
                  </w:pPr>
                </w:p>
              </w:tc>
              <w:tc>
                <w:tcPr>
                  <w:tcW w:w="541" w:type="pct"/>
                  <w:tcBorders>
                    <w:tl2br w:val="nil"/>
                    <w:tr2bl w:val="nil"/>
                  </w:tcBorders>
                  <w:shd w:val="clear" w:color="auto" w:fill="auto"/>
                  <w:vAlign w:val="center"/>
                </w:tcPr>
                <w:p w14:paraId="63687D6B">
                  <w:pPr>
                    <w:widowControl/>
                    <w:jc w:val="center"/>
                    <w:textAlignment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20</w:t>
                  </w:r>
                </w:p>
              </w:tc>
              <w:tc>
                <w:tcPr>
                  <w:tcW w:w="555" w:type="pct"/>
                  <w:tcBorders>
                    <w:tl2br w:val="nil"/>
                    <w:tr2bl w:val="nil"/>
                  </w:tcBorders>
                  <w:shd w:val="clear" w:color="auto" w:fill="auto"/>
                  <w:vAlign w:val="center"/>
                </w:tcPr>
                <w:p w14:paraId="17C8B810">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ascii="Times New Roman" w:hAnsi="Times New Roman" w:eastAsia="宋体" w:cs="Times New Roman"/>
                      <w:i w:val="0"/>
                      <w:iCs w:val="0"/>
                      <w:color w:val="auto"/>
                      <w:kern w:val="0"/>
                      <w:sz w:val="21"/>
                      <w:szCs w:val="21"/>
                      <w:u w:val="none"/>
                      <w:lang w:val="en-US" w:eastAsia="zh-CN" w:bidi="ar"/>
                    </w:rPr>
                    <w:t>14</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254" w:type="pct"/>
                  <w:vMerge w:val="continue"/>
                  <w:tcBorders>
                    <w:tl2br w:val="nil"/>
                    <w:tr2bl w:val="nil"/>
                  </w:tcBorders>
                  <w:shd w:val="clear" w:color="auto" w:fill="auto"/>
                  <w:vAlign w:val="center"/>
                </w:tcPr>
                <w:p w14:paraId="771D6818">
                  <w:pPr>
                    <w:jc w:val="center"/>
                    <w:rPr>
                      <w:rFonts w:ascii="Times New Roman" w:hAnsi="Times New Roman" w:cs="Times New Roman"/>
                      <w:color w:val="auto"/>
                      <w:szCs w:val="21"/>
                      <w:highlight w:val="none"/>
                    </w:rPr>
                  </w:pPr>
                </w:p>
              </w:tc>
              <w:tc>
                <w:tcPr>
                  <w:tcW w:w="398" w:type="pct"/>
                  <w:tcBorders>
                    <w:tl2br w:val="nil"/>
                    <w:tr2bl w:val="nil"/>
                  </w:tcBorders>
                  <w:shd w:val="clear" w:color="auto" w:fill="auto"/>
                  <w:vAlign w:val="center"/>
                </w:tcPr>
                <w:p w14:paraId="3287AE67">
                  <w:pPr>
                    <w:keepNext w:val="0"/>
                    <w:keepLines w:val="0"/>
                    <w:widowControl/>
                    <w:suppressLineNumbers w:val="0"/>
                    <w:jc w:val="center"/>
                    <w:textAlignment w:val="center"/>
                    <w:rPr>
                      <w:rFonts w:ascii="Times New Roman" w:hAnsi="Times New Roman" w:cs="Times New Roman"/>
                      <w:color w:val="auto"/>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w:t>
                  </w:r>
                </w:p>
              </w:tc>
              <w:tc>
                <w:tcPr>
                  <w:tcW w:w="546" w:type="pct"/>
                  <w:vMerge w:val="continue"/>
                  <w:tcBorders>
                    <w:tl2br w:val="nil"/>
                    <w:tr2bl w:val="nil"/>
                  </w:tcBorders>
                  <w:shd w:val="clear" w:color="auto" w:fill="auto"/>
                  <w:vAlign w:val="center"/>
                </w:tcPr>
                <w:p w14:paraId="6AE78227">
                  <w:pPr>
                    <w:jc w:val="center"/>
                    <w:rPr>
                      <w:rFonts w:ascii="Times New Roman" w:hAnsi="Times New Roman" w:cs="Times New Roman"/>
                      <w:color w:val="auto"/>
                      <w:szCs w:val="21"/>
                      <w:highlight w:val="none"/>
                    </w:rPr>
                  </w:pPr>
                </w:p>
              </w:tc>
              <w:tc>
                <w:tcPr>
                  <w:tcW w:w="594" w:type="pct"/>
                  <w:tcBorders>
                    <w:tl2br w:val="nil"/>
                    <w:tr2bl w:val="nil"/>
                  </w:tcBorders>
                  <w:shd w:val="clear" w:color="auto" w:fill="auto"/>
                  <w:noWrap/>
                  <w:vAlign w:val="center"/>
                </w:tcPr>
                <w:p w14:paraId="1772E6C1">
                  <w:pPr>
                    <w:keepNext w:val="0"/>
                    <w:keepLines w:val="0"/>
                    <w:widowControl/>
                    <w:suppressLineNumbers w:val="0"/>
                    <w:jc w:val="center"/>
                    <w:textAlignment w:val="center"/>
                    <w:rPr>
                      <w:rFonts w:hint="default" w:ascii="Times New Roman" w:hAnsi="Times New Roman" w:cs="Times New Roman"/>
                      <w:color w:val="auto"/>
                      <w:spacing w:val="4"/>
                      <w:szCs w:val="21"/>
                      <w:highlight w:val="none"/>
                      <w:lang w:val="en-US"/>
                    </w:rPr>
                  </w:pPr>
                  <w:r>
                    <w:rPr>
                      <w:rFonts w:hint="eastAsia" w:ascii="Times New Roman" w:hAnsi="Times New Roman" w:eastAsia="宋体" w:cs="Times New Roman"/>
                      <w:i w:val="0"/>
                      <w:iCs w:val="0"/>
                      <w:color w:val="auto"/>
                      <w:kern w:val="0"/>
                      <w:sz w:val="21"/>
                      <w:szCs w:val="21"/>
                      <w:u w:val="none"/>
                      <w:lang w:val="en-US" w:eastAsia="zh-CN" w:bidi="ar"/>
                    </w:rPr>
                    <w:t>20</w:t>
                  </w:r>
                </w:p>
              </w:tc>
              <w:tc>
                <w:tcPr>
                  <w:tcW w:w="519" w:type="pct"/>
                  <w:tcBorders>
                    <w:tl2br w:val="nil"/>
                    <w:tr2bl w:val="nil"/>
                  </w:tcBorders>
                  <w:shd w:val="clear" w:color="auto" w:fill="auto"/>
                  <w:vAlign w:val="center"/>
                </w:tcPr>
                <w:p w14:paraId="235B6D41">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ascii="Times New Roman" w:hAnsi="Times New Roman" w:eastAsia="宋体" w:cs="Times New Roman"/>
                      <w:i w:val="0"/>
                      <w:iCs w:val="0"/>
                      <w:color w:val="auto"/>
                      <w:kern w:val="0"/>
                      <w:sz w:val="21"/>
                      <w:szCs w:val="21"/>
                      <w:u w:val="none"/>
                      <w:lang w:val="en-US" w:eastAsia="zh-CN" w:bidi="ar"/>
                    </w:rPr>
                    <w:t>14</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601" w:type="pct"/>
                  <w:tcBorders>
                    <w:tl2br w:val="nil"/>
                    <w:tr2bl w:val="nil"/>
                  </w:tcBorders>
                  <w:shd w:val="clear" w:color="auto" w:fill="auto"/>
                  <w:vAlign w:val="center"/>
                </w:tcPr>
                <w:p w14:paraId="4C18CD8B">
                  <w:pPr>
                    <w:jc w:val="center"/>
                    <w:rPr>
                      <w:rFonts w:ascii="Times New Roman" w:hAnsi="Times New Roman" w:cs="Times New Roman"/>
                      <w:color w:val="auto"/>
                      <w:spacing w:val="4"/>
                      <w:szCs w:val="21"/>
                      <w:highlight w:val="none"/>
                    </w:rPr>
                  </w:pPr>
                  <w:r>
                    <w:rPr>
                      <w:rFonts w:ascii="Times New Roman" w:hAnsi="Times New Roman" w:cs="Times New Roman"/>
                      <w:color w:val="auto"/>
                      <w:spacing w:val="4"/>
                      <w:szCs w:val="21"/>
                      <w:highlight w:val="none"/>
                    </w:rPr>
                    <w:t>45</w:t>
                  </w:r>
                </w:p>
              </w:tc>
            </w:tr>
            <w:tr w14:paraId="75B62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 w:type="pct"/>
                  <w:vMerge w:val="continue"/>
                  <w:tcBorders>
                    <w:tl2br w:val="nil"/>
                    <w:tr2bl w:val="nil"/>
                  </w:tcBorders>
                  <w:shd w:val="clear" w:color="auto" w:fill="auto"/>
                  <w:vAlign w:val="center"/>
                </w:tcPr>
                <w:p w14:paraId="66B2CAE8">
                  <w:pPr>
                    <w:jc w:val="center"/>
                    <w:rPr>
                      <w:rFonts w:ascii="Times New Roman" w:hAnsi="Times New Roman" w:cs="Times New Roman"/>
                      <w:color w:val="auto"/>
                      <w:szCs w:val="21"/>
                      <w:highlight w:val="none"/>
                    </w:rPr>
                  </w:pPr>
                </w:p>
              </w:tc>
              <w:tc>
                <w:tcPr>
                  <w:tcW w:w="349" w:type="pct"/>
                  <w:tcBorders>
                    <w:tl2br w:val="nil"/>
                    <w:tr2bl w:val="nil"/>
                  </w:tcBorders>
                  <w:shd w:val="clear" w:color="auto" w:fill="auto"/>
                  <w:vAlign w:val="center"/>
                </w:tcPr>
                <w:p w14:paraId="086A5A2B">
                  <w:pPr>
                    <w:widowControl/>
                    <w:jc w:val="center"/>
                    <w:textAlignment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TP</w:t>
                  </w:r>
                </w:p>
              </w:tc>
              <w:tc>
                <w:tcPr>
                  <w:tcW w:w="442" w:type="pct"/>
                  <w:vMerge w:val="continue"/>
                  <w:tcBorders>
                    <w:tl2br w:val="nil"/>
                    <w:tr2bl w:val="nil"/>
                  </w:tcBorders>
                  <w:shd w:val="clear" w:color="auto" w:fill="auto"/>
                  <w:vAlign w:val="center"/>
                </w:tcPr>
                <w:p w14:paraId="01C5E09C">
                  <w:pPr>
                    <w:jc w:val="center"/>
                    <w:rPr>
                      <w:rFonts w:ascii="Times New Roman" w:hAnsi="Times New Roman" w:cs="Times New Roman"/>
                      <w:color w:val="auto"/>
                      <w:szCs w:val="21"/>
                      <w:highlight w:val="none"/>
                    </w:rPr>
                  </w:pPr>
                </w:p>
              </w:tc>
              <w:tc>
                <w:tcPr>
                  <w:tcW w:w="541" w:type="pct"/>
                  <w:tcBorders>
                    <w:tl2br w:val="nil"/>
                    <w:tr2bl w:val="nil"/>
                  </w:tcBorders>
                  <w:shd w:val="clear" w:color="auto" w:fill="auto"/>
                  <w:vAlign w:val="center"/>
                </w:tcPr>
                <w:p w14:paraId="1085118B">
                  <w:pPr>
                    <w:widowControl/>
                    <w:jc w:val="center"/>
                    <w:textAlignment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w:t>
                  </w:r>
                </w:p>
              </w:tc>
              <w:tc>
                <w:tcPr>
                  <w:tcW w:w="555" w:type="pct"/>
                  <w:tcBorders>
                    <w:tl2br w:val="nil"/>
                    <w:tr2bl w:val="nil"/>
                  </w:tcBorders>
                  <w:shd w:val="clear" w:color="auto" w:fill="auto"/>
                  <w:vAlign w:val="center"/>
                </w:tcPr>
                <w:p w14:paraId="0EE8C2A1">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c>
                <w:tcPr>
                  <w:tcW w:w="254" w:type="pct"/>
                  <w:vMerge w:val="continue"/>
                  <w:tcBorders>
                    <w:tl2br w:val="nil"/>
                    <w:tr2bl w:val="nil"/>
                  </w:tcBorders>
                  <w:shd w:val="clear" w:color="auto" w:fill="auto"/>
                  <w:vAlign w:val="center"/>
                </w:tcPr>
                <w:p w14:paraId="64E618FF">
                  <w:pPr>
                    <w:jc w:val="center"/>
                    <w:rPr>
                      <w:rFonts w:ascii="Times New Roman" w:hAnsi="Times New Roman" w:cs="Times New Roman"/>
                      <w:color w:val="auto"/>
                      <w:szCs w:val="21"/>
                      <w:highlight w:val="none"/>
                    </w:rPr>
                  </w:pPr>
                </w:p>
              </w:tc>
              <w:tc>
                <w:tcPr>
                  <w:tcW w:w="398" w:type="pct"/>
                  <w:tcBorders>
                    <w:tl2br w:val="nil"/>
                    <w:tr2bl w:val="nil"/>
                  </w:tcBorders>
                  <w:shd w:val="clear" w:color="auto" w:fill="auto"/>
                  <w:vAlign w:val="center"/>
                </w:tcPr>
                <w:p w14:paraId="7D3A7095">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546" w:type="pct"/>
                  <w:vMerge w:val="continue"/>
                  <w:tcBorders>
                    <w:tl2br w:val="nil"/>
                    <w:tr2bl w:val="nil"/>
                  </w:tcBorders>
                  <w:shd w:val="clear" w:color="auto" w:fill="auto"/>
                  <w:vAlign w:val="center"/>
                </w:tcPr>
                <w:p w14:paraId="065F9F9E">
                  <w:pPr>
                    <w:jc w:val="center"/>
                    <w:rPr>
                      <w:rFonts w:ascii="Times New Roman" w:hAnsi="Times New Roman" w:cs="Times New Roman"/>
                      <w:color w:val="auto"/>
                      <w:szCs w:val="21"/>
                      <w:highlight w:val="none"/>
                    </w:rPr>
                  </w:pPr>
                </w:p>
              </w:tc>
              <w:tc>
                <w:tcPr>
                  <w:tcW w:w="594" w:type="pct"/>
                  <w:tcBorders>
                    <w:tl2br w:val="nil"/>
                    <w:tr2bl w:val="nil"/>
                  </w:tcBorders>
                  <w:shd w:val="clear" w:color="auto" w:fill="auto"/>
                  <w:noWrap/>
                  <w:vAlign w:val="center"/>
                </w:tcPr>
                <w:p w14:paraId="039218A9">
                  <w:pPr>
                    <w:keepNext w:val="0"/>
                    <w:keepLines w:val="0"/>
                    <w:widowControl/>
                    <w:suppressLineNumbers w:val="0"/>
                    <w:jc w:val="center"/>
                    <w:textAlignment w:val="center"/>
                    <w:rPr>
                      <w:rFonts w:ascii="Times New Roman" w:hAnsi="Times New Roman" w:cs="Times New Roman"/>
                      <w:color w:val="auto"/>
                      <w:spacing w:val="4"/>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519" w:type="pct"/>
                  <w:tcBorders>
                    <w:tl2br w:val="nil"/>
                    <w:tr2bl w:val="nil"/>
                  </w:tcBorders>
                  <w:shd w:val="clear" w:color="auto" w:fill="auto"/>
                  <w:vAlign w:val="center"/>
                </w:tcPr>
                <w:p w14:paraId="61BADA31">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c>
                <w:tcPr>
                  <w:tcW w:w="601" w:type="pct"/>
                  <w:tcBorders>
                    <w:tl2br w:val="nil"/>
                    <w:tr2bl w:val="nil"/>
                  </w:tcBorders>
                  <w:shd w:val="clear" w:color="auto" w:fill="auto"/>
                  <w:vAlign w:val="center"/>
                </w:tcPr>
                <w:p w14:paraId="5D07B727">
                  <w:pPr>
                    <w:jc w:val="center"/>
                    <w:rPr>
                      <w:rFonts w:ascii="Times New Roman" w:hAnsi="Times New Roman" w:cs="Times New Roman"/>
                      <w:color w:val="auto"/>
                      <w:spacing w:val="4"/>
                      <w:szCs w:val="21"/>
                      <w:highlight w:val="none"/>
                    </w:rPr>
                  </w:pPr>
                  <w:r>
                    <w:rPr>
                      <w:rFonts w:ascii="Times New Roman" w:hAnsi="Times New Roman" w:cs="Times New Roman"/>
                      <w:color w:val="auto"/>
                      <w:spacing w:val="4"/>
                      <w:szCs w:val="21"/>
                      <w:highlight w:val="none"/>
                    </w:rPr>
                    <w:t>8</w:t>
                  </w:r>
                </w:p>
              </w:tc>
            </w:tr>
          </w:tbl>
          <w:p w14:paraId="3F4C81D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w:t>
            </w:r>
            <w:r>
              <w:rPr>
                <w:rFonts w:hint="eastAsia" w:ascii="Times New Roman" w:hAnsi="Times New Roman" w:cs="Times New Roman"/>
                <w:b/>
                <w:color w:val="auto"/>
                <w:sz w:val="24"/>
                <w:szCs w:val="24"/>
                <w:highlight w:val="none"/>
                <w:lang w:val="en-US" w:eastAsia="zh-CN"/>
              </w:rPr>
              <w:t>三</w:t>
            </w:r>
            <w:r>
              <w:rPr>
                <w:rFonts w:hint="eastAsia" w:ascii="Times New Roman" w:hAnsi="Times New Roman" w:cs="Times New Roman"/>
                <w:b/>
                <w:color w:val="auto"/>
                <w:sz w:val="24"/>
                <w:szCs w:val="24"/>
                <w:highlight w:val="none"/>
              </w:rPr>
              <w:t>）监测要求</w:t>
            </w:r>
          </w:p>
          <w:p w14:paraId="25218085">
            <w:pPr>
              <w:spacing w:line="360" w:lineRule="auto"/>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学校</w:t>
            </w:r>
            <w:r>
              <w:rPr>
                <w:rFonts w:hint="eastAsia" w:ascii="Times New Roman" w:hAnsi="Times New Roman" w:cs="Times New Roman"/>
                <w:color w:val="auto"/>
                <w:sz w:val="24"/>
                <w:szCs w:val="24"/>
                <w:highlight w:val="none"/>
              </w:rPr>
              <w:t>各污染物的监测计划按《排污许可证申请与核发技术规范 总则》（HJ942-2018）、《排污单位自行监测技术指南 总则》（HJ819-2017）制定，建设单位应进行常规自行监测，监测项目及频次可按照下表或更为严格的要求执行。</w:t>
            </w:r>
          </w:p>
          <w:p w14:paraId="1AE94A4B">
            <w:pPr>
              <w:pStyle w:val="117"/>
              <w:bidi w:val="0"/>
              <w:rPr>
                <w:color w:val="auto"/>
              </w:rPr>
            </w:pPr>
            <w:r>
              <w:rPr>
                <w:rFonts w:hint="eastAsia"/>
                <w:color w:val="auto"/>
              </w:rPr>
              <w:t>本项目废水监测计划一览表</w:t>
            </w:r>
          </w:p>
          <w:tbl>
            <w:tblPr>
              <w:tblStyle w:val="4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50"/>
              <w:gridCol w:w="1943"/>
              <w:gridCol w:w="1229"/>
              <w:gridCol w:w="3791"/>
            </w:tblGrid>
            <w:tr w14:paraId="70205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tcBorders>
                    <w:tl2br w:val="nil"/>
                    <w:tr2bl w:val="nil"/>
                  </w:tcBorders>
                  <w:vAlign w:val="center"/>
                </w:tcPr>
                <w:p w14:paraId="76CF8731">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1150" w:type="dxa"/>
                  <w:tcBorders>
                    <w:tl2br w:val="nil"/>
                    <w:tr2bl w:val="nil"/>
                  </w:tcBorders>
                  <w:vAlign w:val="center"/>
                </w:tcPr>
                <w:p w14:paraId="3FE74653">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监测位置</w:t>
                  </w:r>
                </w:p>
              </w:tc>
              <w:tc>
                <w:tcPr>
                  <w:tcW w:w="1943" w:type="dxa"/>
                  <w:tcBorders>
                    <w:tl2br w:val="nil"/>
                    <w:tr2bl w:val="nil"/>
                  </w:tcBorders>
                  <w:vAlign w:val="center"/>
                </w:tcPr>
                <w:p w14:paraId="3D0C2FCB">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监测因子</w:t>
                  </w:r>
                </w:p>
              </w:tc>
              <w:tc>
                <w:tcPr>
                  <w:tcW w:w="1229" w:type="dxa"/>
                  <w:tcBorders>
                    <w:tl2br w:val="nil"/>
                    <w:tr2bl w:val="nil"/>
                  </w:tcBorders>
                  <w:vAlign w:val="center"/>
                </w:tcPr>
                <w:p w14:paraId="62A03602">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监测频次</w:t>
                  </w:r>
                </w:p>
              </w:tc>
              <w:tc>
                <w:tcPr>
                  <w:tcW w:w="3791" w:type="dxa"/>
                  <w:tcBorders>
                    <w:tl2br w:val="nil"/>
                    <w:tr2bl w:val="nil"/>
                  </w:tcBorders>
                  <w:vAlign w:val="center"/>
                </w:tcPr>
                <w:p w14:paraId="4BACAB08">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执行标准</w:t>
                  </w:r>
                </w:p>
              </w:tc>
            </w:tr>
            <w:tr w14:paraId="4369E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tcBorders>
                    <w:tl2br w:val="nil"/>
                    <w:tr2bl w:val="nil"/>
                  </w:tcBorders>
                  <w:vAlign w:val="center"/>
                </w:tcPr>
                <w:p w14:paraId="344FD50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150" w:type="dxa"/>
                  <w:tcBorders>
                    <w:tl2br w:val="nil"/>
                    <w:tr2bl w:val="nil"/>
                  </w:tcBorders>
                  <w:vAlign w:val="center"/>
                </w:tcPr>
                <w:p w14:paraId="75E74A10">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污水总排口</w:t>
                  </w:r>
                </w:p>
              </w:tc>
              <w:tc>
                <w:tcPr>
                  <w:tcW w:w="1943" w:type="dxa"/>
                  <w:tcBorders>
                    <w:tl2br w:val="nil"/>
                    <w:tr2bl w:val="nil"/>
                  </w:tcBorders>
                  <w:vAlign w:val="center"/>
                </w:tcPr>
                <w:p w14:paraId="415BFB2F">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pH、COD、BOD</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lang w:val="en-US" w:eastAsia="zh-CN"/>
                    </w:rPr>
                    <w:t>、氨氮、TP、SS</w:t>
                  </w:r>
                </w:p>
              </w:tc>
              <w:tc>
                <w:tcPr>
                  <w:tcW w:w="1229" w:type="dxa"/>
                  <w:tcBorders>
                    <w:tl2br w:val="nil"/>
                    <w:tr2bl w:val="nil"/>
                  </w:tcBorders>
                  <w:vAlign w:val="center"/>
                </w:tcPr>
                <w:p w14:paraId="5A3CC898">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1次/年</w:t>
                  </w:r>
                </w:p>
              </w:tc>
              <w:tc>
                <w:tcPr>
                  <w:tcW w:w="3791" w:type="dxa"/>
                  <w:tcBorders>
                    <w:tl2br w:val="nil"/>
                    <w:tr2bl w:val="nil"/>
                  </w:tcBorders>
                  <w:vAlign w:val="center"/>
                </w:tcPr>
                <w:p w14:paraId="447706A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《污水综合排放标准》（GB8978-1996）三级标准</w:t>
                  </w:r>
                  <w:r>
                    <w:rPr>
                      <w:rFonts w:hint="default" w:ascii="Times New Roman" w:hAnsi="Times New Roman" w:cs="Times New Roman"/>
                      <w:color w:val="auto"/>
                      <w:sz w:val="21"/>
                      <w:szCs w:val="21"/>
                      <w:highlight w:val="none"/>
                    </w:rPr>
                    <w:t>，氨氮、总磷</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总氮达到</w:t>
                  </w:r>
                  <w:r>
                    <w:rPr>
                      <w:rFonts w:hint="default" w:ascii="Times New Roman" w:hAnsi="Times New Roman" w:cs="Times New Roman"/>
                      <w:color w:val="auto"/>
                      <w:sz w:val="21"/>
                      <w:szCs w:val="21"/>
                      <w:highlight w:val="none"/>
                    </w:rPr>
                    <w:t>《污水排入城镇下水道水质标准》（GB/T31962-2015）中B级限值</w:t>
                  </w:r>
                </w:p>
              </w:tc>
            </w:tr>
          </w:tbl>
          <w:p w14:paraId="597D957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w:t>
            </w:r>
            <w:r>
              <w:rPr>
                <w:rFonts w:hint="eastAsia" w:ascii="Times New Roman" w:hAnsi="Times New Roman" w:cs="Times New Roman"/>
                <w:b/>
                <w:color w:val="auto"/>
                <w:sz w:val="24"/>
                <w:szCs w:val="24"/>
                <w:highlight w:val="none"/>
                <w:lang w:val="en-US" w:eastAsia="zh-CN"/>
              </w:rPr>
              <w:t>四</w:t>
            </w:r>
            <w:r>
              <w:rPr>
                <w:rFonts w:hint="eastAsia" w:ascii="Times New Roman" w:hAnsi="Times New Roman" w:cs="Times New Roman"/>
                <w:b/>
                <w:color w:val="auto"/>
                <w:sz w:val="24"/>
                <w:szCs w:val="24"/>
                <w:highlight w:val="none"/>
              </w:rPr>
              <w:t>）废水环境影响评价结论</w:t>
            </w:r>
          </w:p>
          <w:p w14:paraId="7A781B5D">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本项目废水经</w:t>
            </w:r>
            <w:r>
              <w:rPr>
                <w:rFonts w:hint="eastAsia" w:ascii="Times New Roman" w:hAnsi="Times New Roman" w:cs="Times New Roman"/>
                <w:color w:val="auto"/>
                <w:sz w:val="24"/>
                <w:szCs w:val="24"/>
                <w:highlight w:val="none"/>
              </w:rPr>
              <w:t>污水处理站</w:t>
            </w:r>
            <w:r>
              <w:rPr>
                <w:rFonts w:ascii="Times New Roman" w:hAnsi="Times New Roman" w:cs="Times New Roman"/>
                <w:color w:val="auto"/>
                <w:sz w:val="24"/>
                <w:szCs w:val="24"/>
                <w:highlight w:val="none"/>
              </w:rPr>
              <w:t>处理后排入市政污水管网，再经</w:t>
            </w:r>
            <w:r>
              <w:rPr>
                <w:rFonts w:hint="eastAsia" w:ascii="Times New Roman" w:hAnsi="Times New Roman" w:cs="Times New Roman"/>
                <w:color w:val="auto"/>
                <w:sz w:val="24"/>
                <w:szCs w:val="24"/>
                <w:highlight w:val="none"/>
                <w:lang w:eastAsia="zh-CN"/>
              </w:rPr>
              <w:t>马尔康市城市生活污水处理厂</w:t>
            </w:r>
            <w:r>
              <w:rPr>
                <w:rFonts w:ascii="Times New Roman" w:hAnsi="Times New Roman" w:cs="Times New Roman"/>
                <w:bCs/>
                <w:color w:val="auto"/>
                <w:sz w:val="24"/>
                <w:szCs w:val="24"/>
                <w:highlight w:val="none"/>
              </w:rPr>
              <w:t>处理</w:t>
            </w:r>
            <w:r>
              <w:rPr>
                <w:rFonts w:hint="eastAsia" w:ascii="Times New Roman" w:hAnsi="Times New Roman" w:cs="Times New Roman"/>
                <w:bCs/>
                <w:color w:val="auto"/>
                <w:sz w:val="24"/>
                <w:szCs w:val="24"/>
                <w:highlight w:val="none"/>
              </w:rPr>
              <w:t>达到</w:t>
            </w:r>
            <w:r>
              <w:rPr>
                <w:rFonts w:hint="default" w:ascii="Times New Roman" w:hAnsi="Times New Roman" w:eastAsia="宋体" w:cs="Times New Roman"/>
                <w:color w:val="auto"/>
                <w:sz w:val="24"/>
                <w:szCs w:val="24"/>
                <w:highlight w:val="none"/>
                <w:lang w:val="en-US" w:eastAsia="zh-CN"/>
              </w:rPr>
              <w:t>《城镇污水处理厂污染物排放标准》（GB18918-2002）一级A标准</w:t>
            </w:r>
            <w:r>
              <w:rPr>
                <w:rFonts w:ascii="Times New Roman" w:hAnsi="Times New Roman" w:cs="Times New Roman"/>
                <w:bCs/>
                <w:color w:val="auto"/>
                <w:sz w:val="24"/>
                <w:szCs w:val="24"/>
                <w:highlight w:val="none"/>
              </w:rPr>
              <w:t>浓度限值后排入</w:t>
            </w:r>
            <w:r>
              <w:rPr>
                <w:rFonts w:hint="eastAsia" w:ascii="Times New Roman" w:hAnsi="Times New Roman" w:cs="Times New Roman"/>
                <w:bCs/>
                <w:color w:val="auto"/>
                <w:sz w:val="24"/>
                <w:szCs w:val="24"/>
                <w:highlight w:val="none"/>
                <w:lang w:val="en-US" w:eastAsia="zh-CN"/>
              </w:rPr>
              <w:t>梭磨河</w:t>
            </w:r>
            <w:r>
              <w:rPr>
                <w:rFonts w:hint="eastAsia" w:ascii="Times New Roman" w:hAnsi="Times New Roman" w:cs="Times New Roman"/>
                <w:color w:val="auto"/>
                <w:sz w:val="24"/>
                <w:szCs w:val="24"/>
                <w:highlight w:val="none"/>
              </w:rPr>
              <w:t>，可实现达标排放，治理措施可行，不会对区域地表水环境造成明显不利影响。</w:t>
            </w:r>
          </w:p>
          <w:p w14:paraId="7E493199">
            <w:pPr>
              <w:spacing w:line="360" w:lineRule="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三、</w:t>
            </w:r>
            <w:r>
              <w:rPr>
                <w:rFonts w:hint="default" w:ascii="Times New Roman" w:hAnsi="Times New Roman" w:cs="Times New Roman"/>
                <w:b/>
                <w:color w:val="auto"/>
                <w:sz w:val="24"/>
                <w:szCs w:val="24"/>
                <w:highlight w:val="none"/>
              </w:rPr>
              <w:t>运营期声环境影响和保护措施</w:t>
            </w:r>
          </w:p>
          <w:p w14:paraId="1F178AD6">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噪声源强及治理措施</w:t>
            </w:r>
          </w:p>
          <w:p w14:paraId="7A3BEAFE">
            <w:pPr>
              <w:spacing w:line="360" w:lineRule="auto"/>
              <w:ind w:firstLine="480" w:firstLineChars="200"/>
              <w:rPr>
                <w:color w:val="auto"/>
                <w:highlight w:val="none"/>
              </w:rPr>
            </w:pPr>
            <w:r>
              <w:rPr>
                <w:rFonts w:hint="default" w:ascii="Times New Roman" w:hAnsi="Times New Roman" w:cs="Times New Roman"/>
                <w:color w:val="auto"/>
                <w:sz w:val="24"/>
                <w:szCs w:val="24"/>
                <w:highlight w:val="none"/>
              </w:rPr>
              <w:t>本项目营运期噪声主要</w:t>
            </w:r>
            <w:r>
              <w:rPr>
                <w:rFonts w:hint="default" w:ascii="Times New Roman" w:hAnsi="Times New Roman" w:cs="Times New Roman"/>
                <w:color w:val="auto"/>
                <w:sz w:val="24"/>
                <w:szCs w:val="24"/>
                <w:highlight w:val="none"/>
                <w:lang w:val="en-US" w:eastAsia="zh-CN"/>
              </w:rPr>
              <w:t>是设备噪声和学生活动噪声。</w:t>
            </w:r>
            <w:r>
              <w:rPr>
                <w:rFonts w:hint="default" w:ascii="Times New Roman" w:hAnsi="Times New Roman" w:cs="Times New Roman"/>
                <w:color w:val="auto"/>
                <w:sz w:val="24"/>
              </w:rPr>
              <w:t>风机设备运行噪声等级为75~85dB（A），学生社会活动噪声等级在50~70dB（A）。</w:t>
            </w:r>
          </w:p>
          <w:p w14:paraId="5190BEC2">
            <w:pPr>
              <w:pStyle w:val="117"/>
              <w:bidi w:val="0"/>
              <w:rPr>
                <w:color w:val="auto"/>
              </w:rPr>
            </w:pPr>
            <w:r>
              <w:rPr>
                <w:rFonts w:hint="eastAsia"/>
                <w:color w:val="auto"/>
              </w:rPr>
              <w:t>项目噪声源情况及治理措施一览表</w:t>
            </w:r>
          </w:p>
          <w:tbl>
            <w:tblPr>
              <w:tblStyle w:val="40"/>
              <w:tblW w:w="498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210"/>
              <w:gridCol w:w="647"/>
              <w:gridCol w:w="776"/>
              <w:gridCol w:w="841"/>
              <w:gridCol w:w="2424"/>
              <w:gridCol w:w="1087"/>
              <w:gridCol w:w="915"/>
            </w:tblGrid>
            <w:tr w14:paraId="413B5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restart"/>
                  <w:tcBorders>
                    <w:tl2br w:val="nil"/>
                    <w:tr2bl w:val="nil"/>
                  </w:tcBorders>
                  <w:vAlign w:val="center"/>
                </w:tcPr>
                <w:p w14:paraId="79D18E7F">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设备</w:t>
                  </w:r>
                </w:p>
                <w:p w14:paraId="1AD5FF1F">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名称</w:t>
                  </w:r>
                </w:p>
              </w:tc>
              <w:tc>
                <w:tcPr>
                  <w:tcW w:w="688" w:type="pct"/>
                  <w:vMerge w:val="restart"/>
                  <w:tcBorders>
                    <w:tl2br w:val="nil"/>
                    <w:tr2bl w:val="nil"/>
                  </w:tcBorders>
                  <w:vAlign w:val="center"/>
                </w:tcPr>
                <w:p w14:paraId="6F486B45">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位置</w:t>
                  </w:r>
                </w:p>
              </w:tc>
              <w:tc>
                <w:tcPr>
                  <w:tcW w:w="368" w:type="pct"/>
                  <w:vMerge w:val="restart"/>
                  <w:tcBorders>
                    <w:tl2br w:val="nil"/>
                    <w:tr2bl w:val="nil"/>
                  </w:tcBorders>
                  <w:vAlign w:val="center"/>
                </w:tcPr>
                <w:p w14:paraId="6A92B3AE">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声源</w:t>
                  </w:r>
                </w:p>
                <w:p w14:paraId="00925CF5">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类型</w:t>
                  </w:r>
                </w:p>
              </w:tc>
              <w:tc>
                <w:tcPr>
                  <w:tcW w:w="919" w:type="pct"/>
                  <w:gridSpan w:val="2"/>
                  <w:tcBorders>
                    <w:tl2br w:val="nil"/>
                    <w:tr2bl w:val="nil"/>
                  </w:tcBorders>
                  <w:vAlign w:val="center"/>
                </w:tcPr>
                <w:p w14:paraId="53F551C9">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噪声源强</w:t>
                  </w:r>
                </w:p>
              </w:tc>
              <w:tc>
                <w:tcPr>
                  <w:tcW w:w="1996" w:type="pct"/>
                  <w:gridSpan w:val="2"/>
                  <w:tcBorders>
                    <w:tl2br w:val="nil"/>
                    <w:tr2bl w:val="nil"/>
                  </w:tcBorders>
                  <w:vAlign w:val="center"/>
                </w:tcPr>
                <w:p w14:paraId="35206C31">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降噪措施</w:t>
                  </w:r>
                </w:p>
              </w:tc>
              <w:tc>
                <w:tcPr>
                  <w:tcW w:w="520" w:type="pct"/>
                  <w:vMerge w:val="restart"/>
                  <w:tcBorders>
                    <w:tl2br w:val="nil"/>
                    <w:tr2bl w:val="nil"/>
                  </w:tcBorders>
                  <w:vAlign w:val="center"/>
                </w:tcPr>
                <w:p w14:paraId="1D5556A1">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处理后噪声值（dB）</w:t>
                  </w:r>
                </w:p>
              </w:tc>
            </w:tr>
            <w:tr w14:paraId="1FB0A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06" w:type="pct"/>
                  <w:vMerge w:val="continue"/>
                  <w:tcBorders>
                    <w:tl2br w:val="nil"/>
                    <w:tr2bl w:val="nil"/>
                  </w:tcBorders>
                  <w:vAlign w:val="center"/>
                </w:tcPr>
                <w:p w14:paraId="19CB97B8">
                  <w:pPr>
                    <w:jc w:val="center"/>
                    <w:rPr>
                      <w:rFonts w:ascii="Times New Roman" w:hAnsi="Times New Roman" w:cs="Times New Roman"/>
                      <w:b/>
                      <w:bCs/>
                      <w:color w:val="auto"/>
                      <w:szCs w:val="21"/>
                      <w:highlight w:val="none"/>
                    </w:rPr>
                  </w:pPr>
                </w:p>
              </w:tc>
              <w:tc>
                <w:tcPr>
                  <w:tcW w:w="688" w:type="pct"/>
                  <w:vMerge w:val="continue"/>
                  <w:tcBorders>
                    <w:tl2br w:val="nil"/>
                    <w:tr2bl w:val="nil"/>
                  </w:tcBorders>
                  <w:vAlign w:val="center"/>
                </w:tcPr>
                <w:p w14:paraId="091F6202">
                  <w:pPr>
                    <w:jc w:val="center"/>
                    <w:rPr>
                      <w:rFonts w:ascii="Times New Roman" w:hAnsi="Times New Roman" w:cs="Times New Roman"/>
                      <w:b/>
                      <w:bCs/>
                      <w:color w:val="auto"/>
                      <w:szCs w:val="21"/>
                      <w:highlight w:val="none"/>
                    </w:rPr>
                  </w:pPr>
                </w:p>
              </w:tc>
              <w:tc>
                <w:tcPr>
                  <w:tcW w:w="368" w:type="pct"/>
                  <w:vMerge w:val="continue"/>
                  <w:tcBorders>
                    <w:tl2br w:val="nil"/>
                    <w:tr2bl w:val="nil"/>
                  </w:tcBorders>
                  <w:vAlign w:val="center"/>
                </w:tcPr>
                <w:p w14:paraId="302F26AF">
                  <w:pPr>
                    <w:jc w:val="center"/>
                    <w:rPr>
                      <w:rFonts w:ascii="Times New Roman" w:hAnsi="Times New Roman" w:cs="Times New Roman"/>
                      <w:b/>
                      <w:bCs/>
                      <w:color w:val="auto"/>
                      <w:szCs w:val="21"/>
                      <w:highlight w:val="none"/>
                    </w:rPr>
                  </w:pPr>
                </w:p>
              </w:tc>
              <w:tc>
                <w:tcPr>
                  <w:tcW w:w="441" w:type="pct"/>
                  <w:tcBorders>
                    <w:tl2br w:val="nil"/>
                    <w:tr2bl w:val="nil"/>
                  </w:tcBorders>
                  <w:vAlign w:val="center"/>
                </w:tcPr>
                <w:p w14:paraId="20950134">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核算</w:t>
                  </w:r>
                </w:p>
                <w:p w14:paraId="347E3B0E">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方法</w:t>
                  </w:r>
                </w:p>
              </w:tc>
              <w:tc>
                <w:tcPr>
                  <w:tcW w:w="477" w:type="pct"/>
                  <w:tcBorders>
                    <w:tl2br w:val="nil"/>
                    <w:tr2bl w:val="nil"/>
                  </w:tcBorders>
                  <w:vAlign w:val="center"/>
                </w:tcPr>
                <w:p w14:paraId="488CAA0E">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声源</w:t>
                  </w:r>
                </w:p>
                <w:p w14:paraId="5AA93796">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强度dB(A)</w:t>
                  </w:r>
                </w:p>
              </w:tc>
              <w:tc>
                <w:tcPr>
                  <w:tcW w:w="1378" w:type="pct"/>
                  <w:tcBorders>
                    <w:tl2br w:val="nil"/>
                    <w:tr2bl w:val="nil"/>
                  </w:tcBorders>
                  <w:vAlign w:val="center"/>
                </w:tcPr>
                <w:p w14:paraId="118BAB87">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措施</w:t>
                  </w:r>
                </w:p>
              </w:tc>
              <w:tc>
                <w:tcPr>
                  <w:tcW w:w="617" w:type="pct"/>
                  <w:tcBorders>
                    <w:tl2br w:val="nil"/>
                    <w:tr2bl w:val="nil"/>
                  </w:tcBorders>
                  <w:vAlign w:val="center"/>
                </w:tcPr>
                <w:p w14:paraId="1FDD304C">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降噪效果dB(A)</w:t>
                  </w:r>
                </w:p>
              </w:tc>
              <w:tc>
                <w:tcPr>
                  <w:tcW w:w="520" w:type="pct"/>
                  <w:vMerge w:val="continue"/>
                  <w:tcBorders>
                    <w:tl2br w:val="nil"/>
                    <w:tr2bl w:val="nil"/>
                  </w:tcBorders>
                  <w:vAlign w:val="center"/>
                </w:tcPr>
                <w:p w14:paraId="1CD7E3A6">
                  <w:pPr>
                    <w:jc w:val="center"/>
                    <w:rPr>
                      <w:rFonts w:ascii="Times New Roman" w:hAnsi="Times New Roman" w:cs="Times New Roman"/>
                      <w:b/>
                      <w:bCs/>
                      <w:color w:val="auto"/>
                      <w:szCs w:val="21"/>
                      <w:highlight w:val="none"/>
                    </w:rPr>
                  </w:pPr>
                </w:p>
              </w:tc>
            </w:tr>
            <w:tr w14:paraId="63BCF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tcBorders>
                    <w:tl2br w:val="nil"/>
                    <w:tr2bl w:val="nil"/>
                  </w:tcBorders>
                  <w:vAlign w:val="center"/>
                </w:tcPr>
                <w:p w14:paraId="7DD78AF7">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通风设备</w:t>
                  </w:r>
                </w:p>
              </w:tc>
              <w:tc>
                <w:tcPr>
                  <w:tcW w:w="688" w:type="pct"/>
                  <w:tcBorders>
                    <w:tl2br w:val="nil"/>
                    <w:tr2bl w:val="nil"/>
                  </w:tcBorders>
                  <w:vAlign w:val="center"/>
                </w:tcPr>
                <w:p w14:paraId="32784BB2">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w:t>
                  </w:r>
                </w:p>
              </w:tc>
              <w:tc>
                <w:tcPr>
                  <w:tcW w:w="368" w:type="pct"/>
                  <w:tcBorders>
                    <w:tl2br w:val="nil"/>
                    <w:tr2bl w:val="nil"/>
                  </w:tcBorders>
                  <w:vAlign w:val="center"/>
                </w:tcPr>
                <w:p w14:paraId="0AEBCBE3">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频发</w:t>
                  </w:r>
                </w:p>
              </w:tc>
              <w:tc>
                <w:tcPr>
                  <w:tcW w:w="441" w:type="pct"/>
                  <w:tcBorders>
                    <w:tl2br w:val="nil"/>
                    <w:tr2bl w:val="nil"/>
                  </w:tcBorders>
                  <w:vAlign w:val="center"/>
                </w:tcPr>
                <w:p w14:paraId="18FA588A">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类比法</w:t>
                  </w:r>
                </w:p>
              </w:tc>
              <w:tc>
                <w:tcPr>
                  <w:tcW w:w="477" w:type="pct"/>
                  <w:tcBorders>
                    <w:tl2br w:val="nil"/>
                    <w:tr2bl w:val="nil"/>
                  </w:tcBorders>
                  <w:vAlign w:val="center"/>
                </w:tcPr>
                <w:p w14:paraId="11B554E3">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70</w:t>
                  </w:r>
                </w:p>
              </w:tc>
              <w:tc>
                <w:tcPr>
                  <w:tcW w:w="1378" w:type="pct"/>
                  <w:tcBorders>
                    <w:tl2br w:val="nil"/>
                    <w:tr2bl w:val="nil"/>
                  </w:tcBorders>
                  <w:vAlign w:val="center"/>
                </w:tcPr>
                <w:p w14:paraId="43404F67">
                  <w:pPr>
                    <w:pStyle w:val="22"/>
                    <w:ind w:left="-105" w:leftChars="-50" w:right="-105" w:rightChars="-50"/>
                    <w:jc w:val="center"/>
                    <w:rPr>
                      <w:rFonts w:ascii="Times New Roman" w:hAnsi="Times New Roman" w:eastAsiaTheme="minorEastAsia"/>
                      <w:color w:val="auto"/>
                      <w:highlight w:val="none"/>
                      <w:vertAlign w:val="baseline"/>
                    </w:rPr>
                  </w:pPr>
                  <w:r>
                    <w:rPr>
                      <w:rFonts w:ascii="Times New Roman" w:hAnsi="Times New Roman" w:eastAsiaTheme="minorEastAsia"/>
                      <w:color w:val="auto"/>
                      <w:highlight w:val="none"/>
                      <w:vertAlign w:val="baseline"/>
                    </w:rPr>
                    <w:t>选用低噪声设备，墙体隔声</w:t>
                  </w:r>
                </w:p>
              </w:tc>
              <w:tc>
                <w:tcPr>
                  <w:tcW w:w="617" w:type="pct"/>
                  <w:tcBorders>
                    <w:tl2br w:val="nil"/>
                    <w:tr2bl w:val="nil"/>
                  </w:tcBorders>
                  <w:vAlign w:val="center"/>
                </w:tcPr>
                <w:p w14:paraId="3BF1D9E4">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w:t>
                  </w:r>
                </w:p>
              </w:tc>
              <w:tc>
                <w:tcPr>
                  <w:tcW w:w="520" w:type="pct"/>
                  <w:tcBorders>
                    <w:tl2br w:val="nil"/>
                    <w:tr2bl w:val="nil"/>
                  </w:tcBorders>
                  <w:vAlign w:val="center"/>
                </w:tcPr>
                <w:p w14:paraId="50832EED">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60</w:t>
                  </w:r>
                </w:p>
              </w:tc>
            </w:tr>
            <w:tr w14:paraId="36A2A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tcBorders>
                    <w:tl2br w:val="nil"/>
                    <w:tr2bl w:val="nil"/>
                  </w:tcBorders>
                  <w:vAlign w:val="center"/>
                </w:tcPr>
                <w:p w14:paraId="3AC2095E">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各类设备</w:t>
                  </w:r>
                </w:p>
              </w:tc>
              <w:tc>
                <w:tcPr>
                  <w:tcW w:w="688" w:type="pct"/>
                  <w:tcBorders>
                    <w:tl2br w:val="nil"/>
                    <w:tr2bl w:val="nil"/>
                  </w:tcBorders>
                  <w:vAlign w:val="center"/>
                </w:tcPr>
                <w:p w14:paraId="5B1E3D02">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实验楼</w:t>
                  </w:r>
                  <w:r>
                    <w:rPr>
                      <w:rFonts w:ascii="Times New Roman" w:hAnsi="Times New Roman" w:cs="Times New Roman"/>
                      <w:color w:val="auto"/>
                      <w:szCs w:val="21"/>
                      <w:highlight w:val="none"/>
                    </w:rPr>
                    <w:t>室内</w:t>
                  </w:r>
                </w:p>
              </w:tc>
              <w:tc>
                <w:tcPr>
                  <w:tcW w:w="368" w:type="pct"/>
                  <w:tcBorders>
                    <w:tl2br w:val="nil"/>
                    <w:tr2bl w:val="nil"/>
                  </w:tcBorders>
                  <w:vAlign w:val="center"/>
                </w:tcPr>
                <w:p w14:paraId="6B97517F">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频发</w:t>
                  </w:r>
                </w:p>
              </w:tc>
              <w:tc>
                <w:tcPr>
                  <w:tcW w:w="441" w:type="pct"/>
                  <w:tcBorders>
                    <w:tl2br w:val="nil"/>
                    <w:tr2bl w:val="nil"/>
                  </w:tcBorders>
                  <w:vAlign w:val="center"/>
                </w:tcPr>
                <w:p w14:paraId="594CB174">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类比法</w:t>
                  </w:r>
                </w:p>
              </w:tc>
              <w:tc>
                <w:tcPr>
                  <w:tcW w:w="477" w:type="pct"/>
                  <w:tcBorders>
                    <w:tl2br w:val="nil"/>
                    <w:tr2bl w:val="nil"/>
                  </w:tcBorders>
                  <w:vAlign w:val="center"/>
                </w:tcPr>
                <w:p w14:paraId="32769C31">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rPr>
                    <w:t>40~</w:t>
                  </w:r>
                  <w:r>
                    <w:rPr>
                      <w:rFonts w:hint="eastAsia" w:ascii="Times New Roman" w:hAnsi="Times New Roman" w:cs="Times New Roman"/>
                      <w:color w:val="auto"/>
                      <w:szCs w:val="21"/>
                      <w:highlight w:val="none"/>
                      <w:lang w:val="en-US" w:eastAsia="zh-CN"/>
                    </w:rPr>
                    <w:t>65</w:t>
                  </w:r>
                </w:p>
              </w:tc>
              <w:tc>
                <w:tcPr>
                  <w:tcW w:w="1378" w:type="pct"/>
                  <w:tcBorders>
                    <w:tl2br w:val="nil"/>
                    <w:tr2bl w:val="nil"/>
                  </w:tcBorders>
                  <w:vAlign w:val="center"/>
                </w:tcPr>
                <w:p w14:paraId="53EFC32F">
                  <w:pPr>
                    <w:pStyle w:val="22"/>
                    <w:ind w:left="-105" w:leftChars="-50" w:right="-105" w:rightChars="-50"/>
                    <w:jc w:val="center"/>
                    <w:rPr>
                      <w:rFonts w:ascii="Times New Roman" w:hAnsi="Times New Roman" w:eastAsiaTheme="minorEastAsia"/>
                      <w:color w:val="auto"/>
                      <w:highlight w:val="none"/>
                      <w:vertAlign w:val="baseline"/>
                    </w:rPr>
                  </w:pPr>
                  <w:r>
                    <w:rPr>
                      <w:rFonts w:ascii="Times New Roman" w:hAnsi="Times New Roman" w:eastAsiaTheme="minorEastAsia"/>
                      <w:color w:val="auto"/>
                      <w:highlight w:val="none"/>
                      <w:vertAlign w:val="baseline"/>
                    </w:rPr>
                    <w:t>选用低噪声设备，墙体隔声</w:t>
                  </w:r>
                </w:p>
              </w:tc>
              <w:tc>
                <w:tcPr>
                  <w:tcW w:w="617" w:type="pct"/>
                  <w:tcBorders>
                    <w:tl2br w:val="nil"/>
                    <w:tr2bl w:val="nil"/>
                  </w:tcBorders>
                  <w:vAlign w:val="center"/>
                </w:tcPr>
                <w:p w14:paraId="4C5A6DEE">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10</w:t>
                  </w:r>
                </w:p>
              </w:tc>
              <w:tc>
                <w:tcPr>
                  <w:tcW w:w="520" w:type="pct"/>
                  <w:tcBorders>
                    <w:tl2br w:val="nil"/>
                    <w:tr2bl w:val="nil"/>
                  </w:tcBorders>
                  <w:vAlign w:val="center"/>
                </w:tcPr>
                <w:p w14:paraId="055EF8D2">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rPr>
                    <w:t>30~</w:t>
                  </w:r>
                  <w:r>
                    <w:rPr>
                      <w:rFonts w:hint="eastAsia" w:ascii="Times New Roman" w:hAnsi="Times New Roman" w:cs="Times New Roman"/>
                      <w:color w:val="auto"/>
                      <w:szCs w:val="21"/>
                      <w:highlight w:val="none"/>
                      <w:lang w:val="en-US" w:eastAsia="zh-CN"/>
                    </w:rPr>
                    <w:t>55</w:t>
                  </w:r>
                </w:p>
              </w:tc>
            </w:tr>
            <w:tr w14:paraId="3FAF7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tcBorders>
                    <w:tl2br w:val="nil"/>
                    <w:tr2bl w:val="nil"/>
                  </w:tcBorders>
                  <w:vAlign w:val="center"/>
                </w:tcPr>
                <w:p w14:paraId="4650DC4F">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社会生活噪声</w:t>
                  </w:r>
                </w:p>
              </w:tc>
              <w:tc>
                <w:tcPr>
                  <w:tcW w:w="688" w:type="pct"/>
                  <w:tcBorders>
                    <w:tl2br w:val="nil"/>
                    <w:tr2bl w:val="nil"/>
                  </w:tcBorders>
                  <w:vAlign w:val="center"/>
                </w:tcPr>
                <w:p w14:paraId="214CAB16">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学校</w:t>
                  </w:r>
                  <w:r>
                    <w:rPr>
                      <w:rFonts w:ascii="Times New Roman" w:hAnsi="Times New Roman" w:cs="Times New Roman"/>
                      <w:color w:val="auto"/>
                      <w:szCs w:val="21"/>
                      <w:highlight w:val="none"/>
                    </w:rPr>
                    <w:t>室内外</w:t>
                  </w:r>
                </w:p>
              </w:tc>
              <w:tc>
                <w:tcPr>
                  <w:tcW w:w="368" w:type="pct"/>
                  <w:tcBorders>
                    <w:tl2br w:val="nil"/>
                    <w:tr2bl w:val="nil"/>
                  </w:tcBorders>
                  <w:vAlign w:val="center"/>
                </w:tcPr>
                <w:p w14:paraId="45D08916">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频发</w:t>
                  </w:r>
                </w:p>
              </w:tc>
              <w:tc>
                <w:tcPr>
                  <w:tcW w:w="441" w:type="pct"/>
                  <w:tcBorders>
                    <w:tl2br w:val="nil"/>
                    <w:tr2bl w:val="nil"/>
                  </w:tcBorders>
                  <w:vAlign w:val="center"/>
                </w:tcPr>
                <w:p w14:paraId="65DFB41F">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类比法</w:t>
                  </w:r>
                </w:p>
              </w:tc>
              <w:tc>
                <w:tcPr>
                  <w:tcW w:w="477" w:type="pct"/>
                  <w:tcBorders>
                    <w:tl2br w:val="nil"/>
                    <w:tr2bl w:val="nil"/>
                  </w:tcBorders>
                  <w:vAlign w:val="center"/>
                </w:tcPr>
                <w:p w14:paraId="5FE16B1C">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rPr>
                    <w:t>50~</w:t>
                  </w:r>
                  <w:r>
                    <w:rPr>
                      <w:rFonts w:hint="eastAsia" w:ascii="Times New Roman" w:hAnsi="Times New Roman" w:cs="Times New Roman"/>
                      <w:color w:val="auto"/>
                      <w:szCs w:val="21"/>
                      <w:highlight w:val="none"/>
                      <w:lang w:val="en-US" w:eastAsia="zh-CN"/>
                    </w:rPr>
                    <w:t>70</w:t>
                  </w:r>
                </w:p>
              </w:tc>
              <w:tc>
                <w:tcPr>
                  <w:tcW w:w="1378" w:type="pct"/>
                  <w:tcBorders>
                    <w:tl2br w:val="nil"/>
                    <w:tr2bl w:val="nil"/>
                  </w:tcBorders>
                  <w:vAlign w:val="center"/>
                </w:tcPr>
                <w:p w14:paraId="48A8BD7E">
                  <w:pPr>
                    <w:pStyle w:val="22"/>
                    <w:ind w:left="-105" w:leftChars="-50" w:right="-105" w:rightChars="-50"/>
                    <w:jc w:val="center"/>
                    <w:rPr>
                      <w:rFonts w:ascii="Times New Roman" w:hAnsi="Times New Roman" w:eastAsiaTheme="minorEastAsia"/>
                      <w:color w:val="auto"/>
                      <w:highlight w:val="none"/>
                      <w:vertAlign w:val="baseline"/>
                    </w:rPr>
                  </w:pPr>
                  <w:r>
                    <w:rPr>
                      <w:rFonts w:ascii="Times New Roman" w:hAnsi="Times New Roman" w:eastAsiaTheme="minorEastAsia"/>
                      <w:color w:val="auto"/>
                      <w:highlight w:val="none"/>
                      <w:vertAlign w:val="baseline"/>
                    </w:rPr>
                    <w:t>加强</w:t>
                  </w:r>
                  <w:r>
                    <w:rPr>
                      <w:rFonts w:hint="eastAsia" w:ascii="Times New Roman" w:hAnsi="Times New Roman" w:eastAsiaTheme="minorEastAsia"/>
                      <w:color w:val="auto"/>
                      <w:highlight w:val="none"/>
                      <w:vertAlign w:val="baseline"/>
                      <w:lang w:val="en-US" w:eastAsia="zh-CN"/>
                    </w:rPr>
                    <w:t>校内</w:t>
                  </w:r>
                  <w:r>
                    <w:rPr>
                      <w:rFonts w:ascii="Times New Roman" w:hAnsi="Times New Roman" w:eastAsiaTheme="minorEastAsia"/>
                      <w:color w:val="auto"/>
                      <w:highlight w:val="none"/>
                      <w:vertAlign w:val="baseline"/>
                    </w:rPr>
                    <w:t>管理</w:t>
                  </w:r>
                </w:p>
              </w:tc>
              <w:tc>
                <w:tcPr>
                  <w:tcW w:w="617" w:type="pct"/>
                  <w:tcBorders>
                    <w:tl2br w:val="nil"/>
                    <w:tr2bl w:val="nil"/>
                  </w:tcBorders>
                  <w:vAlign w:val="center"/>
                </w:tcPr>
                <w:p w14:paraId="0EB3122E">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520" w:type="pct"/>
                  <w:tcBorders>
                    <w:tl2br w:val="nil"/>
                    <w:tr2bl w:val="nil"/>
                  </w:tcBorders>
                  <w:vAlign w:val="center"/>
                </w:tcPr>
                <w:p w14:paraId="3FAB30C9">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&lt;</w:t>
                  </w:r>
                  <w:r>
                    <w:rPr>
                      <w:rFonts w:hint="eastAsia" w:ascii="Times New Roman" w:hAnsi="Times New Roman" w:cs="Times New Roman"/>
                      <w:color w:val="auto"/>
                      <w:szCs w:val="21"/>
                      <w:highlight w:val="none"/>
                    </w:rPr>
                    <w:t>60</w:t>
                  </w:r>
                </w:p>
              </w:tc>
            </w:tr>
          </w:tbl>
          <w:p w14:paraId="42E50D3C">
            <w:pPr>
              <w:spacing w:line="360" w:lineRule="auto"/>
              <w:ind w:firstLine="480" w:firstLineChars="200"/>
              <w:rPr>
                <w:rFonts w:hint="eastAsia" w:ascii="Times New Roman" w:hAnsi="Times New Roman" w:cs="Times New Roman"/>
                <w:b w:val="0"/>
                <w:bCs w:val="0"/>
                <w:color w:val="auto"/>
                <w:sz w:val="24"/>
                <w:szCs w:val="24"/>
                <w:highlight w:val="none"/>
                <w:lang w:eastAsia="zh-CN"/>
              </w:rPr>
            </w:pPr>
            <w:r>
              <w:rPr>
                <w:rFonts w:hint="eastAsia" w:ascii="Times New Roman" w:hAnsi="Times New Roman" w:cs="Times New Roman"/>
                <w:color w:val="auto"/>
                <w:sz w:val="24"/>
                <w:szCs w:val="24"/>
                <w:highlight w:val="none"/>
              </w:rPr>
              <w:t>由上表可看出，本项目各类噪声在经过相应的降噪措施治理后能得到有效</w:t>
            </w:r>
            <w:r>
              <w:rPr>
                <w:rFonts w:hint="eastAsia" w:ascii="Times New Roman" w:hAnsi="Times New Roman" w:cs="Times New Roman"/>
                <w:color w:val="auto"/>
                <w:sz w:val="24"/>
                <w:szCs w:val="24"/>
                <w:highlight w:val="none"/>
                <w:lang w:eastAsia="zh-CN"/>
              </w:rPr>
              <w:t>地</w:t>
            </w:r>
            <w:r>
              <w:rPr>
                <w:rFonts w:hint="eastAsia" w:ascii="Times New Roman" w:hAnsi="Times New Roman" w:cs="Times New Roman"/>
                <w:color w:val="auto"/>
                <w:sz w:val="24"/>
                <w:szCs w:val="24"/>
                <w:highlight w:val="none"/>
              </w:rPr>
              <w:t>控制，本项目为</w:t>
            </w:r>
            <w:r>
              <w:rPr>
                <w:rFonts w:hint="eastAsia" w:ascii="Times New Roman" w:hAnsi="Times New Roman" w:cs="Times New Roman"/>
                <w:color w:val="auto"/>
                <w:sz w:val="24"/>
                <w:szCs w:val="24"/>
                <w:highlight w:val="none"/>
                <w:lang w:val="en-US" w:eastAsia="zh-CN"/>
              </w:rPr>
              <w:t>学校</w:t>
            </w:r>
            <w:r>
              <w:rPr>
                <w:rFonts w:hint="eastAsia" w:ascii="Times New Roman" w:hAnsi="Times New Roman" w:cs="Times New Roman"/>
                <w:color w:val="auto"/>
                <w:sz w:val="24"/>
                <w:szCs w:val="24"/>
                <w:highlight w:val="none"/>
              </w:rPr>
              <w:t>，</w:t>
            </w:r>
            <w:r>
              <w:rPr>
                <w:rFonts w:hint="eastAsia"/>
                <w:color w:val="auto"/>
                <w:sz w:val="24"/>
              </w:rPr>
              <w:t>学生活动噪声多集中在课间和校园广播，声源持续时间短暂，同时尽量降低广播音量，控制广播播放时段，对音源位置进行优化设计，减少对周边环境影响</w:t>
            </w:r>
            <w:r>
              <w:rPr>
                <w:rFonts w:hint="eastAsia"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rPr>
              <w:t>故本次评价以</w:t>
            </w:r>
            <w:r>
              <w:rPr>
                <w:rFonts w:hint="eastAsia" w:ascii="Times New Roman" w:hAnsi="Times New Roman" w:cs="Times New Roman"/>
                <w:b w:val="0"/>
                <w:bCs w:val="0"/>
                <w:color w:val="auto"/>
                <w:sz w:val="24"/>
                <w:szCs w:val="24"/>
                <w:highlight w:val="none"/>
                <w:lang w:val="en-US" w:eastAsia="zh-CN"/>
              </w:rPr>
              <w:t>实验楼新增设备和新增空调外机</w:t>
            </w:r>
            <w:r>
              <w:rPr>
                <w:rFonts w:hint="eastAsia" w:ascii="Times New Roman" w:hAnsi="Times New Roman" w:cs="Times New Roman"/>
                <w:b w:val="0"/>
                <w:bCs w:val="0"/>
                <w:color w:val="auto"/>
                <w:sz w:val="24"/>
                <w:szCs w:val="24"/>
                <w:highlight w:val="none"/>
              </w:rPr>
              <w:t>为重点进行噪声影响预测分析，其</w:t>
            </w:r>
            <w:r>
              <w:rPr>
                <w:rFonts w:ascii="Times New Roman" w:hAnsi="Times New Roman" w:cs="Times New Roman"/>
                <w:b w:val="0"/>
                <w:bCs w:val="0"/>
                <w:color w:val="auto"/>
                <w:sz w:val="24"/>
                <w:szCs w:val="24"/>
                <w:highlight w:val="none"/>
              </w:rPr>
              <w:t>噪声源强调查清单如下表所示。</w:t>
            </w:r>
          </w:p>
          <w:p w14:paraId="0FB8975C">
            <w:pPr>
              <w:spacing w:line="360" w:lineRule="auto"/>
              <w:ind w:firstLine="480"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项目新增室内声源主要为实验设备和空调外机。</w:t>
            </w:r>
          </w:p>
          <w:p w14:paraId="5F7CFB1B">
            <w:pPr>
              <w:spacing w:line="360" w:lineRule="auto"/>
              <w:ind w:firstLine="480" w:firstLineChars="200"/>
              <w:rPr>
                <w:rFonts w:hint="eastAsia" w:ascii="Times New Roman" w:hAnsi="Times New Roman" w:cs="Times New Roman"/>
                <w:b w:val="0"/>
                <w:bCs w:val="0"/>
                <w:color w:val="auto"/>
                <w:sz w:val="24"/>
                <w:szCs w:val="24"/>
                <w:highlight w:val="none"/>
                <w:lang w:val="en-US" w:eastAsia="zh-CN"/>
              </w:rPr>
            </w:pPr>
          </w:p>
          <w:p w14:paraId="21DE0291">
            <w:pPr>
              <w:spacing w:line="360" w:lineRule="auto"/>
              <w:ind w:firstLine="480" w:firstLineChars="200"/>
              <w:rPr>
                <w:rFonts w:hint="eastAsia" w:ascii="Times New Roman" w:hAnsi="Times New Roman" w:cs="Times New Roman"/>
                <w:b w:val="0"/>
                <w:bCs w:val="0"/>
                <w:color w:val="auto"/>
                <w:sz w:val="24"/>
                <w:szCs w:val="24"/>
                <w:highlight w:val="none"/>
                <w:lang w:val="en-US" w:eastAsia="zh-CN"/>
              </w:rPr>
            </w:pPr>
          </w:p>
          <w:p w14:paraId="3397D35B">
            <w:pPr>
              <w:pStyle w:val="117"/>
              <w:bidi w:val="0"/>
              <w:rPr>
                <w:color w:val="auto"/>
              </w:rPr>
            </w:pPr>
            <w:r>
              <w:rPr>
                <w:rFonts w:hint="eastAsia"/>
                <w:color w:val="auto"/>
              </w:rPr>
              <w:t>项目噪声源强调查清单</w:t>
            </w:r>
            <w:r>
              <w:rPr>
                <w:rFonts w:hint="eastAsia"/>
                <w:color w:val="auto"/>
                <w:lang w:eastAsia="zh-CN"/>
              </w:rPr>
              <w:t>（</w:t>
            </w:r>
            <w:r>
              <w:rPr>
                <w:rFonts w:hint="eastAsia"/>
                <w:color w:val="auto"/>
                <w:lang w:val="en-US" w:eastAsia="zh-CN"/>
              </w:rPr>
              <w:t>室内</w:t>
            </w:r>
            <w:r>
              <w:rPr>
                <w:rFonts w:hint="eastAsia"/>
                <w:color w:val="auto"/>
              </w:rPr>
              <w:t>声源</w:t>
            </w:r>
            <w:r>
              <w:rPr>
                <w:rFonts w:hint="eastAsia"/>
                <w:color w:val="auto"/>
                <w:lang w:eastAsia="zh-CN"/>
              </w:rPr>
              <w:t>）</w:t>
            </w:r>
            <w:r>
              <w:rPr>
                <w:color w:val="auto"/>
              </w:rPr>
              <w:t xml:space="preserve">    </w:t>
            </w:r>
            <w:r>
              <w:rPr>
                <w:rFonts w:hint="eastAsia"/>
                <w:color w:val="auto"/>
              </w:rPr>
              <w:t>单位：</w:t>
            </w:r>
            <w:r>
              <w:rPr>
                <w:color w:val="auto"/>
              </w:rPr>
              <w:t>dB</w:t>
            </w:r>
            <w:r>
              <w:rPr>
                <w:rFonts w:hint="eastAsia"/>
                <w:color w:val="auto"/>
              </w:rPr>
              <w:t>（</w:t>
            </w:r>
            <w:r>
              <w:rPr>
                <w:color w:val="auto"/>
              </w:rPr>
              <w:t>A</w:t>
            </w:r>
            <w:r>
              <w:rPr>
                <w:rFonts w:hint="eastAsia"/>
                <w:color w:val="auto"/>
              </w:rPr>
              <w:t>）</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1"/>
              <w:gridCol w:w="742"/>
              <w:gridCol w:w="808"/>
              <w:gridCol w:w="624"/>
              <w:gridCol w:w="624"/>
              <w:gridCol w:w="624"/>
              <w:gridCol w:w="631"/>
              <w:gridCol w:w="624"/>
              <w:gridCol w:w="668"/>
              <w:gridCol w:w="580"/>
              <w:gridCol w:w="809"/>
              <w:gridCol w:w="809"/>
              <w:gridCol w:w="645"/>
            </w:tblGrid>
            <w:tr w14:paraId="56902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tcBorders>
                    <w:tl2br w:val="nil"/>
                    <w:tr2bl w:val="nil"/>
                  </w:tcBorders>
                  <w:vAlign w:val="center"/>
                </w:tcPr>
                <w:p w14:paraId="7E4C686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b/>
                      <w:bCs/>
                      <w:color w:val="auto"/>
                      <w:kern w:val="0"/>
                      <w:sz w:val="18"/>
                      <w:szCs w:val="18"/>
                    </w:rPr>
                    <w:t>建筑物名称</w:t>
                  </w:r>
                </w:p>
              </w:tc>
              <w:tc>
                <w:tcPr>
                  <w:tcW w:w="422" w:type="pct"/>
                  <w:vMerge w:val="restart"/>
                  <w:tcBorders>
                    <w:tl2br w:val="nil"/>
                    <w:tr2bl w:val="nil"/>
                  </w:tcBorders>
                  <w:vAlign w:val="center"/>
                </w:tcPr>
                <w:p w14:paraId="15FB36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b/>
                      <w:bCs/>
                      <w:color w:val="auto"/>
                      <w:kern w:val="0"/>
                      <w:sz w:val="18"/>
                      <w:szCs w:val="18"/>
                    </w:rPr>
                    <w:t>声源名称</w:t>
                  </w:r>
                </w:p>
              </w:tc>
              <w:tc>
                <w:tcPr>
                  <w:tcW w:w="459" w:type="pct"/>
                  <w:tcBorders>
                    <w:tl2br w:val="nil"/>
                    <w:tr2bl w:val="nil"/>
                  </w:tcBorders>
                  <w:vAlign w:val="center"/>
                </w:tcPr>
                <w:p w14:paraId="76107D6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b/>
                      <w:bCs/>
                      <w:color w:val="auto"/>
                      <w:kern w:val="0"/>
                      <w:sz w:val="18"/>
                      <w:szCs w:val="18"/>
                    </w:rPr>
                    <w:t>声源源强</w:t>
                  </w:r>
                </w:p>
              </w:tc>
              <w:tc>
                <w:tcPr>
                  <w:tcW w:w="354" w:type="pct"/>
                  <w:vMerge w:val="restart"/>
                  <w:tcBorders>
                    <w:tl2br w:val="nil"/>
                    <w:tr2bl w:val="nil"/>
                  </w:tcBorders>
                  <w:vAlign w:val="center"/>
                </w:tcPr>
                <w:p w14:paraId="1DF311AC">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b/>
                      <w:bCs/>
                      <w:color w:val="auto"/>
                      <w:kern w:val="0"/>
                      <w:sz w:val="18"/>
                      <w:szCs w:val="18"/>
                    </w:rPr>
                    <w:t>声源控制措施</w:t>
                  </w:r>
                </w:p>
              </w:tc>
              <w:tc>
                <w:tcPr>
                  <w:tcW w:w="1066" w:type="pct"/>
                  <w:gridSpan w:val="3"/>
                  <w:tcBorders>
                    <w:tl2br w:val="nil"/>
                    <w:tr2bl w:val="nil"/>
                  </w:tcBorders>
                  <w:vAlign w:val="center"/>
                </w:tcPr>
                <w:p w14:paraId="6DEC0485">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b/>
                      <w:bCs/>
                      <w:color w:val="auto"/>
                      <w:kern w:val="0"/>
                      <w:sz w:val="18"/>
                      <w:szCs w:val="18"/>
                    </w:rPr>
                    <w:t>空间相对位置/m</w:t>
                  </w:r>
                </w:p>
              </w:tc>
              <w:tc>
                <w:tcPr>
                  <w:tcW w:w="354" w:type="pct"/>
                  <w:vMerge w:val="restart"/>
                  <w:tcBorders>
                    <w:tl2br w:val="nil"/>
                    <w:tr2bl w:val="nil"/>
                  </w:tcBorders>
                  <w:vAlign w:val="center"/>
                </w:tcPr>
                <w:p w14:paraId="09950BB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b/>
                      <w:bCs/>
                      <w:color w:val="auto"/>
                      <w:kern w:val="0"/>
                      <w:sz w:val="18"/>
                      <w:szCs w:val="18"/>
                    </w:rPr>
                    <w:t>距室内边界距离/m</w:t>
                  </w:r>
                </w:p>
              </w:tc>
              <w:tc>
                <w:tcPr>
                  <w:tcW w:w="379" w:type="pct"/>
                  <w:vMerge w:val="restart"/>
                  <w:tcBorders>
                    <w:tl2br w:val="nil"/>
                    <w:tr2bl w:val="nil"/>
                  </w:tcBorders>
                  <w:vAlign w:val="center"/>
                </w:tcPr>
                <w:p w14:paraId="17E0333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b/>
                      <w:bCs/>
                      <w:color w:val="auto"/>
                      <w:kern w:val="0"/>
                      <w:sz w:val="18"/>
                      <w:szCs w:val="18"/>
                    </w:rPr>
                    <w:t>室内边界声级/dB（A）</w:t>
                  </w:r>
                </w:p>
              </w:tc>
              <w:tc>
                <w:tcPr>
                  <w:tcW w:w="329" w:type="pct"/>
                  <w:vMerge w:val="restart"/>
                  <w:tcBorders>
                    <w:tl2br w:val="nil"/>
                    <w:tr2bl w:val="nil"/>
                  </w:tcBorders>
                  <w:vAlign w:val="center"/>
                </w:tcPr>
                <w:p w14:paraId="207979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b/>
                      <w:bCs/>
                      <w:color w:val="auto"/>
                      <w:kern w:val="0"/>
                      <w:sz w:val="18"/>
                      <w:szCs w:val="18"/>
                    </w:rPr>
                    <w:t>运行时段</w:t>
                  </w:r>
                </w:p>
              </w:tc>
              <w:tc>
                <w:tcPr>
                  <w:tcW w:w="459" w:type="pct"/>
                  <w:vMerge w:val="restart"/>
                  <w:tcBorders>
                    <w:tl2br w:val="nil"/>
                    <w:tr2bl w:val="nil"/>
                  </w:tcBorders>
                  <w:vAlign w:val="center"/>
                </w:tcPr>
                <w:p w14:paraId="0635786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b/>
                      <w:bCs/>
                      <w:color w:val="auto"/>
                      <w:kern w:val="0"/>
                      <w:sz w:val="18"/>
                      <w:szCs w:val="18"/>
                    </w:rPr>
                    <w:t>建筑物插入损失/dB(A）</w:t>
                  </w:r>
                </w:p>
              </w:tc>
              <w:tc>
                <w:tcPr>
                  <w:tcW w:w="821" w:type="pct"/>
                  <w:gridSpan w:val="2"/>
                  <w:tcBorders>
                    <w:tl2br w:val="nil"/>
                    <w:tr2bl w:val="nil"/>
                  </w:tcBorders>
                  <w:vAlign w:val="center"/>
                </w:tcPr>
                <w:p w14:paraId="42971C2A">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b/>
                      <w:bCs/>
                      <w:color w:val="auto"/>
                      <w:kern w:val="0"/>
                      <w:sz w:val="18"/>
                      <w:szCs w:val="18"/>
                    </w:rPr>
                    <w:t>建筑物外噪声</w:t>
                  </w:r>
                </w:p>
              </w:tc>
            </w:tr>
            <w:tr w14:paraId="3AD48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vAlign w:val="center"/>
                </w:tcPr>
                <w:p w14:paraId="107B416A">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p>
              </w:tc>
              <w:tc>
                <w:tcPr>
                  <w:tcW w:w="422" w:type="pct"/>
                  <w:vMerge w:val="continue"/>
                  <w:tcBorders>
                    <w:tl2br w:val="nil"/>
                    <w:tr2bl w:val="nil"/>
                  </w:tcBorders>
                  <w:vAlign w:val="center"/>
                </w:tcPr>
                <w:p w14:paraId="17866A6C">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p>
              </w:tc>
              <w:tc>
                <w:tcPr>
                  <w:tcW w:w="459" w:type="pct"/>
                  <w:tcBorders>
                    <w:tl2br w:val="nil"/>
                    <w:tr2bl w:val="nil"/>
                  </w:tcBorders>
                  <w:vAlign w:val="center"/>
                </w:tcPr>
                <w:p w14:paraId="0E1E453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b/>
                      <w:bCs/>
                      <w:color w:val="auto"/>
                      <w:kern w:val="0"/>
                      <w:sz w:val="18"/>
                      <w:szCs w:val="18"/>
                    </w:rPr>
                    <w:t>（声压级/距声源距离）/（dB(A）/m）</w:t>
                  </w:r>
                </w:p>
              </w:tc>
              <w:tc>
                <w:tcPr>
                  <w:tcW w:w="354" w:type="pct"/>
                  <w:vMerge w:val="continue"/>
                  <w:tcBorders>
                    <w:tl2br w:val="nil"/>
                    <w:tr2bl w:val="nil"/>
                  </w:tcBorders>
                  <w:vAlign w:val="center"/>
                </w:tcPr>
                <w:p w14:paraId="7C3E9413">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p>
              </w:tc>
              <w:tc>
                <w:tcPr>
                  <w:tcW w:w="354" w:type="pct"/>
                  <w:tcBorders>
                    <w:tl2br w:val="nil"/>
                    <w:tr2bl w:val="nil"/>
                  </w:tcBorders>
                  <w:vAlign w:val="center"/>
                </w:tcPr>
                <w:p w14:paraId="263F045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b/>
                      <w:bCs/>
                      <w:color w:val="auto"/>
                      <w:kern w:val="0"/>
                      <w:sz w:val="18"/>
                      <w:szCs w:val="18"/>
                    </w:rPr>
                    <w:t>X</w:t>
                  </w:r>
                </w:p>
              </w:tc>
              <w:tc>
                <w:tcPr>
                  <w:tcW w:w="354" w:type="pct"/>
                  <w:tcBorders>
                    <w:tl2br w:val="nil"/>
                    <w:tr2bl w:val="nil"/>
                  </w:tcBorders>
                  <w:vAlign w:val="center"/>
                </w:tcPr>
                <w:p w14:paraId="457DD01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b/>
                      <w:bCs/>
                      <w:color w:val="auto"/>
                      <w:kern w:val="0"/>
                      <w:sz w:val="18"/>
                      <w:szCs w:val="18"/>
                    </w:rPr>
                    <w:t>Y</w:t>
                  </w:r>
                </w:p>
              </w:tc>
              <w:tc>
                <w:tcPr>
                  <w:tcW w:w="358" w:type="pct"/>
                  <w:tcBorders>
                    <w:tl2br w:val="nil"/>
                    <w:tr2bl w:val="nil"/>
                  </w:tcBorders>
                  <w:vAlign w:val="center"/>
                </w:tcPr>
                <w:p w14:paraId="6604578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b/>
                      <w:bCs/>
                      <w:color w:val="auto"/>
                      <w:kern w:val="0"/>
                      <w:sz w:val="18"/>
                      <w:szCs w:val="18"/>
                    </w:rPr>
                    <w:t>Z</w:t>
                  </w:r>
                </w:p>
              </w:tc>
              <w:tc>
                <w:tcPr>
                  <w:tcW w:w="354" w:type="pct"/>
                  <w:vMerge w:val="continue"/>
                  <w:tcBorders>
                    <w:tl2br w:val="nil"/>
                    <w:tr2bl w:val="nil"/>
                  </w:tcBorders>
                  <w:vAlign w:val="center"/>
                </w:tcPr>
                <w:p w14:paraId="08D5E931">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p>
              </w:tc>
              <w:tc>
                <w:tcPr>
                  <w:tcW w:w="379" w:type="pct"/>
                  <w:vMerge w:val="continue"/>
                  <w:tcBorders>
                    <w:tl2br w:val="nil"/>
                    <w:tr2bl w:val="nil"/>
                  </w:tcBorders>
                  <w:vAlign w:val="center"/>
                </w:tcPr>
                <w:p w14:paraId="3BC47426">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p>
              </w:tc>
              <w:tc>
                <w:tcPr>
                  <w:tcW w:w="329" w:type="pct"/>
                  <w:vMerge w:val="continue"/>
                  <w:tcBorders>
                    <w:tl2br w:val="nil"/>
                    <w:tr2bl w:val="nil"/>
                  </w:tcBorders>
                  <w:vAlign w:val="center"/>
                </w:tcPr>
                <w:p w14:paraId="194CDE21">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p>
              </w:tc>
              <w:tc>
                <w:tcPr>
                  <w:tcW w:w="459" w:type="pct"/>
                  <w:vMerge w:val="continue"/>
                  <w:tcBorders>
                    <w:tl2br w:val="nil"/>
                    <w:tr2bl w:val="nil"/>
                  </w:tcBorders>
                  <w:vAlign w:val="center"/>
                </w:tcPr>
                <w:p w14:paraId="5E410156">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p>
              </w:tc>
              <w:tc>
                <w:tcPr>
                  <w:tcW w:w="459" w:type="pct"/>
                  <w:tcBorders>
                    <w:tl2br w:val="nil"/>
                    <w:tr2bl w:val="nil"/>
                  </w:tcBorders>
                  <w:vAlign w:val="center"/>
                </w:tcPr>
                <w:p w14:paraId="597C2AB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b/>
                      <w:bCs/>
                      <w:color w:val="auto"/>
                      <w:kern w:val="0"/>
                      <w:sz w:val="18"/>
                      <w:szCs w:val="18"/>
                    </w:rPr>
                    <w:t>声压级/dB(A）</w:t>
                  </w:r>
                </w:p>
              </w:tc>
              <w:tc>
                <w:tcPr>
                  <w:tcW w:w="362" w:type="pct"/>
                  <w:tcBorders>
                    <w:tl2br w:val="nil"/>
                    <w:tr2bl w:val="nil"/>
                  </w:tcBorders>
                  <w:vAlign w:val="center"/>
                </w:tcPr>
                <w:p w14:paraId="5DC45F5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b/>
                      <w:bCs/>
                      <w:color w:val="auto"/>
                      <w:kern w:val="0"/>
                      <w:sz w:val="18"/>
                      <w:szCs w:val="18"/>
                    </w:rPr>
                    <w:t>建筑物外距离/m</w:t>
                  </w:r>
                </w:p>
              </w:tc>
            </w:tr>
            <w:tr w14:paraId="5FF18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tcBorders>
                    <w:tl2br w:val="nil"/>
                    <w:tr2bl w:val="nil"/>
                  </w:tcBorders>
                  <w:vAlign w:val="center"/>
                </w:tcPr>
                <w:p w14:paraId="40E1A754">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实验楼</w:t>
                  </w:r>
                </w:p>
              </w:tc>
              <w:tc>
                <w:tcPr>
                  <w:tcW w:w="422" w:type="pct"/>
                  <w:tcBorders>
                    <w:tl2br w:val="nil"/>
                    <w:tr2bl w:val="nil"/>
                  </w:tcBorders>
                  <w:vAlign w:val="center"/>
                </w:tcPr>
                <w:p w14:paraId="6F840C49">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实验设备</w:t>
                  </w:r>
                </w:p>
              </w:tc>
              <w:tc>
                <w:tcPr>
                  <w:tcW w:w="459" w:type="pct"/>
                  <w:tcBorders>
                    <w:tl2br w:val="nil"/>
                    <w:tr2bl w:val="nil"/>
                  </w:tcBorders>
                  <w:vAlign w:val="center"/>
                </w:tcPr>
                <w:p w14:paraId="53FC6395">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rPr>
                  </w:pPr>
                  <w:r>
                    <w:rPr>
                      <w:rFonts w:hint="eastAsia" w:cs="Times New Roman"/>
                      <w:color w:val="auto"/>
                      <w:szCs w:val="21"/>
                      <w:highlight w:val="none"/>
                      <w:lang w:val="en-US" w:eastAsia="zh-CN"/>
                    </w:rPr>
                    <w:t>6</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/1</w:t>
                  </w:r>
                </w:p>
              </w:tc>
              <w:tc>
                <w:tcPr>
                  <w:tcW w:w="354" w:type="pct"/>
                  <w:tcBorders>
                    <w:tl2br w:val="nil"/>
                    <w:tr2bl w:val="nil"/>
                  </w:tcBorders>
                  <w:vAlign w:val="center"/>
                </w:tcPr>
                <w:p w14:paraId="4FB3875F">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kern w:val="0"/>
                      <w:sz w:val="18"/>
                      <w:szCs w:val="18"/>
                    </w:rPr>
                    <w:t>选用低噪声设备、安装减振底座</w:t>
                  </w:r>
                </w:p>
              </w:tc>
              <w:tc>
                <w:tcPr>
                  <w:tcW w:w="354" w:type="pct"/>
                  <w:tcBorders>
                    <w:tl2br w:val="nil"/>
                    <w:tr2bl w:val="nil"/>
                  </w:tcBorders>
                  <w:vAlign w:val="center"/>
                </w:tcPr>
                <w:p w14:paraId="69BF0FFA">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eastAsia="宋体" w:cs="Times New Roman"/>
                      <w:color w:val="auto"/>
                      <w:sz w:val="18"/>
                      <w:szCs w:val="18"/>
                      <w:vertAlign w:val="baseline"/>
                      <w:lang w:val="en-US" w:eastAsia="zh-CN"/>
                    </w:rPr>
                    <w:t>17.8</w:t>
                  </w:r>
                </w:p>
              </w:tc>
              <w:tc>
                <w:tcPr>
                  <w:tcW w:w="354" w:type="pct"/>
                  <w:tcBorders>
                    <w:tl2br w:val="nil"/>
                    <w:tr2bl w:val="nil"/>
                  </w:tcBorders>
                  <w:vAlign w:val="center"/>
                </w:tcPr>
                <w:p w14:paraId="4E242202">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eastAsia="宋体" w:cs="Times New Roman"/>
                      <w:color w:val="auto"/>
                      <w:sz w:val="18"/>
                      <w:szCs w:val="18"/>
                      <w:vertAlign w:val="baseline"/>
                      <w:lang w:val="en-US" w:eastAsia="zh-CN"/>
                    </w:rPr>
                    <w:t>5.86</w:t>
                  </w:r>
                </w:p>
              </w:tc>
              <w:tc>
                <w:tcPr>
                  <w:tcW w:w="358" w:type="pct"/>
                  <w:tcBorders>
                    <w:tl2br w:val="nil"/>
                    <w:tr2bl w:val="nil"/>
                  </w:tcBorders>
                  <w:vAlign w:val="center"/>
                </w:tcPr>
                <w:p w14:paraId="357D426E">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eastAsia="宋体" w:cs="Times New Roman"/>
                      <w:color w:val="auto"/>
                      <w:sz w:val="18"/>
                      <w:szCs w:val="18"/>
                      <w:vertAlign w:val="baseline"/>
                      <w:lang w:val="en-US" w:eastAsia="zh-CN"/>
                    </w:rPr>
                    <w:t>1</w:t>
                  </w:r>
                </w:p>
              </w:tc>
              <w:tc>
                <w:tcPr>
                  <w:tcW w:w="354" w:type="pct"/>
                  <w:tcBorders>
                    <w:tl2br w:val="nil"/>
                    <w:tr2bl w:val="nil"/>
                  </w:tcBorders>
                  <w:vAlign w:val="center"/>
                </w:tcPr>
                <w:p w14:paraId="3F494C1F">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eastAsia="宋体" w:cs="Times New Roman"/>
                      <w:color w:val="auto"/>
                      <w:sz w:val="18"/>
                      <w:szCs w:val="18"/>
                      <w:vertAlign w:val="baseline"/>
                      <w:lang w:val="en-US" w:eastAsia="zh-CN"/>
                    </w:rPr>
                    <w:t>2.63</w:t>
                  </w:r>
                </w:p>
              </w:tc>
              <w:tc>
                <w:tcPr>
                  <w:tcW w:w="379" w:type="pct"/>
                  <w:tcBorders>
                    <w:tl2br w:val="nil"/>
                    <w:tr2bl w:val="nil"/>
                  </w:tcBorders>
                  <w:vAlign w:val="center"/>
                </w:tcPr>
                <w:p w14:paraId="222D3C8C">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eastAsia="宋体" w:cs="Times New Roman"/>
                      <w:color w:val="auto"/>
                      <w:sz w:val="18"/>
                      <w:szCs w:val="18"/>
                      <w:vertAlign w:val="baseline"/>
                      <w:lang w:val="en-US" w:eastAsia="zh-CN"/>
                    </w:rPr>
                    <w:t>60.79</w:t>
                  </w:r>
                </w:p>
              </w:tc>
              <w:tc>
                <w:tcPr>
                  <w:tcW w:w="329" w:type="pct"/>
                  <w:tcBorders>
                    <w:tl2br w:val="nil"/>
                    <w:tr2bl w:val="nil"/>
                  </w:tcBorders>
                  <w:vAlign w:val="center"/>
                </w:tcPr>
                <w:p w14:paraId="23DF857E">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eastAsia="宋体" w:cs="Times New Roman"/>
                      <w:color w:val="auto"/>
                      <w:sz w:val="18"/>
                      <w:szCs w:val="18"/>
                      <w:vertAlign w:val="baseline"/>
                      <w:lang w:val="en-US" w:eastAsia="zh-CN"/>
                    </w:rPr>
                    <w:t>昼间</w:t>
                  </w:r>
                </w:p>
              </w:tc>
              <w:tc>
                <w:tcPr>
                  <w:tcW w:w="459" w:type="pct"/>
                  <w:tcBorders>
                    <w:tl2br w:val="nil"/>
                    <w:tr2bl w:val="nil"/>
                  </w:tcBorders>
                  <w:vAlign w:val="center"/>
                </w:tcPr>
                <w:p w14:paraId="1471592F">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eastAsia="宋体" w:cs="Times New Roman"/>
                      <w:color w:val="auto"/>
                      <w:sz w:val="18"/>
                      <w:szCs w:val="18"/>
                      <w:vertAlign w:val="baseline"/>
                      <w:lang w:val="en-US" w:eastAsia="zh-CN"/>
                    </w:rPr>
                    <w:t>26</w:t>
                  </w:r>
                </w:p>
              </w:tc>
              <w:tc>
                <w:tcPr>
                  <w:tcW w:w="459" w:type="pct"/>
                  <w:tcBorders>
                    <w:tl2br w:val="nil"/>
                    <w:tr2bl w:val="nil"/>
                  </w:tcBorders>
                  <w:vAlign w:val="center"/>
                </w:tcPr>
                <w:p w14:paraId="01092A8C">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eastAsia="宋体" w:cs="Times New Roman"/>
                      <w:color w:val="auto"/>
                      <w:sz w:val="18"/>
                      <w:szCs w:val="18"/>
                      <w:vertAlign w:val="baseline"/>
                      <w:lang w:val="en-US" w:eastAsia="zh-CN"/>
                    </w:rPr>
                    <w:t>34.79</w:t>
                  </w:r>
                </w:p>
              </w:tc>
              <w:tc>
                <w:tcPr>
                  <w:tcW w:w="362" w:type="pct"/>
                  <w:tcBorders>
                    <w:tl2br w:val="nil"/>
                    <w:tr2bl w:val="nil"/>
                  </w:tcBorders>
                  <w:vAlign w:val="center"/>
                </w:tcPr>
                <w:p w14:paraId="7B97FF62">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eastAsia="宋体" w:cs="Times New Roman"/>
                      <w:color w:val="auto"/>
                      <w:sz w:val="18"/>
                      <w:szCs w:val="18"/>
                      <w:vertAlign w:val="baseline"/>
                      <w:lang w:val="en-US" w:eastAsia="zh-CN"/>
                    </w:rPr>
                    <w:t>1</w:t>
                  </w:r>
                </w:p>
              </w:tc>
            </w:tr>
            <w:tr w14:paraId="0733B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3"/>
                  <w:tcBorders>
                    <w:tl2br w:val="nil"/>
                    <w:tr2bl w:val="nil"/>
                  </w:tcBorders>
                  <w:vAlign w:val="center"/>
                </w:tcPr>
                <w:p w14:paraId="7EDFD388">
                  <w:pPr>
                    <w:pStyle w:val="117"/>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18"/>
                      <w:szCs w:val="18"/>
                      <w:vertAlign w:val="baseline"/>
                    </w:rPr>
                  </w:pPr>
                  <w:r>
                    <w:rPr>
                      <w:rFonts w:hint="default" w:ascii="Times New Roman" w:hAnsi="Times New Roman" w:cs="Times New Roman" w:eastAsiaTheme="minorEastAsia"/>
                      <w:color w:val="auto"/>
                      <w:kern w:val="0"/>
                      <w:sz w:val="18"/>
                      <w:szCs w:val="18"/>
                      <w:lang w:val="en-US" w:eastAsia="zh-CN"/>
                    </w:rPr>
                    <w:t>注：设备</w:t>
                  </w:r>
                  <w:r>
                    <w:rPr>
                      <w:rFonts w:hint="eastAsia" w:ascii="宋体" w:hAnsi="宋体" w:eastAsia="宋体" w:cs="宋体"/>
                      <w:color w:val="auto"/>
                      <w:kern w:val="0"/>
                      <w:sz w:val="18"/>
                      <w:szCs w:val="18"/>
                      <w:lang w:val="en-US" w:eastAsia="zh-CN"/>
                    </w:rPr>
                    <w:t>声压</w:t>
                  </w:r>
                  <w:r>
                    <w:rPr>
                      <w:rFonts w:hint="default" w:ascii="Times New Roman" w:hAnsi="Times New Roman" w:cs="Times New Roman" w:eastAsiaTheme="minorEastAsia"/>
                      <w:color w:val="auto"/>
                      <w:kern w:val="0"/>
                      <w:sz w:val="18"/>
                      <w:szCs w:val="18"/>
                      <w:lang w:val="en-US" w:eastAsia="zh-CN"/>
                    </w:rPr>
                    <w:t>级为采用低噪声设备、减振等措施后的</w:t>
                  </w:r>
                  <w:r>
                    <w:rPr>
                      <w:rFonts w:hint="default" w:ascii="Times New Roman" w:hAnsi="Times New Roman" w:cs="Times New Roman"/>
                      <w:color w:val="auto"/>
                      <w:kern w:val="0"/>
                      <w:sz w:val="18"/>
                      <w:szCs w:val="18"/>
                      <w:lang w:val="en-US" w:eastAsia="zh-CN"/>
                    </w:rPr>
                    <w:t>声压</w:t>
                  </w:r>
                  <w:r>
                    <w:rPr>
                      <w:rFonts w:hint="default" w:ascii="Times New Roman" w:hAnsi="Times New Roman" w:cs="Times New Roman" w:eastAsiaTheme="minorEastAsia"/>
                      <w:color w:val="auto"/>
                      <w:kern w:val="0"/>
                      <w:sz w:val="18"/>
                      <w:szCs w:val="18"/>
                      <w:lang w:val="en-US" w:eastAsia="zh-CN"/>
                    </w:rPr>
                    <w:t>级，</w:t>
                  </w:r>
                  <w:r>
                    <w:rPr>
                      <w:rFonts w:hint="eastAsia" w:ascii="Times New Roman" w:hAnsi="Times New Roman" w:cs="Times New Roman" w:eastAsiaTheme="minorEastAsia"/>
                      <w:color w:val="auto"/>
                      <w:kern w:val="0"/>
                      <w:sz w:val="18"/>
                      <w:szCs w:val="18"/>
                      <w:lang w:val="en-US" w:eastAsia="zh-CN"/>
                    </w:rPr>
                    <w:t>实验楼西南</w:t>
                  </w:r>
                  <w:r>
                    <w:rPr>
                      <w:rFonts w:hint="default" w:ascii="Times New Roman" w:hAnsi="Times New Roman" w:cs="Times New Roman" w:eastAsiaTheme="minorEastAsia"/>
                      <w:color w:val="auto"/>
                      <w:kern w:val="0"/>
                      <w:sz w:val="18"/>
                      <w:szCs w:val="18"/>
                      <w:lang w:val="en-US" w:eastAsia="zh-CN"/>
                    </w:rPr>
                    <w:t>尖点为原点（0，0，0）。</w:t>
                  </w:r>
                </w:p>
              </w:tc>
            </w:tr>
          </w:tbl>
          <w:p w14:paraId="7F570D8A">
            <w:pPr>
              <w:pStyle w:val="117"/>
              <w:bidi w:val="0"/>
              <w:rPr>
                <w:color w:val="auto"/>
              </w:rPr>
            </w:pPr>
            <w:r>
              <w:rPr>
                <w:rFonts w:hint="eastAsia"/>
                <w:color w:val="auto"/>
              </w:rPr>
              <w:t>项目噪声源强调查清单</w:t>
            </w:r>
            <w:r>
              <w:rPr>
                <w:rFonts w:hint="eastAsia"/>
                <w:color w:val="auto"/>
                <w:lang w:eastAsia="zh-CN"/>
              </w:rPr>
              <w:t>（</w:t>
            </w:r>
            <w:r>
              <w:rPr>
                <w:rFonts w:hint="eastAsia"/>
                <w:color w:val="auto"/>
                <w:lang w:val="en-US" w:eastAsia="zh-CN"/>
              </w:rPr>
              <w:t>室外</w:t>
            </w:r>
            <w:r>
              <w:rPr>
                <w:rFonts w:hint="eastAsia"/>
                <w:color w:val="auto"/>
              </w:rPr>
              <w:t>声源</w:t>
            </w:r>
            <w:r>
              <w:rPr>
                <w:rFonts w:hint="eastAsia"/>
                <w:color w:val="auto"/>
                <w:lang w:eastAsia="zh-CN"/>
              </w:rPr>
              <w:t>）</w:t>
            </w:r>
            <w:r>
              <w:rPr>
                <w:color w:val="auto"/>
              </w:rPr>
              <w:t xml:space="preserve">    </w:t>
            </w:r>
            <w:r>
              <w:rPr>
                <w:rFonts w:hint="eastAsia"/>
                <w:color w:val="auto"/>
              </w:rPr>
              <w:t>单位：</w:t>
            </w:r>
            <w:r>
              <w:rPr>
                <w:color w:val="auto"/>
              </w:rPr>
              <w:t>dB</w:t>
            </w:r>
            <w:r>
              <w:rPr>
                <w:rFonts w:hint="eastAsia"/>
                <w:color w:val="auto"/>
              </w:rPr>
              <w:t>（</w:t>
            </w:r>
            <w:r>
              <w:rPr>
                <w:color w:val="auto"/>
              </w:rPr>
              <w:t>A</w:t>
            </w:r>
            <w:r>
              <w:rPr>
                <w:rFonts w:hint="eastAsia"/>
                <w:color w:val="auto"/>
              </w:rPr>
              <w:t>）</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376"/>
              <w:gridCol w:w="1000"/>
              <w:gridCol w:w="1000"/>
              <w:gridCol w:w="1000"/>
              <w:gridCol w:w="1422"/>
              <w:gridCol w:w="1403"/>
              <w:gridCol w:w="1005"/>
            </w:tblGrid>
            <w:tr w14:paraId="3B561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Merge w:val="restart"/>
                  <w:tcBorders>
                    <w:tl2br w:val="nil"/>
                    <w:tr2bl w:val="nil"/>
                  </w:tcBorders>
                  <w:noWrap/>
                  <w:vAlign w:val="center"/>
                </w:tcPr>
                <w:p w14:paraId="024F4C72">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序号</w:t>
                  </w:r>
                </w:p>
              </w:tc>
              <w:tc>
                <w:tcPr>
                  <w:tcW w:w="780" w:type="pct"/>
                  <w:vMerge w:val="restart"/>
                  <w:tcBorders>
                    <w:tl2br w:val="nil"/>
                    <w:tr2bl w:val="nil"/>
                  </w:tcBorders>
                  <w:noWrap/>
                  <w:vAlign w:val="center"/>
                </w:tcPr>
                <w:p w14:paraId="2D05C832">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声源名称</w:t>
                  </w:r>
                </w:p>
              </w:tc>
              <w:tc>
                <w:tcPr>
                  <w:tcW w:w="1702" w:type="pct"/>
                  <w:gridSpan w:val="3"/>
                  <w:tcBorders>
                    <w:tl2br w:val="nil"/>
                    <w:tr2bl w:val="nil"/>
                  </w:tcBorders>
                  <w:noWrap/>
                  <w:vAlign w:val="center"/>
                </w:tcPr>
                <w:p w14:paraId="1419BA1B">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空间相对位置/m</w:t>
                  </w:r>
                </w:p>
              </w:tc>
              <w:tc>
                <w:tcPr>
                  <w:tcW w:w="806" w:type="pct"/>
                  <w:tcBorders>
                    <w:tl2br w:val="nil"/>
                    <w:tr2bl w:val="nil"/>
                  </w:tcBorders>
                  <w:noWrap/>
                  <w:vAlign w:val="center"/>
                </w:tcPr>
                <w:p w14:paraId="1CD60E45">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声源源强</w:t>
                  </w:r>
                </w:p>
              </w:tc>
              <w:tc>
                <w:tcPr>
                  <w:tcW w:w="796" w:type="pct"/>
                  <w:vMerge w:val="restart"/>
                  <w:tcBorders>
                    <w:tl2br w:val="nil"/>
                    <w:tr2bl w:val="nil"/>
                  </w:tcBorders>
                  <w:noWrap/>
                  <w:vAlign w:val="center"/>
                </w:tcPr>
                <w:p w14:paraId="66F5E239">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声源控制措施</w:t>
                  </w:r>
                </w:p>
              </w:tc>
              <w:tc>
                <w:tcPr>
                  <w:tcW w:w="570" w:type="pct"/>
                  <w:vMerge w:val="restart"/>
                  <w:tcBorders>
                    <w:tl2br w:val="nil"/>
                    <w:tr2bl w:val="nil"/>
                  </w:tcBorders>
                  <w:noWrap/>
                  <w:vAlign w:val="center"/>
                </w:tcPr>
                <w:p w14:paraId="456C3664">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运行时段</w:t>
                  </w:r>
                </w:p>
              </w:tc>
            </w:tr>
            <w:tr w14:paraId="3463C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3" w:type="pct"/>
                  <w:vMerge w:val="continue"/>
                  <w:tcBorders>
                    <w:tl2br w:val="nil"/>
                    <w:tr2bl w:val="nil"/>
                  </w:tcBorders>
                  <w:noWrap/>
                  <w:vAlign w:val="center"/>
                </w:tcPr>
                <w:p w14:paraId="43DA9DF3">
                  <w:pPr>
                    <w:jc w:val="center"/>
                    <w:rPr>
                      <w:rFonts w:ascii="Times New Roman" w:hAnsi="Times New Roman" w:cs="Times New Roman"/>
                      <w:b/>
                      <w:bCs/>
                      <w:color w:val="auto"/>
                      <w:szCs w:val="21"/>
                      <w:highlight w:val="none"/>
                    </w:rPr>
                  </w:pPr>
                </w:p>
              </w:tc>
              <w:tc>
                <w:tcPr>
                  <w:tcW w:w="780" w:type="pct"/>
                  <w:vMerge w:val="continue"/>
                  <w:tcBorders>
                    <w:tl2br w:val="nil"/>
                    <w:tr2bl w:val="nil"/>
                  </w:tcBorders>
                  <w:noWrap/>
                  <w:vAlign w:val="center"/>
                </w:tcPr>
                <w:p w14:paraId="24089D5E">
                  <w:pPr>
                    <w:jc w:val="center"/>
                    <w:rPr>
                      <w:rFonts w:ascii="Times New Roman" w:hAnsi="Times New Roman" w:cs="Times New Roman"/>
                      <w:b/>
                      <w:bCs/>
                      <w:color w:val="auto"/>
                      <w:szCs w:val="21"/>
                      <w:highlight w:val="none"/>
                    </w:rPr>
                  </w:pPr>
                </w:p>
              </w:tc>
              <w:tc>
                <w:tcPr>
                  <w:tcW w:w="567" w:type="pct"/>
                  <w:tcBorders>
                    <w:tl2br w:val="nil"/>
                    <w:tr2bl w:val="nil"/>
                  </w:tcBorders>
                  <w:noWrap/>
                  <w:vAlign w:val="center"/>
                </w:tcPr>
                <w:p w14:paraId="47FD616A">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X</w:t>
                  </w:r>
                </w:p>
              </w:tc>
              <w:tc>
                <w:tcPr>
                  <w:tcW w:w="567" w:type="pct"/>
                  <w:tcBorders>
                    <w:tl2br w:val="nil"/>
                    <w:tr2bl w:val="nil"/>
                  </w:tcBorders>
                  <w:noWrap/>
                  <w:vAlign w:val="center"/>
                </w:tcPr>
                <w:p w14:paraId="53FF385D">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Y</w:t>
                  </w:r>
                </w:p>
              </w:tc>
              <w:tc>
                <w:tcPr>
                  <w:tcW w:w="567" w:type="pct"/>
                  <w:tcBorders>
                    <w:tl2br w:val="nil"/>
                    <w:tr2bl w:val="nil"/>
                  </w:tcBorders>
                  <w:noWrap/>
                  <w:vAlign w:val="center"/>
                </w:tcPr>
                <w:p w14:paraId="19C7FBA7">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Z</w:t>
                  </w:r>
                </w:p>
              </w:tc>
              <w:tc>
                <w:tcPr>
                  <w:tcW w:w="806" w:type="pct"/>
                  <w:tcBorders>
                    <w:tl2br w:val="nil"/>
                    <w:tr2bl w:val="nil"/>
                  </w:tcBorders>
                  <w:noWrap/>
                  <w:vAlign w:val="center"/>
                </w:tcPr>
                <w:p w14:paraId="57EC9887">
                  <w:pPr>
                    <w:widowControl/>
                    <w:jc w:val="center"/>
                    <w:textAlignment w:val="center"/>
                    <w:rPr>
                      <w:rFonts w:ascii="Times New Roman" w:hAnsi="Times New Roman" w:cs="Times New Roman"/>
                      <w:b/>
                      <w:bCs/>
                      <w:color w:val="auto"/>
                      <w:szCs w:val="21"/>
                      <w:highlight w:val="none"/>
                    </w:rPr>
                  </w:pPr>
                  <w:r>
                    <w:rPr>
                      <w:rFonts w:ascii="Times New Roman" w:hAnsi="Times New Roman" w:cs="Times New Roman"/>
                      <w:b/>
                      <w:bCs/>
                      <w:color w:val="auto"/>
                      <w:kern w:val="0"/>
                      <w:szCs w:val="21"/>
                      <w:highlight w:val="none"/>
                      <w:lang w:bidi="ar"/>
                    </w:rPr>
                    <w:t>声压级（dB）/距声源距离</w:t>
                  </w:r>
                </w:p>
              </w:tc>
              <w:tc>
                <w:tcPr>
                  <w:tcW w:w="796" w:type="pct"/>
                  <w:vMerge w:val="continue"/>
                  <w:tcBorders>
                    <w:tl2br w:val="nil"/>
                    <w:tr2bl w:val="nil"/>
                  </w:tcBorders>
                  <w:noWrap/>
                  <w:vAlign w:val="center"/>
                </w:tcPr>
                <w:p w14:paraId="1E516764">
                  <w:pPr>
                    <w:jc w:val="center"/>
                    <w:rPr>
                      <w:rFonts w:ascii="Times New Roman" w:hAnsi="Times New Roman" w:cs="Times New Roman"/>
                      <w:color w:val="auto"/>
                      <w:szCs w:val="21"/>
                      <w:highlight w:val="none"/>
                    </w:rPr>
                  </w:pPr>
                </w:p>
              </w:tc>
              <w:tc>
                <w:tcPr>
                  <w:tcW w:w="570" w:type="pct"/>
                  <w:vMerge w:val="continue"/>
                  <w:tcBorders>
                    <w:tl2br w:val="nil"/>
                    <w:tr2bl w:val="nil"/>
                  </w:tcBorders>
                  <w:noWrap/>
                  <w:vAlign w:val="center"/>
                </w:tcPr>
                <w:p w14:paraId="4C97E719">
                  <w:pPr>
                    <w:jc w:val="center"/>
                    <w:rPr>
                      <w:rFonts w:ascii="Times New Roman" w:hAnsi="Times New Roman" w:cs="Times New Roman"/>
                      <w:color w:val="auto"/>
                      <w:szCs w:val="21"/>
                      <w:highlight w:val="none"/>
                    </w:rPr>
                  </w:pPr>
                </w:p>
              </w:tc>
            </w:tr>
            <w:tr w14:paraId="5B512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noWrap/>
                  <w:vAlign w:val="center"/>
                </w:tcPr>
                <w:p w14:paraId="1E4DA8B8">
                  <w:pPr>
                    <w:widowControl/>
                    <w:jc w:val="center"/>
                    <w:textAlignment w:val="center"/>
                    <w:rPr>
                      <w:rFonts w:ascii="Times New Roman" w:hAnsi="Times New Roman" w:cs="Times New Roman"/>
                      <w:color w:val="auto"/>
                      <w:kern w:val="0"/>
                      <w:szCs w:val="21"/>
                      <w:highlight w:val="none"/>
                      <w:lang w:bidi="ar"/>
                    </w:rPr>
                  </w:pPr>
                  <w:r>
                    <w:rPr>
                      <w:rFonts w:ascii="Times New Roman" w:hAnsi="Times New Roman" w:cs="Times New Roman"/>
                      <w:color w:val="auto"/>
                      <w:kern w:val="0"/>
                      <w:szCs w:val="21"/>
                      <w:highlight w:val="none"/>
                      <w:lang w:bidi="ar"/>
                    </w:rPr>
                    <w:t>1</w:t>
                  </w:r>
                </w:p>
              </w:tc>
              <w:tc>
                <w:tcPr>
                  <w:tcW w:w="780" w:type="pct"/>
                  <w:tcBorders>
                    <w:tl2br w:val="nil"/>
                    <w:tr2bl w:val="nil"/>
                  </w:tcBorders>
                  <w:noWrap/>
                  <w:vAlign w:val="center"/>
                </w:tcPr>
                <w:p w14:paraId="6873C4FE">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空调外机1</w:t>
                  </w:r>
                </w:p>
              </w:tc>
              <w:tc>
                <w:tcPr>
                  <w:tcW w:w="567" w:type="pct"/>
                  <w:tcBorders>
                    <w:tl2br w:val="nil"/>
                    <w:tr2bl w:val="nil"/>
                  </w:tcBorders>
                  <w:noWrap/>
                  <w:vAlign w:val="center"/>
                </w:tcPr>
                <w:p w14:paraId="48550569">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29.74</w:t>
                  </w:r>
                </w:p>
              </w:tc>
              <w:tc>
                <w:tcPr>
                  <w:tcW w:w="567" w:type="pct"/>
                  <w:tcBorders>
                    <w:tl2br w:val="nil"/>
                    <w:tr2bl w:val="nil"/>
                  </w:tcBorders>
                  <w:noWrap/>
                  <w:vAlign w:val="center"/>
                </w:tcPr>
                <w:p w14:paraId="47457B5C">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4.49</w:t>
                  </w:r>
                </w:p>
              </w:tc>
              <w:tc>
                <w:tcPr>
                  <w:tcW w:w="567" w:type="pct"/>
                  <w:tcBorders>
                    <w:tl2br w:val="nil"/>
                    <w:tr2bl w:val="nil"/>
                  </w:tcBorders>
                  <w:noWrap/>
                  <w:vAlign w:val="center"/>
                </w:tcPr>
                <w:p w14:paraId="3C40169A">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highlight w:val="none"/>
                      <w:lang w:val="en-US" w:eastAsia="zh-CN"/>
                    </w:rPr>
                    <w:t>1.5</w:t>
                  </w:r>
                </w:p>
              </w:tc>
              <w:tc>
                <w:tcPr>
                  <w:tcW w:w="806" w:type="pct"/>
                  <w:tcBorders>
                    <w:tl2br w:val="nil"/>
                    <w:tr2bl w:val="nil"/>
                  </w:tcBorders>
                  <w:noWrap/>
                  <w:vAlign w:val="center"/>
                </w:tcPr>
                <w:p w14:paraId="067A4D40">
                  <w:pPr>
                    <w:widowControl/>
                    <w:jc w:val="center"/>
                    <w:textAlignment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60/1</w:t>
                  </w:r>
                </w:p>
              </w:tc>
              <w:tc>
                <w:tcPr>
                  <w:tcW w:w="796" w:type="pct"/>
                  <w:tcBorders>
                    <w:tl2br w:val="nil"/>
                    <w:tr2bl w:val="nil"/>
                  </w:tcBorders>
                  <w:noWrap/>
                  <w:vAlign w:val="center"/>
                </w:tcPr>
                <w:p w14:paraId="24C4DFDC">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安装减震垫</w:t>
                  </w:r>
                </w:p>
              </w:tc>
              <w:tc>
                <w:tcPr>
                  <w:tcW w:w="570" w:type="pct"/>
                  <w:vMerge w:val="restart"/>
                  <w:tcBorders>
                    <w:tl2br w:val="nil"/>
                    <w:tr2bl w:val="nil"/>
                  </w:tcBorders>
                  <w:noWrap/>
                  <w:vAlign w:val="center"/>
                </w:tcPr>
                <w:p w14:paraId="70ACFDBC">
                  <w:pPr>
                    <w:jc w:val="center"/>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昼间</w:t>
                  </w:r>
                </w:p>
              </w:tc>
            </w:tr>
            <w:tr w14:paraId="313B9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noWrap/>
                  <w:vAlign w:val="center"/>
                </w:tcPr>
                <w:p w14:paraId="12368E4A">
                  <w:pPr>
                    <w:widowControl/>
                    <w:jc w:val="center"/>
                    <w:textAlignment w:val="center"/>
                    <w:rPr>
                      <w:rFonts w:ascii="Times New Roman" w:hAnsi="Times New Roman" w:cs="Times New Roman"/>
                      <w:color w:val="auto"/>
                      <w:kern w:val="0"/>
                      <w:szCs w:val="21"/>
                      <w:highlight w:val="none"/>
                      <w:lang w:bidi="ar"/>
                    </w:rPr>
                  </w:pPr>
                  <w:r>
                    <w:rPr>
                      <w:rFonts w:ascii="Times New Roman" w:hAnsi="Times New Roman" w:cs="Times New Roman"/>
                      <w:color w:val="auto"/>
                      <w:kern w:val="0"/>
                      <w:szCs w:val="21"/>
                      <w:highlight w:val="none"/>
                      <w:lang w:bidi="ar"/>
                    </w:rPr>
                    <w:t>2</w:t>
                  </w:r>
                </w:p>
              </w:tc>
              <w:tc>
                <w:tcPr>
                  <w:tcW w:w="780" w:type="pct"/>
                  <w:tcBorders>
                    <w:tl2br w:val="nil"/>
                    <w:tr2bl w:val="nil"/>
                  </w:tcBorders>
                  <w:noWrap/>
                  <w:vAlign w:val="center"/>
                </w:tcPr>
                <w:p w14:paraId="634742EC">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空调外机2</w:t>
                  </w:r>
                </w:p>
              </w:tc>
              <w:tc>
                <w:tcPr>
                  <w:tcW w:w="567" w:type="pct"/>
                  <w:tcBorders>
                    <w:tl2br w:val="nil"/>
                    <w:tr2bl w:val="nil"/>
                  </w:tcBorders>
                  <w:noWrap/>
                  <w:vAlign w:val="center"/>
                </w:tcPr>
                <w:p w14:paraId="31171BC2">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18.61</w:t>
                  </w:r>
                </w:p>
              </w:tc>
              <w:tc>
                <w:tcPr>
                  <w:tcW w:w="567" w:type="pct"/>
                  <w:tcBorders>
                    <w:tl2br w:val="nil"/>
                    <w:tr2bl w:val="nil"/>
                  </w:tcBorders>
                  <w:noWrap/>
                  <w:vAlign w:val="center"/>
                </w:tcPr>
                <w:p w14:paraId="223A7A41">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-5.19</w:t>
                  </w:r>
                </w:p>
              </w:tc>
              <w:tc>
                <w:tcPr>
                  <w:tcW w:w="567" w:type="pct"/>
                  <w:tcBorders>
                    <w:tl2br w:val="nil"/>
                    <w:tr2bl w:val="nil"/>
                  </w:tcBorders>
                  <w:noWrap/>
                  <w:vAlign w:val="center"/>
                </w:tcPr>
                <w:p w14:paraId="5BDCC6EA">
                  <w:pPr>
                    <w:jc w:val="center"/>
                    <w:rPr>
                      <w:rFonts w:ascii="Times New Roman" w:hAnsi="Times New Roman" w:cs="Times New Roman"/>
                      <w:color w:val="auto"/>
                      <w:szCs w:val="21"/>
                      <w:highlight w:val="none"/>
                    </w:rPr>
                  </w:pPr>
                  <w:r>
                    <w:rPr>
                      <w:rFonts w:hint="eastAsia" w:ascii="Times New Roman" w:hAnsi="Times New Roman" w:cs="Times New Roman"/>
                      <w:color w:val="auto"/>
                      <w:highlight w:val="none"/>
                      <w:lang w:val="en-US" w:eastAsia="zh-CN"/>
                    </w:rPr>
                    <w:t>1.5</w:t>
                  </w:r>
                </w:p>
              </w:tc>
              <w:tc>
                <w:tcPr>
                  <w:tcW w:w="806" w:type="pct"/>
                  <w:tcBorders>
                    <w:tl2br w:val="nil"/>
                    <w:tr2bl w:val="nil"/>
                  </w:tcBorders>
                  <w:noWrap/>
                  <w:vAlign w:val="center"/>
                </w:tcPr>
                <w:p w14:paraId="039E2938">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60/1</w:t>
                  </w:r>
                </w:p>
              </w:tc>
              <w:tc>
                <w:tcPr>
                  <w:tcW w:w="796" w:type="pct"/>
                  <w:tcBorders>
                    <w:tl2br w:val="nil"/>
                    <w:tr2bl w:val="nil"/>
                  </w:tcBorders>
                  <w:noWrap/>
                  <w:vAlign w:val="center"/>
                </w:tcPr>
                <w:p w14:paraId="54D782CE">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安装减震垫</w:t>
                  </w:r>
                </w:p>
              </w:tc>
              <w:tc>
                <w:tcPr>
                  <w:tcW w:w="570" w:type="pct"/>
                  <w:vMerge w:val="continue"/>
                  <w:tcBorders>
                    <w:tl2br w:val="nil"/>
                    <w:tr2bl w:val="nil"/>
                  </w:tcBorders>
                  <w:noWrap/>
                  <w:vAlign w:val="center"/>
                </w:tcPr>
                <w:p w14:paraId="7CB56ADF">
                  <w:pPr>
                    <w:jc w:val="center"/>
                    <w:rPr>
                      <w:rFonts w:ascii="Times New Roman" w:hAnsi="Times New Roman" w:cs="Times New Roman"/>
                      <w:color w:val="auto"/>
                      <w:szCs w:val="21"/>
                      <w:highlight w:val="none"/>
                    </w:rPr>
                  </w:pPr>
                </w:p>
              </w:tc>
            </w:tr>
            <w:tr w14:paraId="2F5DA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43" w:type="pct"/>
                  <w:tcBorders>
                    <w:tl2br w:val="nil"/>
                    <w:tr2bl w:val="nil"/>
                  </w:tcBorders>
                  <w:noWrap/>
                  <w:vAlign w:val="center"/>
                </w:tcPr>
                <w:p w14:paraId="2FB6155E">
                  <w:pPr>
                    <w:widowControl/>
                    <w:jc w:val="center"/>
                    <w:textAlignment w:val="center"/>
                    <w:rPr>
                      <w:rFonts w:ascii="Times New Roman" w:hAnsi="Times New Roman" w:cs="Times New Roman"/>
                      <w:color w:val="auto"/>
                      <w:kern w:val="0"/>
                      <w:szCs w:val="21"/>
                      <w:highlight w:val="none"/>
                      <w:lang w:bidi="ar"/>
                    </w:rPr>
                  </w:pPr>
                  <w:r>
                    <w:rPr>
                      <w:rFonts w:ascii="Times New Roman" w:hAnsi="Times New Roman" w:cs="Times New Roman"/>
                      <w:color w:val="auto"/>
                      <w:kern w:val="0"/>
                      <w:szCs w:val="21"/>
                      <w:highlight w:val="none"/>
                      <w:lang w:bidi="ar"/>
                    </w:rPr>
                    <w:t>3</w:t>
                  </w:r>
                </w:p>
              </w:tc>
              <w:tc>
                <w:tcPr>
                  <w:tcW w:w="780" w:type="pct"/>
                  <w:tcBorders>
                    <w:tl2br w:val="nil"/>
                    <w:tr2bl w:val="nil"/>
                  </w:tcBorders>
                  <w:noWrap/>
                  <w:vAlign w:val="center"/>
                </w:tcPr>
                <w:p w14:paraId="20B64998">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空调外机3</w:t>
                  </w:r>
                </w:p>
              </w:tc>
              <w:tc>
                <w:tcPr>
                  <w:tcW w:w="567" w:type="pct"/>
                  <w:tcBorders>
                    <w:tl2br w:val="nil"/>
                    <w:tr2bl w:val="nil"/>
                  </w:tcBorders>
                  <w:noWrap/>
                  <w:vAlign w:val="center"/>
                </w:tcPr>
                <w:p w14:paraId="056645F5">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29.78</w:t>
                  </w:r>
                </w:p>
              </w:tc>
              <w:tc>
                <w:tcPr>
                  <w:tcW w:w="567" w:type="pct"/>
                  <w:tcBorders>
                    <w:tl2br w:val="nil"/>
                    <w:tr2bl w:val="nil"/>
                  </w:tcBorders>
                  <w:noWrap/>
                  <w:vAlign w:val="center"/>
                </w:tcPr>
                <w:p w14:paraId="3AF9BBE8">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4.41</w:t>
                  </w:r>
                </w:p>
              </w:tc>
              <w:tc>
                <w:tcPr>
                  <w:tcW w:w="567" w:type="pct"/>
                  <w:tcBorders>
                    <w:tl2br w:val="nil"/>
                    <w:tr2bl w:val="nil"/>
                  </w:tcBorders>
                  <w:noWrap/>
                  <w:vAlign w:val="center"/>
                </w:tcPr>
                <w:p w14:paraId="4E75AB48">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highlight w:val="none"/>
                      <w:lang w:val="en-US" w:eastAsia="zh-CN"/>
                    </w:rPr>
                    <w:t>4.5</w:t>
                  </w:r>
                </w:p>
              </w:tc>
              <w:tc>
                <w:tcPr>
                  <w:tcW w:w="806" w:type="pct"/>
                  <w:tcBorders>
                    <w:tl2br w:val="nil"/>
                    <w:tr2bl w:val="nil"/>
                  </w:tcBorders>
                  <w:noWrap/>
                  <w:vAlign w:val="center"/>
                </w:tcPr>
                <w:p w14:paraId="6A5B8C1A">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60/1</w:t>
                  </w:r>
                </w:p>
              </w:tc>
              <w:tc>
                <w:tcPr>
                  <w:tcW w:w="796" w:type="pct"/>
                  <w:tcBorders>
                    <w:tl2br w:val="nil"/>
                    <w:tr2bl w:val="nil"/>
                  </w:tcBorders>
                  <w:noWrap/>
                  <w:vAlign w:val="center"/>
                </w:tcPr>
                <w:p w14:paraId="6A566264">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安装减震垫</w:t>
                  </w:r>
                </w:p>
              </w:tc>
              <w:tc>
                <w:tcPr>
                  <w:tcW w:w="570" w:type="pct"/>
                  <w:vMerge w:val="continue"/>
                  <w:tcBorders>
                    <w:tl2br w:val="nil"/>
                    <w:tr2bl w:val="nil"/>
                  </w:tcBorders>
                  <w:noWrap/>
                  <w:vAlign w:val="center"/>
                </w:tcPr>
                <w:p w14:paraId="437904C9">
                  <w:pPr>
                    <w:jc w:val="center"/>
                    <w:rPr>
                      <w:rFonts w:ascii="Times New Roman" w:hAnsi="Times New Roman" w:cs="Times New Roman"/>
                      <w:color w:val="auto"/>
                      <w:szCs w:val="21"/>
                      <w:highlight w:val="none"/>
                    </w:rPr>
                  </w:pPr>
                </w:p>
              </w:tc>
            </w:tr>
            <w:tr w14:paraId="72B2A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noWrap/>
                  <w:vAlign w:val="center"/>
                </w:tcPr>
                <w:p w14:paraId="26EFCE8A">
                  <w:pPr>
                    <w:widowControl/>
                    <w:jc w:val="center"/>
                    <w:textAlignment w:val="center"/>
                    <w:rPr>
                      <w:rFonts w:ascii="Times New Roman" w:hAnsi="Times New Roman" w:cs="Times New Roman"/>
                      <w:color w:val="auto"/>
                      <w:kern w:val="0"/>
                      <w:szCs w:val="21"/>
                      <w:highlight w:val="none"/>
                      <w:lang w:bidi="ar"/>
                    </w:rPr>
                  </w:pPr>
                  <w:r>
                    <w:rPr>
                      <w:rFonts w:ascii="Times New Roman" w:hAnsi="Times New Roman" w:cs="Times New Roman"/>
                      <w:color w:val="auto"/>
                      <w:kern w:val="0"/>
                      <w:szCs w:val="21"/>
                      <w:highlight w:val="none"/>
                      <w:lang w:bidi="ar"/>
                    </w:rPr>
                    <w:t>4</w:t>
                  </w:r>
                </w:p>
              </w:tc>
              <w:tc>
                <w:tcPr>
                  <w:tcW w:w="780" w:type="pct"/>
                  <w:tcBorders>
                    <w:tl2br w:val="nil"/>
                    <w:tr2bl w:val="nil"/>
                  </w:tcBorders>
                  <w:noWrap/>
                  <w:vAlign w:val="center"/>
                </w:tcPr>
                <w:p w14:paraId="7D8FFC2C">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空调外机4</w:t>
                  </w:r>
                </w:p>
              </w:tc>
              <w:tc>
                <w:tcPr>
                  <w:tcW w:w="567" w:type="pct"/>
                  <w:tcBorders>
                    <w:tl2br w:val="nil"/>
                    <w:tr2bl w:val="nil"/>
                  </w:tcBorders>
                  <w:shd w:val="clear" w:color="auto" w:fill="auto"/>
                  <w:noWrap/>
                  <w:vAlign w:val="center"/>
                </w:tcPr>
                <w:p w14:paraId="2D9CDF20">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rPr>
                    <w:t>18.19</w:t>
                  </w:r>
                </w:p>
              </w:tc>
              <w:tc>
                <w:tcPr>
                  <w:tcW w:w="567" w:type="pct"/>
                  <w:tcBorders>
                    <w:tl2br w:val="nil"/>
                    <w:tr2bl w:val="nil"/>
                  </w:tcBorders>
                  <w:shd w:val="clear" w:color="auto" w:fill="auto"/>
                  <w:noWrap/>
                  <w:vAlign w:val="center"/>
                </w:tcPr>
                <w:p w14:paraId="4C9BBEE6">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rPr>
                    <w:t>-5.4</w:t>
                  </w:r>
                </w:p>
              </w:tc>
              <w:tc>
                <w:tcPr>
                  <w:tcW w:w="567" w:type="pct"/>
                  <w:tcBorders>
                    <w:tl2br w:val="nil"/>
                    <w:tr2bl w:val="nil"/>
                  </w:tcBorders>
                  <w:noWrap/>
                  <w:vAlign w:val="center"/>
                </w:tcPr>
                <w:p w14:paraId="10B4B8CB">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highlight w:val="none"/>
                      <w:lang w:val="en-US" w:eastAsia="zh-CN"/>
                    </w:rPr>
                    <w:t>4.5</w:t>
                  </w:r>
                </w:p>
              </w:tc>
              <w:tc>
                <w:tcPr>
                  <w:tcW w:w="806" w:type="pct"/>
                  <w:tcBorders>
                    <w:tl2br w:val="nil"/>
                    <w:tr2bl w:val="nil"/>
                  </w:tcBorders>
                  <w:noWrap/>
                  <w:vAlign w:val="center"/>
                </w:tcPr>
                <w:p w14:paraId="7803538D">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60/1</w:t>
                  </w:r>
                </w:p>
              </w:tc>
              <w:tc>
                <w:tcPr>
                  <w:tcW w:w="796" w:type="pct"/>
                  <w:tcBorders>
                    <w:tl2br w:val="nil"/>
                    <w:tr2bl w:val="nil"/>
                  </w:tcBorders>
                  <w:noWrap/>
                  <w:vAlign w:val="center"/>
                </w:tcPr>
                <w:p w14:paraId="40E4FE2C">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安装减震垫</w:t>
                  </w:r>
                </w:p>
              </w:tc>
              <w:tc>
                <w:tcPr>
                  <w:tcW w:w="570" w:type="pct"/>
                  <w:vMerge w:val="continue"/>
                  <w:tcBorders>
                    <w:tl2br w:val="nil"/>
                    <w:tr2bl w:val="nil"/>
                  </w:tcBorders>
                  <w:noWrap/>
                  <w:vAlign w:val="center"/>
                </w:tcPr>
                <w:p w14:paraId="6ABAD111">
                  <w:pPr>
                    <w:jc w:val="center"/>
                    <w:rPr>
                      <w:rFonts w:ascii="Times New Roman" w:hAnsi="Times New Roman" w:cs="Times New Roman"/>
                      <w:color w:val="auto"/>
                      <w:szCs w:val="21"/>
                      <w:highlight w:val="none"/>
                    </w:rPr>
                  </w:pPr>
                </w:p>
              </w:tc>
            </w:tr>
            <w:tr w14:paraId="4CDBC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noWrap/>
                  <w:vAlign w:val="center"/>
                </w:tcPr>
                <w:p w14:paraId="199FF120">
                  <w:pPr>
                    <w:widowControl/>
                    <w:jc w:val="center"/>
                    <w:textAlignment w:val="center"/>
                    <w:rPr>
                      <w:rFonts w:ascii="Times New Roman" w:hAnsi="Times New Roman" w:cs="Times New Roman"/>
                      <w:color w:val="auto"/>
                      <w:kern w:val="0"/>
                      <w:szCs w:val="21"/>
                      <w:highlight w:val="none"/>
                      <w:lang w:bidi="ar"/>
                    </w:rPr>
                  </w:pPr>
                  <w:r>
                    <w:rPr>
                      <w:rFonts w:ascii="Times New Roman" w:hAnsi="Times New Roman" w:cs="Times New Roman"/>
                      <w:color w:val="auto"/>
                      <w:kern w:val="0"/>
                      <w:szCs w:val="21"/>
                      <w:highlight w:val="none"/>
                      <w:lang w:bidi="ar"/>
                    </w:rPr>
                    <w:t>5</w:t>
                  </w:r>
                </w:p>
              </w:tc>
              <w:tc>
                <w:tcPr>
                  <w:tcW w:w="780" w:type="pct"/>
                  <w:tcBorders>
                    <w:tl2br w:val="nil"/>
                    <w:tr2bl w:val="nil"/>
                  </w:tcBorders>
                  <w:noWrap/>
                  <w:vAlign w:val="center"/>
                </w:tcPr>
                <w:p w14:paraId="63FBBD93">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空调外机5</w:t>
                  </w:r>
                </w:p>
              </w:tc>
              <w:tc>
                <w:tcPr>
                  <w:tcW w:w="567" w:type="pct"/>
                  <w:tcBorders>
                    <w:tl2br w:val="nil"/>
                    <w:tr2bl w:val="nil"/>
                  </w:tcBorders>
                  <w:noWrap/>
                  <w:vAlign w:val="center"/>
                </w:tcPr>
                <w:p w14:paraId="36DB541A">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18.15</w:t>
                  </w:r>
                </w:p>
              </w:tc>
              <w:tc>
                <w:tcPr>
                  <w:tcW w:w="567" w:type="pct"/>
                  <w:tcBorders>
                    <w:tl2br w:val="nil"/>
                    <w:tr2bl w:val="nil"/>
                  </w:tcBorders>
                  <w:noWrap/>
                  <w:vAlign w:val="center"/>
                </w:tcPr>
                <w:p w14:paraId="4C4EAE61">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-5.43</w:t>
                  </w:r>
                </w:p>
              </w:tc>
              <w:tc>
                <w:tcPr>
                  <w:tcW w:w="567" w:type="pct"/>
                  <w:tcBorders>
                    <w:tl2br w:val="nil"/>
                    <w:tr2bl w:val="nil"/>
                  </w:tcBorders>
                  <w:noWrap/>
                  <w:vAlign w:val="center"/>
                </w:tcPr>
                <w:p w14:paraId="6282D3B8">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highlight w:val="none"/>
                      <w:lang w:val="en-US" w:eastAsia="zh-CN"/>
                    </w:rPr>
                    <w:t>7.5</w:t>
                  </w:r>
                </w:p>
              </w:tc>
              <w:tc>
                <w:tcPr>
                  <w:tcW w:w="806" w:type="pct"/>
                  <w:tcBorders>
                    <w:tl2br w:val="nil"/>
                    <w:tr2bl w:val="nil"/>
                  </w:tcBorders>
                  <w:noWrap/>
                  <w:vAlign w:val="center"/>
                </w:tcPr>
                <w:p w14:paraId="0743ABD2">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60/1</w:t>
                  </w:r>
                </w:p>
              </w:tc>
              <w:tc>
                <w:tcPr>
                  <w:tcW w:w="796" w:type="pct"/>
                  <w:tcBorders>
                    <w:tl2br w:val="nil"/>
                    <w:tr2bl w:val="nil"/>
                  </w:tcBorders>
                  <w:noWrap/>
                  <w:vAlign w:val="center"/>
                </w:tcPr>
                <w:p w14:paraId="4C3FD5D4">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安装减震垫</w:t>
                  </w:r>
                </w:p>
              </w:tc>
              <w:tc>
                <w:tcPr>
                  <w:tcW w:w="570" w:type="pct"/>
                  <w:vMerge w:val="continue"/>
                  <w:tcBorders>
                    <w:tl2br w:val="nil"/>
                    <w:tr2bl w:val="nil"/>
                  </w:tcBorders>
                  <w:noWrap/>
                  <w:vAlign w:val="center"/>
                </w:tcPr>
                <w:p w14:paraId="4DBD0615">
                  <w:pPr>
                    <w:jc w:val="center"/>
                    <w:rPr>
                      <w:rFonts w:ascii="Times New Roman" w:hAnsi="Times New Roman" w:cs="Times New Roman"/>
                      <w:color w:val="auto"/>
                      <w:szCs w:val="21"/>
                      <w:highlight w:val="none"/>
                    </w:rPr>
                  </w:pPr>
                </w:p>
              </w:tc>
            </w:tr>
            <w:tr w14:paraId="23C72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noWrap/>
                  <w:vAlign w:val="center"/>
                </w:tcPr>
                <w:p w14:paraId="16F16FC9">
                  <w:pPr>
                    <w:widowControl/>
                    <w:jc w:val="center"/>
                    <w:textAlignment w:val="center"/>
                    <w:rPr>
                      <w:rFonts w:ascii="Times New Roman" w:hAnsi="Times New Roman" w:cs="Times New Roman"/>
                      <w:color w:val="auto"/>
                      <w:kern w:val="0"/>
                      <w:szCs w:val="21"/>
                      <w:highlight w:val="none"/>
                      <w:lang w:bidi="ar"/>
                    </w:rPr>
                  </w:pPr>
                  <w:r>
                    <w:rPr>
                      <w:rFonts w:ascii="Times New Roman" w:hAnsi="Times New Roman" w:cs="Times New Roman"/>
                      <w:color w:val="auto"/>
                      <w:kern w:val="0"/>
                      <w:szCs w:val="21"/>
                      <w:highlight w:val="none"/>
                      <w:lang w:bidi="ar"/>
                    </w:rPr>
                    <w:t>6</w:t>
                  </w:r>
                </w:p>
              </w:tc>
              <w:tc>
                <w:tcPr>
                  <w:tcW w:w="780" w:type="pct"/>
                  <w:tcBorders>
                    <w:tl2br w:val="nil"/>
                    <w:tr2bl w:val="nil"/>
                  </w:tcBorders>
                  <w:noWrap/>
                  <w:vAlign w:val="center"/>
                </w:tcPr>
                <w:p w14:paraId="29B13543">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空调外机6</w:t>
                  </w:r>
                </w:p>
              </w:tc>
              <w:tc>
                <w:tcPr>
                  <w:tcW w:w="567" w:type="pct"/>
                  <w:tcBorders>
                    <w:tl2br w:val="nil"/>
                    <w:tr2bl w:val="nil"/>
                  </w:tcBorders>
                  <w:noWrap/>
                  <w:vAlign w:val="center"/>
                </w:tcPr>
                <w:p w14:paraId="7817A11B">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18.33</w:t>
                  </w:r>
                </w:p>
              </w:tc>
              <w:tc>
                <w:tcPr>
                  <w:tcW w:w="567" w:type="pct"/>
                  <w:tcBorders>
                    <w:tl2br w:val="nil"/>
                    <w:tr2bl w:val="nil"/>
                  </w:tcBorders>
                  <w:noWrap/>
                  <w:vAlign w:val="center"/>
                </w:tcPr>
                <w:p w14:paraId="3CD141A4">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-5.6</w:t>
                  </w:r>
                </w:p>
              </w:tc>
              <w:tc>
                <w:tcPr>
                  <w:tcW w:w="567" w:type="pct"/>
                  <w:tcBorders>
                    <w:tl2br w:val="nil"/>
                    <w:tr2bl w:val="nil"/>
                  </w:tcBorders>
                  <w:noWrap/>
                  <w:vAlign w:val="center"/>
                </w:tcPr>
                <w:p w14:paraId="37280520">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highlight w:val="none"/>
                      <w:lang w:val="en-US" w:eastAsia="zh-CN"/>
                    </w:rPr>
                    <w:t>7.5</w:t>
                  </w:r>
                </w:p>
              </w:tc>
              <w:tc>
                <w:tcPr>
                  <w:tcW w:w="806" w:type="pct"/>
                  <w:tcBorders>
                    <w:tl2br w:val="nil"/>
                    <w:tr2bl w:val="nil"/>
                  </w:tcBorders>
                  <w:noWrap/>
                  <w:vAlign w:val="center"/>
                </w:tcPr>
                <w:p w14:paraId="7B36E0D2">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60/1</w:t>
                  </w:r>
                </w:p>
              </w:tc>
              <w:tc>
                <w:tcPr>
                  <w:tcW w:w="796" w:type="pct"/>
                  <w:tcBorders>
                    <w:tl2br w:val="nil"/>
                    <w:tr2bl w:val="nil"/>
                  </w:tcBorders>
                  <w:noWrap/>
                  <w:vAlign w:val="center"/>
                </w:tcPr>
                <w:p w14:paraId="67BA3C22">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安装减震垫</w:t>
                  </w:r>
                </w:p>
              </w:tc>
              <w:tc>
                <w:tcPr>
                  <w:tcW w:w="570" w:type="pct"/>
                  <w:vMerge w:val="continue"/>
                  <w:tcBorders>
                    <w:tl2br w:val="nil"/>
                    <w:tr2bl w:val="nil"/>
                  </w:tcBorders>
                  <w:noWrap/>
                  <w:vAlign w:val="center"/>
                </w:tcPr>
                <w:p w14:paraId="7AC30B2B">
                  <w:pPr>
                    <w:jc w:val="center"/>
                    <w:rPr>
                      <w:rFonts w:ascii="Times New Roman" w:hAnsi="Times New Roman" w:cs="Times New Roman"/>
                      <w:color w:val="auto"/>
                      <w:szCs w:val="21"/>
                      <w:highlight w:val="none"/>
                    </w:rPr>
                  </w:pPr>
                </w:p>
              </w:tc>
            </w:tr>
            <w:tr w14:paraId="3DAA3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noWrap/>
                  <w:vAlign w:val="center"/>
                </w:tcPr>
                <w:p w14:paraId="6E967770">
                  <w:pPr>
                    <w:widowControl/>
                    <w:jc w:val="center"/>
                    <w:textAlignment w:val="center"/>
                    <w:rPr>
                      <w:rFonts w:ascii="Times New Roman" w:hAnsi="Times New Roman" w:cs="Times New Roman"/>
                      <w:color w:val="auto"/>
                      <w:kern w:val="0"/>
                      <w:szCs w:val="21"/>
                      <w:highlight w:val="none"/>
                      <w:lang w:bidi="ar"/>
                    </w:rPr>
                  </w:pPr>
                  <w:r>
                    <w:rPr>
                      <w:rFonts w:ascii="Times New Roman" w:hAnsi="Times New Roman" w:cs="Times New Roman"/>
                      <w:color w:val="auto"/>
                      <w:kern w:val="0"/>
                      <w:szCs w:val="21"/>
                      <w:highlight w:val="none"/>
                      <w:lang w:bidi="ar"/>
                    </w:rPr>
                    <w:t>7</w:t>
                  </w:r>
                </w:p>
              </w:tc>
              <w:tc>
                <w:tcPr>
                  <w:tcW w:w="780" w:type="pct"/>
                  <w:tcBorders>
                    <w:tl2br w:val="nil"/>
                    <w:tr2bl w:val="nil"/>
                  </w:tcBorders>
                  <w:noWrap/>
                  <w:vAlign w:val="center"/>
                </w:tcPr>
                <w:p w14:paraId="42D647A8">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空调外机7</w:t>
                  </w:r>
                </w:p>
              </w:tc>
              <w:tc>
                <w:tcPr>
                  <w:tcW w:w="567" w:type="pct"/>
                  <w:tcBorders>
                    <w:tl2br w:val="nil"/>
                    <w:tr2bl w:val="nil"/>
                  </w:tcBorders>
                  <w:noWrap/>
                  <w:vAlign w:val="center"/>
                </w:tcPr>
                <w:p w14:paraId="73DCC9D5">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17.99</w:t>
                  </w:r>
                </w:p>
              </w:tc>
              <w:tc>
                <w:tcPr>
                  <w:tcW w:w="567" w:type="pct"/>
                  <w:tcBorders>
                    <w:tl2br w:val="nil"/>
                    <w:tr2bl w:val="nil"/>
                  </w:tcBorders>
                  <w:noWrap/>
                  <w:vAlign w:val="center"/>
                </w:tcPr>
                <w:p w14:paraId="2841441F">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-5.67</w:t>
                  </w:r>
                </w:p>
              </w:tc>
              <w:tc>
                <w:tcPr>
                  <w:tcW w:w="567" w:type="pct"/>
                  <w:tcBorders>
                    <w:tl2br w:val="nil"/>
                    <w:tr2bl w:val="nil"/>
                  </w:tcBorders>
                  <w:noWrap/>
                  <w:vAlign w:val="center"/>
                </w:tcPr>
                <w:p w14:paraId="45224D06">
                  <w:pPr>
                    <w:jc w:val="center"/>
                    <w:rPr>
                      <w:rFonts w:ascii="Times New Roman" w:hAnsi="Times New Roman" w:cs="Times New Roman"/>
                      <w:color w:val="auto"/>
                      <w:szCs w:val="21"/>
                      <w:highlight w:val="none"/>
                    </w:rPr>
                  </w:pPr>
                  <w:r>
                    <w:rPr>
                      <w:rFonts w:hint="eastAsia" w:ascii="Times New Roman" w:hAnsi="Times New Roman" w:cs="Times New Roman"/>
                      <w:color w:val="auto"/>
                      <w:highlight w:val="none"/>
                      <w:lang w:val="en-US" w:eastAsia="zh-CN"/>
                    </w:rPr>
                    <w:t>10.5</w:t>
                  </w:r>
                </w:p>
              </w:tc>
              <w:tc>
                <w:tcPr>
                  <w:tcW w:w="806" w:type="pct"/>
                  <w:tcBorders>
                    <w:tl2br w:val="nil"/>
                    <w:tr2bl w:val="nil"/>
                  </w:tcBorders>
                  <w:noWrap/>
                  <w:vAlign w:val="center"/>
                </w:tcPr>
                <w:p w14:paraId="1684BC7D">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60/1</w:t>
                  </w:r>
                </w:p>
              </w:tc>
              <w:tc>
                <w:tcPr>
                  <w:tcW w:w="796" w:type="pct"/>
                  <w:tcBorders>
                    <w:tl2br w:val="nil"/>
                    <w:tr2bl w:val="nil"/>
                  </w:tcBorders>
                  <w:noWrap/>
                  <w:vAlign w:val="center"/>
                </w:tcPr>
                <w:p w14:paraId="50E8C3E7">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安装减震垫</w:t>
                  </w:r>
                </w:p>
              </w:tc>
              <w:tc>
                <w:tcPr>
                  <w:tcW w:w="570" w:type="pct"/>
                  <w:vMerge w:val="continue"/>
                  <w:tcBorders>
                    <w:tl2br w:val="nil"/>
                    <w:tr2bl w:val="nil"/>
                  </w:tcBorders>
                  <w:noWrap/>
                  <w:vAlign w:val="center"/>
                </w:tcPr>
                <w:p w14:paraId="046BB751">
                  <w:pPr>
                    <w:jc w:val="center"/>
                    <w:rPr>
                      <w:rFonts w:ascii="Times New Roman" w:hAnsi="Times New Roman" w:cs="Times New Roman"/>
                      <w:color w:val="auto"/>
                      <w:szCs w:val="21"/>
                      <w:highlight w:val="none"/>
                    </w:rPr>
                  </w:pPr>
                </w:p>
              </w:tc>
            </w:tr>
            <w:tr w14:paraId="265623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noWrap/>
                  <w:vAlign w:val="center"/>
                </w:tcPr>
                <w:p w14:paraId="2B4F44C8">
                  <w:pPr>
                    <w:widowControl/>
                    <w:jc w:val="center"/>
                    <w:textAlignment w:val="center"/>
                    <w:rPr>
                      <w:rFonts w:ascii="Times New Roman" w:hAnsi="Times New Roman" w:cs="Times New Roman"/>
                      <w:color w:val="auto"/>
                      <w:kern w:val="0"/>
                      <w:szCs w:val="21"/>
                      <w:highlight w:val="none"/>
                      <w:lang w:bidi="ar"/>
                    </w:rPr>
                  </w:pPr>
                  <w:r>
                    <w:rPr>
                      <w:rFonts w:ascii="Times New Roman" w:hAnsi="Times New Roman" w:cs="Times New Roman"/>
                      <w:color w:val="auto"/>
                      <w:kern w:val="0"/>
                      <w:szCs w:val="21"/>
                      <w:highlight w:val="none"/>
                      <w:lang w:bidi="ar"/>
                    </w:rPr>
                    <w:t>8</w:t>
                  </w:r>
                </w:p>
              </w:tc>
              <w:tc>
                <w:tcPr>
                  <w:tcW w:w="780" w:type="pct"/>
                  <w:tcBorders>
                    <w:tl2br w:val="nil"/>
                    <w:tr2bl w:val="nil"/>
                  </w:tcBorders>
                  <w:noWrap/>
                  <w:vAlign w:val="center"/>
                </w:tcPr>
                <w:p w14:paraId="4D9D4CA0">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空调外机8</w:t>
                  </w:r>
                </w:p>
              </w:tc>
              <w:tc>
                <w:tcPr>
                  <w:tcW w:w="567" w:type="pct"/>
                  <w:tcBorders>
                    <w:tl2br w:val="nil"/>
                    <w:tr2bl w:val="nil"/>
                  </w:tcBorders>
                  <w:noWrap/>
                  <w:vAlign w:val="center"/>
                </w:tcPr>
                <w:p w14:paraId="13E8FC85">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18.88</w:t>
                  </w:r>
                </w:p>
              </w:tc>
              <w:tc>
                <w:tcPr>
                  <w:tcW w:w="567" w:type="pct"/>
                  <w:tcBorders>
                    <w:tl2br w:val="nil"/>
                    <w:tr2bl w:val="nil"/>
                  </w:tcBorders>
                  <w:noWrap/>
                  <w:vAlign w:val="center"/>
                </w:tcPr>
                <w:p w14:paraId="37CAE8C6">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-5.33</w:t>
                  </w:r>
                </w:p>
              </w:tc>
              <w:tc>
                <w:tcPr>
                  <w:tcW w:w="567" w:type="pct"/>
                  <w:tcBorders>
                    <w:tl2br w:val="nil"/>
                    <w:tr2bl w:val="nil"/>
                  </w:tcBorders>
                  <w:noWrap/>
                  <w:vAlign w:val="center"/>
                </w:tcPr>
                <w:p w14:paraId="4F9D9114">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highlight w:val="none"/>
                      <w:lang w:val="en-US" w:eastAsia="zh-CN"/>
                    </w:rPr>
                    <w:t>10.5</w:t>
                  </w:r>
                </w:p>
              </w:tc>
              <w:tc>
                <w:tcPr>
                  <w:tcW w:w="806" w:type="pct"/>
                  <w:tcBorders>
                    <w:tl2br w:val="nil"/>
                    <w:tr2bl w:val="nil"/>
                  </w:tcBorders>
                  <w:noWrap/>
                  <w:vAlign w:val="center"/>
                </w:tcPr>
                <w:p w14:paraId="39EBB59D">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60/1</w:t>
                  </w:r>
                </w:p>
              </w:tc>
              <w:tc>
                <w:tcPr>
                  <w:tcW w:w="796" w:type="pct"/>
                  <w:tcBorders>
                    <w:tl2br w:val="nil"/>
                    <w:tr2bl w:val="nil"/>
                  </w:tcBorders>
                  <w:noWrap/>
                  <w:vAlign w:val="center"/>
                </w:tcPr>
                <w:p w14:paraId="5F27F1D9">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安装减震垫</w:t>
                  </w:r>
                </w:p>
              </w:tc>
              <w:tc>
                <w:tcPr>
                  <w:tcW w:w="570" w:type="pct"/>
                  <w:vMerge w:val="continue"/>
                  <w:tcBorders>
                    <w:tl2br w:val="nil"/>
                    <w:tr2bl w:val="nil"/>
                  </w:tcBorders>
                  <w:noWrap/>
                  <w:vAlign w:val="center"/>
                </w:tcPr>
                <w:p w14:paraId="7F2A41BF">
                  <w:pPr>
                    <w:jc w:val="center"/>
                    <w:rPr>
                      <w:rFonts w:ascii="Times New Roman" w:hAnsi="Times New Roman" w:cs="Times New Roman"/>
                      <w:color w:val="auto"/>
                      <w:szCs w:val="21"/>
                      <w:highlight w:val="none"/>
                    </w:rPr>
                  </w:pPr>
                </w:p>
              </w:tc>
            </w:tr>
            <w:tr w14:paraId="115BB4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noWrap/>
                  <w:vAlign w:val="center"/>
                </w:tcPr>
                <w:p w14:paraId="2301B18A">
                  <w:pPr>
                    <w:widowControl/>
                    <w:jc w:val="center"/>
                    <w:textAlignment w:val="center"/>
                    <w:rPr>
                      <w:rFonts w:ascii="Times New Roman" w:hAnsi="Times New Roman" w:cs="Times New Roman"/>
                      <w:color w:val="auto"/>
                      <w:kern w:val="0"/>
                      <w:szCs w:val="21"/>
                      <w:highlight w:val="none"/>
                      <w:lang w:bidi="ar"/>
                    </w:rPr>
                  </w:pPr>
                  <w:r>
                    <w:rPr>
                      <w:rFonts w:ascii="Times New Roman" w:hAnsi="Times New Roman" w:cs="Times New Roman"/>
                      <w:color w:val="auto"/>
                      <w:kern w:val="0"/>
                      <w:szCs w:val="21"/>
                      <w:highlight w:val="none"/>
                      <w:lang w:bidi="ar"/>
                    </w:rPr>
                    <w:t>9</w:t>
                  </w:r>
                </w:p>
              </w:tc>
              <w:tc>
                <w:tcPr>
                  <w:tcW w:w="780" w:type="pct"/>
                  <w:tcBorders>
                    <w:tl2br w:val="nil"/>
                    <w:tr2bl w:val="nil"/>
                  </w:tcBorders>
                  <w:noWrap/>
                  <w:vAlign w:val="center"/>
                </w:tcPr>
                <w:p w14:paraId="25DF61BF">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空调外机9</w:t>
                  </w:r>
                </w:p>
              </w:tc>
              <w:tc>
                <w:tcPr>
                  <w:tcW w:w="567" w:type="pct"/>
                  <w:tcBorders>
                    <w:tl2br w:val="nil"/>
                    <w:tr2bl w:val="nil"/>
                  </w:tcBorders>
                  <w:noWrap/>
                  <w:vAlign w:val="center"/>
                </w:tcPr>
                <w:p w14:paraId="7F431D30">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29.6</w:t>
                  </w:r>
                </w:p>
              </w:tc>
              <w:tc>
                <w:tcPr>
                  <w:tcW w:w="567" w:type="pct"/>
                  <w:tcBorders>
                    <w:tl2br w:val="nil"/>
                    <w:tr2bl w:val="nil"/>
                  </w:tcBorders>
                  <w:noWrap/>
                  <w:vAlign w:val="center"/>
                </w:tcPr>
                <w:p w14:paraId="4EAD9E68">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4.28</w:t>
                  </w:r>
                </w:p>
              </w:tc>
              <w:tc>
                <w:tcPr>
                  <w:tcW w:w="567" w:type="pct"/>
                  <w:tcBorders>
                    <w:tl2br w:val="nil"/>
                    <w:tr2bl w:val="nil"/>
                  </w:tcBorders>
                  <w:noWrap/>
                  <w:vAlign w:val="center"/>
                </w:tcPr>
                <w:p w14:paraId="0772E727">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highlight w:val="none"/>
                      <w:lang w:val="en-US" w:eastAsia="zh-CN"/>
                    </w:rPr>
                    <w:t>13.5</w:t>
                  </w:r>
                </w:p>
              </w:tc>
              <w:tc>
                <w:tcPr>
                  <w:tcW w:w="806" w:type="pct"/>
                  <w:tcBorders>
                    <w:tl2br w:val="nil"/>
                    <w:tr2bl w:val="nil"/>
                  </w:tcBorders>
                  <w:noWrap/>
                  <w:vAlign w:val="center"/>
                </w:tcPr>
                <w:p w14:paraId="5899D819">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60/1</w:t>
                  </w:r>
                </w:p>
              </w:tc>
              <w:tc>
                <w:tcPr>
                  <w:tcW w:w="796" w:type="pct"/>
                  <w:tcBorders>
                    <w:tl2br w:val="nil"/>
                    <w:tr2bl w:val="nil"/>
                  </w:tcBorders>
                  <w:noWrap/>
                  <w:vAlign w:val="center"/>
                </w:tcPr>
                <w:p w14:paraId="648D0764">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安装减震垫</w:t>
                  </w:r>
                </w:p>
              </w:tc>
              <w:tc>
                <w:tcPr>
                  <w:tcW w:w="570" w:type="pct"/>
                  <w:vMerge w:val="continue"/>
                  <w:tcBorders>
                    <w:tl2br w:val="nil"/>
                    <w:tr2bl w:val="nil"/>
                  </w:tcBorders>
                  <w:noWrap/>
                  <w:vAlign w:val="center"/>
                </w:tcPr>
                <w:p w14:paraId="61DEFD59">
                  <w:pPr>
                    <w:jc w:val="center"/>
                    <w:rPr>
                      <w:rFonts w:ascii="Times New Roman" w:hAnsi="Times New Roman" w:cs="Times New Roman"/>
                      <w:color w:val="auto"/>
                      <w:szCs w:val="21"/>
                      <w:highlight w:val="none"/>
                    </w:rPr>
                  </w:pPr>
                </w:p>
              </w:tc>
            </w:tr>
            <w:tr w14:paraId="43CD5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noWrap/>
                  <w:vAlign w:val="center"/>
                </w:tcPr>
                <w:p w14:paraId="6F7C25EA">
                  <w:pPr>
                    <w:widowControl/>
                    <w:jc w:val="center"/>
                    <w:textAlignment w:val="center"/>
                    <w:rPr>
                      <w:rFonts w:ascii="Times New Roman" w:hAnsi="Times New Roman" w:cs="Times New Roman"/>
                      <w:color w:val="auto"/>
                      <w:kern w:val="0"/>
                      <w:szCs w:val="21"/>
                      <w:highlight w:val="none"/>
                      <w:lang w:bidi="ar"/>
                    </w:rPr>
                  </w:pPr>
                  <w:r>
                    <w:rPr>
                      <w:rFonts w:ascii="Times New Roman" w:hAnsi="Times New Roman" w:cs="Times New Roman"/>
                      <w:color w:val="auto"/>
                      <w:kern w:val="0"/>
                      <w:szCs w:val="21"/>
                      <w:highlight w:val="none"/>
                      <w:lang w:bidi="ar"/>
                    </w:rPr>
                    <w:t>10</w:t>
                  </w:r>
                </w:p>
              </w:tc>
              <w:tc>
                <w:tcPr>
                  <w:tcW w:w="780" w:type="pct"/>
                  <w:tcBorders>
                    <w:tl2br w:val="nil"/>
                    <w:tr2bl w:val="nil"/>
                  </w:tcBorders>
                  <w:noWrap/>
                  <w:vAlign w:val="center"/>
                </w:tcPr>
                <w:p w14:paraId="13767E9E">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空调外机10</w:t>
                  </w:r>
                </w:p>
              </w:tc>
              <w:tc>
                <w:tcPr>
                  <w:tcW w:w="567" w:type="pct"/>
                  <w:tcBorders>
                    <w:tl2br w:val="nil"/>
                    <w:tr2bl w:val="nil"/>
                  </w:tcBorders>
                  <w:noWrap/>
                  <w:vAlign w:val="center"/>
                </w:tcPr>
                <w:p w14:paraId="772D7C46">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29.95</w:t>
                  </w:r>
                </w:p>
              </w:tc>
              <w:tc>
                <w:tcPr>
                  <w:tcW w:w="567" w:type="pct"/>
                  <w:tcBorders>
                    <w:tl2br w:val="nil"/>
                    <w:tr2bl w:val="nil"/>
                  </w:tcBorders>
                  <w:noWrap/>
                  <w:vAlign w:val="center"/>
                </w:tcPr>
                <w:p w14:paraId="443CA603">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4.42</w:t>
                  </w:r>
                </w:p>
              </w:tc>
              <w:tc>
                <w:tcPr>
                  <w:tcW w:w="567" w:type="pct"/>
                  <w:tcBorders>
                    <w:tl2br w:val="nil"/>
                    <w:tr2bl w:val="nil"/>
                  </w:tcBorders>
                  <w:noWrap/>
                  <w:vAlign w:val="center"/>
                </w:tcPr>
                <w:p w14:paraId="29D08BFA">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highlight w:val="none"/>
                      <w:lang w:val="en-US" w:eastAsia="zh-CN"/>
                    </w:rPr>
                    <w:t>13.5</w:t>
                  </w:r>
                </w:p>
              </w:tc>
              <w:tc>
                <w:tcPr>
                  <w:tcW w:w="806" w:type="pct"/>
                  <w:tcBorders>
                    <w:tl2br w:val="nil"/>
                    <w:tr2bl w:val="nil"/>
                  </w:tcBorders>
                  <w:noWrap/>
                  <w:vAlign w:val="center"/>
                </w:tcPr>
                <w:p w14:paraId="00D1C8FC">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60/1</w:t>
                  </w:r>
                </w:p>
              </w:tc>
              <w:tc>
                <w:tcPr>
                  <w:tcW w:w="796" w:type="pct"/>
                  <w:tcBorders>
                    <w:tl2br w:val="nil"/>
                    <w:tr2bl w:val="nil"/>
                  </w:tcBorders>
                  <w:noWrap/>
                  <w:vAlign w:val="center"/>
                </w:tcPr>
                <w:p w14:paraId="4AF8809A">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安装减震垫</w:t>
                  </w:r>
                </w:p>
              </w:tc>
              <w:tc>
                <w:tcPr>
                  <w:tcW w:w="570" w:type="pct"/>
                  <w:vMerge w:val="continue"/>
                  <w:tcBorders>
                    <w:tl2br w:val="nil"/>
                    <w:tr2bl w:val="nil"/>
                  </w:tcBorders>
                  <w:noWrap/>
                  <w:vAlign w:val="center"/>
                </w:tcPr>
                <w:p w14:paraId="22E6C27B">
                  <w:pPr>
                    <w:jc w:val="center"/>
                    <w:rPr>
                      <w:rFonts w:ascii="Times New Roman" w:hAnsi="Times New Roman" w:cs="Times New Roman"/>
                      <w:color w:val="auto"/>
                      <w:szCs w:val="21"/>
                      <w:highlight w:val="none"/>
                    </w:rPr>
                  </w:pPr>
                </w:p>
              </w:tc>
            </w:tr>
            <w:tr w14:paraId="7A8158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noWrap/>
                  <w:vAlign w:val="center"/>
                </w:tcPr>
                <w:p w14:paraId="1486A324">
                  <w:pPr>
                    <w:widowControl/>
                    <w:jc w:val="center"/>
                    <w:textAlignment w:val="center"/>
                    <w:rPr>
                      <w:rFonts w:ascii="Times New Roman" w:hAnsi="Times New Roman" w:cs="Times New Roman"/>
                      <w:color w:val="auto"/>
                      <w:kern w:val="0"/>
                      <w:szCs w:val="21"/>
                      <w:highlight w:val="none"/>
                      <w:lang w:bidi="ar"/>
                    </w:rPr>
                  </w:pPr>
                  <w:r>
                    <w:rPr>
                      <w:rFonts w:ascii="Times New Roman" w:hAnsi="Times New Roman" w:cs="Times New Roman"/>
                      <w:color w:val="auto"/>
                      <w:kern w:val="0"/>
                      <w:szCs w:val="21"/>
                      <w:highlight w:val="none"/>
                      <w:lang w:bidi="ar"/>
                    </w:rPr>
                    <w:t>11</w:t>
                  </w:r>
                </w:p>
              </w:tc>
              <w:tc>
                <w:tcPr>
                  <w:tcW w:w="780" w:type="pct"/>
                  <w:tcBorders>
                    <w:tl2br w:val="nil"/>
                    <w:tr2bl w:val="nil"/>
                  </w:tcBorders>
                  <w:noWrap/>
                  <w:vAlign w:val="center"/>
                </w:tcPr>
                <w:p w14:paraId="00CFDB49">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空调外机11</w:t>
                  </w:r>
                </w:p>
              </w:tc>
              <w:tc>
                <w:tcPr>
                  <w:tcW w:w="567" w:type="pct"/>
                  <w:tcBorders>
                    <w:tl2br w:val="nil"/>
                    <w:tr2bl w:val="nil"/>
                  </w:tcBorders>
                  <w:noWrap/>
                  <w:vAlign w:val="center"/>
                </w:tcPr>
                <w:p w14:paraId="764F4EBA">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29.74</w:t>
                  </w:r>
                </w:p>
              </w:tc>
              <w:tc>
                <w:tcPr>
                  <w:tcW w:w="567" w:type="pct"/>
                  <w:tcBorders>
                    <w:tl2br w:val="nil"/>
                    <w:tr2bl w:val="nil"/>
                  </w:tcBorders>
                  <w:noWrap/>
                  <w:vAlign w:val="center"/>
                </w:tcPr>
                <w:p w14:paraId="462E51DA">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4.42</w:t>
                  </w:r>
                </w:p>
              </w:tc>
              <w:tc>
                <w:tcPr>
                  <w:tcW w:w="567" w:type="pct"/>
                  <w:tcBorders>
                    <w:tl2br w:val="nil"/>
                    <w:tr2bl w:val="nil"/>
                  </w:tcBorders>
                  <w:noWrap/>
                  <w:vAlign w:val="center"/>
                </w:tcPr>
                <w:p w14:paraId="4494AB3B">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highlight w:val="none"/>
                      <w:lang w:val="en-US" w:eastAsia="zh-CN"/>
                    </w:rPr>
                    <w:t>17.5</w:t>
                  </w:r>
                </w:p>
              </w:tc>
              <w:tc>
                <w:tcPr>
                  <w:tcW w:w="806" w:type="pct"/>
                  <w:tcBorders>
                    <w:tl2br w:val="nil"/>
                    <w:tr2bl w:val="nil"/>
                  </w:tcBorders>
                  <w:noWrap/>
                  <w:vAlign w:val="center"/>
                </w:tcPr>
                <w:p w14:paraId="729492EB">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60/1</w:t>
                  </w:r>
                </w:p>
              </w:tc>
              <w:tc>
                <w:tcPr>
                  <w:tcW w:w="796" w:type="pct"/>
                  <w:tcBorders>
                    <w:tl2br w:val="nil"/>
                    <w:tr2bl w:val="nil"/>
                  </w:tcBorders>
                  <w:noWrap/>
                  <w:vAlign w:val="center"/>
                </w:tcPr>
                <w:p w14:paraId="3AA22DA0">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安装减震垫</w:t>
                  </w:r>
                </w:p>
              </w:tc>
              <w:tc>
                <w:tcPr>
                  <w:tcW w:w="570" w:type="pct"/>
                  <w:vMerge w:val="continue"/>
                  <w:tcBorders>
                    <w:tl2br w:val="nil"/>
                    <w:tr2bl w:val="nil"/>
                  </w:tcBorders>
                  <w:noWrap/>
                  <w:vAlign w:val="center"/>
                </w:tcPr>
                <w:p w14:paraId="452C198C">
                  <w:pPr>
                    <w:jc w:val="center"/>
                    <w:rPr>
                      <w:rFonts w:ascii="Times New Roman" w:hAnsi="Times New Roman" w:cs="Times New Roman"/>
                      <w:color w:val="auto"/>
                      <w:szCs w:val="21"/>
                      <w:highlight w:val="none"/>
                    </w:rPr>
                  </w:pPr>
                </w:p>
              </w:tc>
            </w:tr>
            <w:tr w14:paraId="109A8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noWrap/>
                  <w:vAlign w:val="center"/>
                </w:tcPr>
                <w:p w14:paraId="05E272D3">
                  <w:pPr>
                    <w:widowControl/>
                    <w:jc w:val="center"/>
                    <w:textAlignment w:val="center"/>
                    <w:rPr>
                      <w:rFonts w:ascii="Times New Roman" w:hAnsi="Times New Roman" w:cs="Times New Roman"/>
                      <w:color w:val="auto"/>
                      <w:kern w:val="0"/>
                      <w:szCs w:val="21"/>
                      <w:highlight w:val="none"/>
                      <w:lang w:bidi="ar"/>
                    </w:rPr>
                  </w:pPr>
                  <w:r>
                    <w:rPr>
                      <w:rFonts w:ascii="Times New Roman" w:hAnsi="Times New Roman" w:cs="Times New Roman"/>
                      <w:color w:val="auto"/>
                      <w:kern w:val="0"/>
                      <w:szCs w:val="21"/>
                      <w:highlight w:val="none"/>
                      <w:lang w:bidi="ar"/>
                    </w:rPr>
                    <w:t>12</w:t>
                  </w:r>
                </w:p>
              </w:tc>
              <w:tc>
                <w:tcPr>
                  <w:tcW w:w="780" w:type="pct"/>
                  <w:tcBorders>
                    <w:tl2br w:val="nil"/>
                    <w:tr2bl w:val="nil"/>
                  </w:tcBorders>
                  <w:noWrap/>
                  <w:vAlign w:val="center"/>
                </w:tcPr>
                <w:p w14:paraId="285A4F9E">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空调外机12</w:t>
                  </w:r>
                </w:p>
              </w:tc>
              <w:tc>
                <w:tcPr>
                  <w:tcW w:w="567" w:type="pct"/>
                  <w:tcBorders>
                    <w:tl2br w:val="nil"/>
                    <w:tr2bl w:val="nil"/>
                  </w:tcBorders>
                  <w:noWrap/>
                  <w:vAlign w:val="center"/>
                </w:tcPr>
                <w:p w14:paraId="0C54CBAD">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30.02</w:t>
                  </w:r>
                </w:p>
              </w:tc>
              <w:tc>
                <w:tcPr>
                  <w:tcW w:w="567" w:type="pct"/>
                  <w:tcBorders>
                    <w:tl2br w:val="nil"/>
                    <w:tr2bl w:val="nil"/>
                  </w:tcBorders>
                  <w:noWrap/>
                  <w:vAlign w:val="center"/>
                </w:tcPr>
                <w:p w14:paraId="224BD022">
                  <w:pPr>
                    <w:jc w:val="center"/>
                    <w:rPr>
                      <w:rFonts w:hint="default" w:ascii="Times New Roman" w:hAnsi="Times New Roman" w:cs="Times New Roman"/>
                      <w:color w:val="auto"/>
                      <w:szCs w:val="21"/>
                      <w:highlight w:val="none"/>
                    </w:rPr>
                  </w:pPr>
                  <w:r>
                    <w:rPr>
                      <w:rFonts w:hint="default" w:ascii="Times New Roman" w:hAnsi="Times New Roman" w:cs="Times New Roman"/>
                      <w:color w:val="auto"/>
                    </w:rPr>
                    <w:t>4.42</w:t>
                  </w:r>
                </w:p>
              </w:tc>
              <w:tc>
                <w:tcPr>
                  <w:tcW w:w="567" w:type="pct"/>
                  <w:tcBorders>
                    <w:tl2br w:val="nil"/>
                    <w:tr2bl w:val="nil"/>
                  </w:tcBorders>
                  <w:noWrap/>
                  <w:vAlign w:val="center"/>
                </w:tcPr>
                <w:p w14:paraId="6123AC43">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highlight w:val="none"/>
                      <w:lang w:val="en-US" w:eastAsia="zh-CN"/>
                    </w:rPr>
                    <w:t>17.5</w:t>
                  </w:r>
                </w:p>
              </w:tc>
              <w:tc>
                <w:tcPr>
                  <w:tcW w:w="806" w:type="pct"/>
                  <w:tcBorders>
                    <w:tl2br w:val="nil"/>
                    <w:tr2bl w:val="nil"/>
                  </w:tcBorders>
                  <w:noWrap/>
                  <w:vAlign w:val="center"/>
                </w:tcPr>
                <w:p w14:paraId="019D5440">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60/1</w:t>
                  </w:r>
                </w:p>
              </w:tc>
              <w:tc>
                <w:tcPr>
                  <w:tcW w:w="796" w:type="pct"/>
                  <w:tcBorders>
                    <w:tl2br w:val="nil"/>
                    <w:tr2bl w:val="nil"/>
                  </w:tcBorders>
                  <w:noWrap/>
                  <w:vAlign w:val="center"/>
                </w:tcPr>
                <w:p w14:paraId="55530301">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安装减震垫</w:t>
                  </w:r>
                </w:p>
              </w:tc>
              <w:tc>
                <w:tcPr>
                  <w:tcW w:w="570" w:type="pct"/>
                  <w:vMerge w:val="continue"/>
                  <w:tcBorders>
                    <w:tl2br w:val="nil"/>
                    <w:tr2bl w:val="nil"/>
                  </w:tcBorders>
                  <w:noWrap/>
                  <w:vAlign w:val="center"/>
                </w:tcPr>
                <w:p w14:paraId="444754DB">
                  <w:pPr>
                    <w:jc w:val="center"/>
                    <w:rPr>
                      <w:rFonts w:ascii="Times New Roman" w:hAnsi="Times New Roman" w:cs="Times New Roman"/>
                      <w:color w:val="auto"/>
                      <w:szCs w:val="21"/>
                      <w:highlight w:val="none"/>
                    </w:rPr>
                  </w:pPr>
                </w:p>
              </w:tc>
            </w:tr>
          </w:tbl>
          <w:p w14:paraId="13EE7244">
            <w:pPr>
              <w:spacing w:line="360" w:lineRule="auto"/>
              <w:ind w:firstLine="482" w:firstLineChars="200"/>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2、噪声影响及达标分析</w:t>
            </w:r>
          </w:p>
          <w:p w14:paraId="0BF87826">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（1）预测模型</w:t>
            </w:r>
          </w:p>
          <w:p w14:paraId="4DE50660">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根据项目建设内容及《环境影响评价技术导则</w:t>
            </w:r>
            <w:r>
              <w:rPr>
                <w:rFonts w:hint="eastAsia" w:ascii="Times New Roman" w:hAnsi="Times New Roman" w:cs="Times New Roman"/>
                <w:color w:val="auto"/>
                <w:sz w:val="24"/>
                <w:szCs w:val="24"/>
                <w:highlight w:val="none"/>
              </w:rPr>
              <w:t xml:space="preserve"> </w:t>
            </w:r>
            <w:r>
              <w:rPr>
                <w:rFonts w:ascii="Times New Roman" w:hAnsi="Times New Roman" w:cs="Times New Roman"/>
                <w:color w:val="auto"/>
                <w:sz w:val="24"/>
                <w:szCs w:val="24"/>
                <w:highlight w:val="none"/>
              </w:rPr>
              <w:t>声环境》（HJ2.4-2021）的要求，项目环评采用的模型为《环境影响评价技术导则 声环境》</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HJ2.4.2021</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附录A（规范性附录）户外声传播的衰减和附录B（规范性附录）中</w:t>
            </w:r>
            <w:r>
              <w:rPr>
                <w:rFonts w:hint="eastAsia" w:ascii="宋体" w:hAnsi="宋体" w:eastAsia="宋体" w:cs="宋体"/>
                <w:color w:val="auto"/>
                <w:sz w:val="24"/>
                <w:szCs w:val="24"/>
                <w:highlight w:val="none"/>
              </w:rPr>
              <w:t>“</w:t>
            </w:r>
            <w:r>
              <w:rPr>
                <w:rFonts w:ascii="Times New Roman" w:hAnsi="Times New Roman" w:cs="Times New Roman"/>
                <w:color w:val="auto"/>
                <w:sz w:val="24"/>
                <w:szCs w:val="24"/>
                <w:highlight w:val="none"/>
              </w:rPr>
              <w:t>B.1工业噪声预测计算模型</w:t>
            </w:r>
            <w:r>
              <w:rPr>
                <w:rFonts w:hint="eastAsia" w:ascii="宋体" w:hAnsi="宋体" w:eastAsia="宋体" w:cs="宋体"/>
                <w:color w:val="auto"/>
                <w:sz w:val="24"/>
                <w:szCs w:val="24"/>
                <w:highlight w:val="none"/>
              </w:rPr>
              <w:t>”</w:t>
            </w:r>
            <w:r>
              <w:rPr>
                <w:rFonts w:ascii="Times New Roman" w:hAnsi="Times New Roman" w:cs="Times New Roman"/>
                <w:color w:val="auto"/>
                <w:sz w:val="24"/>
                <w:szCs w:val="24"/>
                <w:highlight w:val="none"/>
              </w:rPr>
              <w:t>。</w:t>
            </w:r>
          </w:p>
          <w:p w14:paraId="595CF0F5">
            <w:pPr>
              <w:pStyle w:val="95"/>
              <w:ind w:firstLine="480"/>
              <w:rPr>
                <w:rFonts w:ascii="Times New Roman" w:hAnsi="Times New Roman"/>
                <w:b w:val="0"/>
                <w:bCs/>
                <w:color w:val="auto"/>
                <w:highlight w:val="none"/>
              </w:rPr>
            </w:pPr>
            <w:r>
              <w:rPr>
                <w:rFonts w:hint="eastAsia" w:ascii="Times New Roman" w:hAnsi="Times New Roman"/>
                <w:b w:val="0"/>
                <w:bCs/>
                <w:color w:val="auto"/>
                <w:highlight w:val="none"/>
              </w:rPr>
              <w:t>1</w:t>
            </w:r>
            <w:r>
              <w:rPr>
                <w:rFonts w:ascii="Times New Roman" w:hAnsi="Times New Roman"/>
                <w:b w:val="0"/>
                <w:bCs/>
                <w:color w:val="auto"/>
                <w:highlight w:val="none"/>
              </w:rPr>
              <w:t>）声源描述</w:t>
            </w:r>
          </w:p>
          <w:p w14:paraId="28B82635">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声环境影响预测，一般采用声源的倍频带声功率级、A声功率级或靠近声源某一位置的倍频带声压级、A声级来预测计算距声源不同距离的声级。工业声源有室外和室内两种声源，应分别计算。</w:t>
            </w:r>
          </w:p>
          <w:p w14:paraId="452F1045">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w:t>
            </w:r>
            <w:r>
              <w:rPr>
                <w:rFonts w:ascii="Times New Roman" w:hAnsi="Times New Roman" w:cs="Times New Roman"/>
                <w:color w:val="auto"/>
                <w:sz w:val="24"/>
                <w:szCs w:val="24"/>
                <w:highlight w:val="none"/>
              </w:rPr>
              <w:t>）室外声源在预测点产生的声级计算</w:t>
            </w:r>
          </w:p>
          <w:p w14:paraId="148A3846">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按照无指向性点声源几何发散衰减进行计算：</w:t>
            </w:r>
          </w:p>
          <w:p w14:paraId="6D2E854F">
            <w:pPr>
              <w:spacing w:line="360" w:lineRule="auto"/>
              <w:jc w:val="center"/>
              <w:rPr>
                <w:rFonts w:ascii="Times New Roman" w:hAnsi="Times New Roman" w:cs="Times New Roman"/>
                <w:bCs/>
                <w:color w:val="auto"/>
                <w:sz w:val="24"/>
                <w:szCs w:val="24"/>
                <w:highlight w:val="none"/>
              </w:rPr>
            </w:pPr>
            <w:r>
              <w:rPr>
                <w:rFonts w:ascii="Times New Roman" w:hAnsi="Times New Roman" w:cs="Times New Roman"/>
                <w:bCs/>
                <w:color w:val="auto"/>
                <w:position w:val="-14"/>
                <w:highlight w:val="none"/>
              </w:rPr>
              <w:object>
                <v:shape id="_x0000_i1028" o:spt="75" type="#_x0000_t75" style="height:19.8pt;width:142.2pt;" o:ole="t" filled="f" o:preferrelative="t" stroked="f" coordsize="21600,21600">
                  <v:path/>
                  <v:fill on="f" focussize="0,0"/>
                  <v:stroke on="f" joinstyle="miter"/>
                  <v:imagedata r:id="rId28" o:title=""/>
                  <o:lock v:ext="edit" aspectratio="t"/>
                  <w10:wrap type="none"/>
                  <w10:anchorlock/>
                </v:shape>
                <o:OLEObject Type="Embed" ProgID="Equation.DSMT4" ShapeID="_x0000_i1028" DrawAspect="Content" ObjectID="_1468075728" r:id="rId27">
                  <o:LockedField>false</o:LockedField>
                </o:OLEObject>
              </w:object>
            </w:r>
          </w:p>
          <w:p w14:paraId="64F847DA">
            <w:pPr>
              <w:spacing w:line="360" w:lineRule="auto"/>
              <w:ind w:firstLine="480" w:firstLineChars="20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式中，</w:t>
            </w:r>
            <w:r>
              <w:rPr>
                <w:rFonts w:ascii="Times New Roman" w:hAnsi="Times New Roman" w:cs="Times New Roman"/>
                <w:bCs/>
                <w:i/>
                <w:color w:val="auto"/>
                <w:sz w:val="24"/>
                <w:szCs w:val="24"/>
                <w:highlight w:val="none"/>
              </w:rPr>
              <w:t>L</w:t>
            </w:r>
            <w:r>
              <w:rPr>
                <w:rFonts w:ascii="Times New Roman" w:hAnsi="Times New Roman" w:cs="Times New Roman"/>
                <w:bCs/>
                <w:i/>
                <w:color w:val="auto"/>
                <w:sz w:val="24"/>
                <w:szCs w:val="24"/>
                <w:highlight w:val="none"/>
                <w:vertAlign w:val="subscript"/>
              </w:rPr>
              <w:t>p</w:t>
            </w:r>
            <w:r>
              <w:rPr>
                <w:rFonts w:ascii="Times New Roman" w:hAnsi="Times New Roman" w:cs="Times New Roman"/>
                <w:bCs/>
                <w:color w:val="auto"/>
                <w:sz w:val="24"/>
                <w:szCs w:val="24"/>
                <w:highlight w:val="none"/>
              </w:rPr>
              <w:t>（</w:t>
            </w:r>
            <w:r>
              <w:rPr>
                <w:rFonts w:ascii="Times New Roman" w:hAnsi="Times New Roman" w:cs="Times New Roman"/>
                <w:bCs/>
                <w:i/>
                <w:color w:val="auto"/>
                <w:sz w:val="24"/>
                <w:szCs w:val="24"/>
                <w:highlight w:val="none"/>
              </w:rPr>
              <w:t>r</w:t>
            </w:r>
            <w:r>
              <w:rPr>
                <w:rFonts w:ascii="Times New Roman" w:hAnsi="Times New Roman" w:cs="Times New Roman"/>
                <w:bCs/>
                <w:color w:val="auto"/>
                <w:sz w:val="24"/>
                <w:szCs w:val="24"/>
                <w:highlight w:val="none"/>
              </w:rPr>
              <w:t>）—预测点处声压级，dB；</w:t>
            </w:r>
          </w:p>
          <w:p w14:paraId="7B59E625">
            <w:pPr>
              <w:spacing w:line="360" w:lineRule="auto"/>
              <w:ind w:firstLine="1200" w:firstLineChars="500"/>
              <w:rPr>
                <w:rFonts w:ascii="Times New Roman" w:hAnsi="Times New Roman" w:cs="Times New Roman"/>
                <w:bCs/>
                <w:color w:val="auto"/>
                <w:sz w:val="24"/>
                <w:szCs w:val="24"/>
                <w:highlight w:val="none"/>
              </w:rPr>
            </w:pPr>
            <w:r>
              <w:rPr>
                <w:rFonts w:ascii="Times New Roman" w:hAnsi="Times New Roman" w:cs="Times New Roman"/>
                <w:bCs/>
                <w:i/>
                <w:color w:val="auto"/>
                <w:sz w:val="24"/>
                <w:szCs w:val="24"/>
                <w:highlight w:val="none"/>
              </w:rPr>
              <w:t>L</w:t>
            </w:r>
            <w:r>
              <w:rPr>
                <w:rFonts w:ascii="Times New Roman" w:hAnsi="Times New Roman" w:cs="Times New Roman"/>
                <w:bCs/>
                <w:i/>
                <w:color w:val="auto"/>
                <w:sz w:val="24"/>
                <w:szCs w:val="24"/>
                <w:highlight w:val="none"/>
                <w:vertAlign w:val="subscript"/>
              </w:rPr>
              <w:t>p</w:t>
            </w:r>
            <w:r>
              <w:rPr>
                <w:rFonts w:ascii="Times New Roman" w:hAnsi="Times New Roman" w:cs="Times New Roman"/>
                <w:bCs/>
                <w:color w:val="auto"/>
                <w:sz w:val="24"/>
                <w:szCs w:val="24"/>
                <w:highlight w:val="none"/>
              </w:rPr>
              <w:t>（</w:t>
            </w:r>
            <w:r>
              <w:rPr>
                <w:rFonts w:ascii="Times New Roman" w:hAnsi="Times New Roman" w:cs="Times New Roman"/>
                <w:bCs/>
                <w:i/>
                <w:color w:val="auto"/>
                <w:sz w:val="24"/>
                <w:szCs w:val="24"/>
                <w:highlight w:val="none"/>
              </w:rPr>
              <w:t>r</w:t>
            </w:r>
            <w:r>
              <w:rPr>
                <w:rFonts w:ascii="Times New Roman" w:hAnsi="Times New Roman" w:cs="Times New Roman"/>
                <w:bCs/>
                <w:i/>
                <w:color w:val="auto"/>
                <w:sz w:val="24"/>
                <w:szCs w:val="24"/>
                <w:highlight w:val="none"/>
                <w:vertAlign w:val="subscript"/>
              </w:rPr>
              <w:t>0</w:t>
            </w:r>
            <w:r>
              <w:rPr>
                <w:rFonts w:ascii="Times New Roman" w:hAnsi="Times New Roman" w:cs="Times New Roman"/>
                <w:bCs/>
                <w:color w:val="auto"/>
                <w:sz w:val="24"/>
                <w:szCs w:val="24"/>
                <w:highlight w:val="none"/>
              </w:rPr>
              <w:t>）—参考位置</w:t>
            </w:r>
            <w:r>
              <w:rPr>
                <w:rFonts w:ascii="Times New Roman" w:hAnsi="Times New Roman" w:cs="Times New Roman"/>
                <w:bCs/>
                <w:i/>
                <w:color w:val="auto"/>
                <w:sz w:val="24"/>
                <w:szCs w:val="24"/>
                <w:highlight w:val="none"/>
              </w:rPr>
              <w:t>r</w:t>
            </w:r>
            <w:r>
              <w:rPr>
                <w:rFonts w:ascii="Times New Roman" w:hAnsi="Times New Roman" w:cs="Times New Roman"/>
                <w:bCs/>
                <w:color w:val="auto"/>
                <w:sz w:val="24"/>
                <w:szCs w:val="24"/>
                <w:highlight w:val="none"/>
                <w:vertAlign w:val="subscript"/>
              </w:rPr>
              <w:t>0</w:t>
            </w:r>
            <w:r>
              <w:rPr>
                <w:rFonts w:ascii="Times New Roman" w:hAnsi="Times New Roman" w:cs="Times New Roman"/>
                <w:bCs/>
                <w:color w:val="auto"/>
                <w:sz w:val="24"/>
                <w:szCs w:val="24"/>
                <w:highlight w:val="none"/>
              </w:rPr>
              <w:t>处的声压级，dB；</w:t>
            </w:r>
          </w:p>
          <w:p w14:paraId="782076FF">
            <w:pPr>
              <w:spacing w:line="360" w:lineRule="auto"/>
              <w:ind w:firstLine="1200" w:firstLineChars="500"/>
              <w:rPr>
                <w:rFonts w:ascii="Times New Roman" w:hAnsi="Times New Roman" w:cs="Times New Roman"/>
                <w:bCs/>
                <w:color w:val="auto"/>
                <w:sz w:val="24"/>
                <w:szCs w:val="24"/>
                <w:highlight w:val="none"/>
              </w:rPr>
            </w:pPr>
            <w:r>
              <w:rPr>
                <w:rFonts w:ascii="Times New Roman" w:hAnsi="Times New Roman" w:cs="Times New Roman"/>
                <w:bCs/>
                <w:i/>
                <w:color w:val="auto"/>
                <w:sz w:val="24"/>
                <w:szCs w:val="24"/>
                <w:highlight w:val="none"/>
              </w:rPr>
              <w:t>r</w:t>
            </w:r>
            <w:r>
              <w:rPr>
                <w:rFonts w:ascii="Times New Roman" w:hAnsi="Times New Roman" w:cs="Times New Roman"/>
                <w:bCs/>
                <w:color w:val="auto"/>
                <w:sz w:val="24"/>
                <w:szCs w:val="24"/>
                <w:highlight w:val="none"/>
              </w:rPr>
              <w:t>—预测点距声源的距离，m；</w:t>
            </w:r>
          </w:p>
          <w:p w14:paraId="10F0C06E">
            <w:pPr>
              <w:spacing w:line="360" w:lineRule="auto"/>
              <w:ind w:firstLine="1200" w:firstLineChars="500"/>
              <w:rPr>
                <w:rFonts w:ascii="Times New Roman" w:hAnsi="Times New Roman" w:cs="Times New Roman"/>
                <w:bCs/>
                <w:color w:val="auto"/>
                <w:sz w:val="24"/>
                <w:szCs w:val="24"/>
                <w:highlight w:val="none"/>
              </w:rPr>
            </w:pPr>
            <w:r>
              <w:rPr>
                <w:rFonts w:ascii="Times New Roman" w:hAnsi="Times New Roman" w:cs="Times New Roman"/>
                <w:bCs/>
                <w:i/>
                <w:color w:val="auto"/>
                <w:sz w:val="24"/>
                <w:szCs w:val="24"/>
                <w:highlight w:val="none"/>
              </w:rPr>
              <w:t>r</w:t>
            </w:r>
            <w:r>
              <w:rPr>
                <w:rFonts w:ascii="Times New Roman" w:hAnsi="Times New Roman" w:cs="Times New Roman"/>
                <w:bCs/>
                <w:color w:val="auto"/>
                <w:sz w:val="24"/>
                <w:szCs w:val="24"/>
                <w:highlight w:val="none"/>
                <w:vertAlign w:val="subscript"/>
              </w:rPr>
              <w:t>0</w:t>
            </w:r>
            <w:r>
              <w:rPr>
                <w:rFonts w:ascii="Times New Roman" w:hAnsi="Times New Roman" w:cs="Times New Roman"/>
                <w:bCs/>
                <w:color w:val="auto"/>
                <w:sz w:val="24"/>
                <w:szCs w:val="24"/>
                <w:highlight w:val="none"/>
              </w:rPr>
              <w:t>—参考位置距声源的距离，m。</w:t>
            </w:r>
          </w:p>
          <w:p w14:paraId="1D8D7097">
            <w:pPr>
              <w:pStyle w:val="95"/>
              <w:ind w:firstLine="480"/>
              <w:rPr>
                <w:rFonts w:ascii="Times New Roman" w:hAnsi="Times New Roman"/>
                <w:b w:val="0"/>
                <w:bCs/>
                <w:color w:val="auto"/>
                <w:highlight w:val="none"/>
              </w:rPr>
            </w:pPr>
            <w:r>
              <w:rPr>
                <w:rFonts w:hint="eastAsia" w:ascii="Times New Roman" w:hAnsi="Times New Roman"/>
                <w:b w:val="0"/>
                <w:bCs/>
                <w:color w:val="auto"/>
                <w:highlight w:val="none"/>
              </w:rPr>
              <w:t>3</w:t>
            </w:r>
            <w:r>
              <w:rPr>
                <w:rFonts w:ascii="Times New Roman" w:hAnsi="Times New Roman"/>
                <w:b w:val="0"/>
                <w:bCs/>
                <w:color w:val="auto"/>
                <w:highlight w:val="none"/>
              </w:rPr>
              <w:t>）室内声源等效室外声源声功率级计算</w:t>
            </w:r>
          </w:p>
          <w:p w14:paraId="13B451CD">
            <w:pPr>
              <w:spacing w:line="360" w:lineRule="auto"/>
              <w:ind w:firstLine="480" w:firstLineChars="20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声源位于室内，室内声源可采用等效室外声源声功率级法进行计算。设靠近开口处（或窗户）室内、室外某倍频带的声压级分别为</w:t>
            </w:r>
            <w:r>
              <w:rPr>
                <w:rFonts w:ascii="Times New Roman" w:hAnsi="Times New Roman" w:cs="Times New Roman"/>
                <w:bCs/>
                <w:i/>
                <w:color w:val="auto"/>
                <w:sz w:val="24"/>
                <w:szCs w:val="24"/>
                <w:highlight w:val="none"/>
              </w:rPr>
              <w:t>L</w:t>
            </w:r>
            <w:r>
              <w:rPr>
                <w:rFonts w:ascii="Times New Roman" w:hAnsi="Times New Roman" w:cs="Times New Roman"/>
                <w:bCs/>
                <w:i/>
                <w:color w:val="auto"/>
                <w:sz w:val="24"/>
                <w:szCs w:val="24"/>
                <w:highlight w:val="none"/>
                <w:vertAlign w:val="subscript"/>
              </w:rPr>
              <w:t>p</w:t>
            </w:r>
            <w:r>
              <w:rPr>
                <w:rFonts w:ascii="Times New Roman" w:hAnsi="Times New Roman" w:cs="Times New Roman"/>
                <w:bCs/>
                <w:color w:val="auto"/>
                <w:sz w:val="24"/>
                <w:szCs w:val="24"/>
                <w:highlight w:val="none"/>
                <w:vertAlign w:val="subscript"/>
              </w:rPr>
              <w:t>1</w:t>
            </w:r>
            <w:r>
              <w:rPr>
                <w:rFonts w:ascii="Times New Roman" w:hAnsi="Times New Roman" w:cs="Times New Roman"/>
                <w:bCs/>
                <w:color w:val="auto"/>
                <w:sz w:val="24"/>
                <w:szCs w:val="24"/>
                <w:highlight w:val="none"/>
              </w:rPr>
              <w:t>和</w:t>
            </w:r>
            <w:r>
              <w:rPr>
                <w:rFonts w:ascii="Times New Roman" w:hAnsi="Times New Roman" w:cs="Times New Roman"/>
                <w:bCs/>
                <w:i/>
                <w:color w:val="auto"/>
                <w:sz w:val="24"/>
                <w:szCs w:val="24"/>
                <w:highlight w:val="none"/>
              </w:rPr>
              <w:t>L</w:t>
            </w:r>
            <w:r>
              <w:rPr>
                <w:rFonts w:ascii="Times New Roman" w:hAnsi="Times New Roman" w:cs="Times New Roman"/>
                <w:bCs/>
                <w:i/>
                <w:color w:val="auto"/>
                <w:sz w:val="24"/>
                <w:szCs w:val="24"/>
                <w:highlight w:val="none"/>
                <w:vertAlign w:val="subscript"/>
              </w:rPr>
              <w:t>p</w:t>
            </w:r>
            <w:r>
              <w:rPr>
                <w:rFonts w:ascii="Times New Roman" w:hAnsi="Times New Roman" w:cs="Times New Roman"/>
                <w:bCs/>
                <w:color w:val="auto"/>
                <w:sz w:val="24"/>
                <w:szCs w:val="24"/>
                <w:highlight w:val="none"/>
                <w:vertAlign w:val="subscript"/>
              </w:rPr>
              <w:t>2</w:t>
            </w:r>
            <w:r>
              <w:rPr>
                <w:rFonts w:ascii="Times New Roman" w:hAnsi="Times New Roman" w:cs="Times New Roman"/>
                <w:bCs/>
                <w:color w:val="auto"/>
                <w:sz w:val="24"/>
                <w:szCs w:val="24"/>
                <w:highlight w:val="none"/>
              </w:rPr>
              <w:t>，若声源所在室内声场为近似扩散声场，则室外倍频带声压级按下式计算：</w:t>
            </w:r>
          </w:p>
          <w:p w14:paraId="2226A012">
            <w:pPr>
              <w:spacing w:line="360" w:lineRule="auto"/>
              <w:jc w:val="center"/>
              <w:rPr>
                <w:rFonts w:ascii="Times New Roman" w:hAnsi="Times New Roman" w:cs="Times New Roman"/>
                <w:bCs/>
                <w:color w:val="auto"/>
                <w:sz w:val="24"/>
                <w:szCs w:val="24"/>
                <w:highlight w:val="none"/>
              </w:rPr>
            </w:pPr>
            <w:r>
              <w:rPr>
                <w:rFonts w:ascii="Times New Roman" w:hAnsi="Times New Roman" w:cs="Times New Roman"/>
                <w:bCs/>
                <w:color w:val="auto"/>
                <w:position w:val="-14"/>
                <w:highlight w:val="none"/>
              </w:rPr>
              <w:object>
                <v:shape id="_x0000_i1029" o:spt="75" type="#_x0000_t75" style="height:19.8pt;width:94.8pt;" o:ole="t" filled="f" o:preferrelative="t" stroked="f" coordsize="21600,21600">
                  <v:path/>
                  <v:fill on="f" focussize="0,0"/>
                  <v:stroke on="f" joinstyle="miter"/>
                  <v:imagedata r:id="rId30" o:title=""/>
                  <o:lock v:ext="edit" aspectratio="t"/>
                  <w10:wrap type="none"/>
                  <w10:anchorlock/>
                </v:shape>
                <o:OLEObject Type="Embed" ProgID="Equation.DSMT4" ShapeID="_x0000_i1029" DrawAspect="Content" ObjectID="_1468075729" r:id="rId29">
                  <o:LockedField>false</o:LockedField>
                </o:OLEObject>
              </w:object>
            </w:r>
          </w:p>
          <w:p w14:paraId="6516394A">
            <w:pPr>
              <w:spacing w:line="360" w:lineRule="auto"/>
              <w:ind w:firstLine="480" w:firstLineChars="20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式中，</w:t>
            </w:r>
            <w:r>
              <w:rPr>
                <w:rFonts w:ascii="Times New Roman" w:hAnsi="Times New Roman" w:cs="Times New Roman"/>
                <w:bCs/>
                <w:i/>
                <w:color w:val="auto"/>
                <w:sz w:val="24"/>
                <w:szCs w:val="24"/>
                <w:highlight w:val="none"/>
              </w:rPr>
              <w:t>L</w:t>
            </w:r>
            <w:r>
              <w:rPr>
                <w:rFonts w:ascii="Times New Roman" w:hAnsi="Times New Roman" w:cs="Times New Roman"/>
                <w:bCs/>
                <w:i/>
                <w:color w:val="auto"/>
                <w:sz w:val="24"/>
                <w:szCs w:val="24"/>
                <w:highlight w:val="none"/>
                <w:vertAlign w:val="subscript"/>
              </w:rPr>
              <w:t>p</w:t>
            </w:r>
            <w:r>
              <w:rPr>
                <w:rFonts w:ascii="Times New Roman" w:hAnsi="Times New Roman" w:cs="Times New Roman"/>
                <w:bCs/>
                <w:color w:val="auto"/>
                <w:sz w:val="24"/>
                <w:szCs w:val="24"/>
                <w:highlight w:val="none"/>
                <w:vertAlign w:val="subscript"/>
              </w:rPr>
              <w:t>1</w:t>
            </w:r>
            <w:r>
              <w:rPr>
                <w:rFonts w:ascii="Times New Roman" w:hAnsi="Times New Roman" w:cs="Times New Roman"/>
                <w:bCs/>
                <w:color w:val="auto"/>
                <w:sz w:val="24"/>
                <w:szCs w:val="24"/>
                <w:highlight w:val="none"/>
              </w:rPr>
              <w:t>—靠近开口处（或窗户）室内某倍频带的声压级或A声级，dB；</w:t>
            </w:r>
          </w:p>
          <w:p w14:paraId="4A76C14D">
            <w:pPr>
              <w:spacing w:line="360" w:lineRule="auto"/>
              <w:ind w:firstLine="1200" w:firstLineChars="500"/>
              <w:rPr>
                <w:rFonts w:ascii="Times New Roman" w:hAnsi="Times New Roman" w:cs="Times New Roman"/>
                <w:bCs/>
                <w:color w:val="auto"/>
                <w:sz w:val="24"/>
                <w:szCs w:val="24"/>
                <w:highlight w:val="none"/>
              </w:rPr>
            </w:pPr>
            <w:r>
              <w:rPr>
                <w:rFonts w:ascii="Times New Roman" w:hAnsi="Times New Roman" w:cs="Times New Roman"/>
                <w:bCs/>
                <w:i/>
                <w:color w:val="auto"/>
                <w:sz w:val="24"/>
                <w:szCs w:val="24"/>
                <w:highlight w:val="none"/>
              </w:rPr>
              <w:t>L</w:t>
            </w:r>
            <w:r>
              <w:rPr>
                <w:rFonts w:ascii="Times New Roman" w:hAnsi="Times New Roman" w:cs="Times New Roman"/>
                <w:bCs/>
                <w:i/>
                <w:color w:val="auto"/>
                <w:sz w:val="24"/>
                <w:szCs w:val="24"/>
                <w:highlight w:val="none"/>
                <w:vertAlign w:val="subscript"/>
              </w:rPr>
              <w:t>p</w:t>
            </w:r>
            <w:r>
              <w:rPr>
                <w:rFonts w:ascii="Times New Roman" w:hAnsi="Times New Roman" w:cs="Times New Roman"/>
                <w:bCs/>
                <w:color w:val="auto"/>
                <w:sz w:val="24"/>
                <w:szCs w:val="24"/>
                <w:highlight w:val="none"/>
                <w:vertAlign w:val="subscript"/>
              </w:rPr>
              <w:t>2</w:t>
            </w:r>
            <w:r>
              <w:rPr>
                <w:rFonts w:ascii="Times New Roman" w:hAnsi="Times New Roman" w:cs="Times New Roman"/>
                <w:bCs/>
                <w:color w:val="auto"/>
                <w:sz w:val="24"/>
                <w:szCs w:val="24"/>
                <w:highlight w:val="none"/>
              </w:rPr>
              <w:t>—靠近开口处（或窗户）室外某倍频带的声压级或A声级，dB；</w:t>
            </w:r>
          </w:p>
          <w:p w14:paraId="00288E86">
            <w:pPr>
              <w:spacing w:line="360" w:lineRule="auto"/>
              <w:ind w:firstLine="1200" w:firstLineChars="500"/>
              <w:rPr>
                <w:rFonts w:ascii="Times New Roman" w:hAnsi="Times New Roman" w:cs="Times New Roman"/>
                <w:bCs/>
                <w:color w:val="auto"/>
                <w:sz w:val="24"/>
                <w:szCs w:val="24"/>
                <w:highlight w:val="none"/>
              </w:rPr>
            </w:pPr>
            <w:r>
              <w:rPr>
                <w:rFonts w:ascii="Times New Roman" w:hAnsi="Times New Roman" w:cs="Times New Roman"/>
                <w:bCs/>
                <w:i/>
                <w:color w:val="auto"/>
                <w:sz w:val="24"/>
                <w:szCs w:val="24"/>
                <w:highlight w:val="none"/>
              </w:rPr>
              <w:t>TL</w:t>
            </w:r>
            <w:r>
              <w:rPr>
                <w:rFonts w:ascii="Times New Roman" w:hAnsi="Times New Roman" w:cs="Times New Roman"/>
                <w:bCs/>
                <w:color w:val="auto"/>
                <w:sz w:val="24"/>
                <w:szCs w:val="24"/>
                <w:highlight w:val="none"/>
              </w:rPr>
              <w:t>—隔墙（或窗户）倍频带或A声级的隔声量，dB。</w:t>
            </w:r>
          </w:p>
          <w:p w14:paraId="78FB6092">
            <w:pPr>
              <w:spacing w:line="360" w:lineRule="auto"/>
              <w:jc w:val="center"/>
              <w:rPr>
                <w:rFonts w:ascii="Times New Roman" w:hAnsi="Times New Roman" w:cs="Times New Roman"/>
                <w:bCs/>
                <w:color w:val="auto"/>
                <w:sz w:val="24"/>
                <w:szCs w:val="24"/>
                <w:highlight w:val="none"/>
              </w:rPr>
            </w:pPr>
            <w:r>
              <w:rPr>
                <w:rFonts w:ascii="Times New Roman" w:hAnsi="Times New Roman" w:cs="Times New Roman"/>
                <w:bCs/>
                <w:color w:val="auto"/>
                <w:highlight w:val="none"/>
              </w:rPr>
              <w:drawing>
                <wp:inline distT="0" distB="0" distL="0" distR="0">
                  <wp:extent cx="2274570" cy="1093470"/>
                  <wp:effectExtent l="0" t="0" r="1143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319853" cy="1115089"/>
                          </a:xfrm>
                          <a:prstGeom prst="rect">
                            <a:avLst/>
                          </a:prstGeom>
                        </pic:spPr>
                      </pic:pic>
                    </a:graphicData>
                  </a:graphic>
                </wp:inline>
              </w:drawing>
            </w:r>
          </w:p>
          <w:p w14:paraId="39319858">
            <w:pPr>
              <w:pStyle w:val="122"/>
              <w:bidi w:val="0"/>
              <w:rPr>
                <w:color w:val="auto"/>
              </w:rPr>
            </w:pPr>
            <w:bookmarkStart w:id="6" w:name="_Ref110549742"/>
            <w:r>
              <w:rPr>
                <w:color w:val="auto"/>
              </w:rPr>
              <w:t>室内声源等效为室外声源图例</w:t>
            </w:r>
            <w:bookmarkEnd w:id="6"/>
          </w:p>
          <w:p w14:paraId="12ABF0E1">
            <w:pPr>
              <w:spacing w:line="360" w:lineRule="auto"/>
              <w:ind w:firstLine="480" w:firstLineChars="20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某一室内声源靠近围护结构处产生的倍频带声压级或A声级按下式计算：</w:t>
            </w:r>
          </w:p>
          <w:p w14:paraId="588B3132">
            <w:pPr>
              <w:spacing w:line="360" w:lineRule="auto"/>
              <w:jc w:val="center"/>
              <w:rPr>
                <w:rFonts w:ascii="Times New Roman" w:hAnsi="Times New Roman" w:cs="Times New Roman"/>
                <w:bCs/>
                <w:color w:val="auto"/>
                <w:sz w:val="24"/>
                <w:szCs w:val="24"/>
                <w:highlight w:val="none"/>
              </w:rPr>
            </w:pPr>
            <w:r>
              <w:rPr>
                <w:rFonts w:ascii="Times New Roman" w:hAnsi="Times New Roman" w:cs="Times New Roman"/>
                <w:bCs/>
                <w:color w:val="auto"/>
                <w:position w:val="-28"/>
                <w:highlight w:val="none"/>
              </w:rPr>
              <w:object>
                <v:shape id="_x0000_i1030" o:spt="75" type="#_x0000_t75" style="height:34.2pt;width:136.2pt;" o:ole="t" filled="f" o:preferrelative="t" stroked="f" coordsize="21600,21600">
                  <v:path/>
                  <v:fill on="f" focussize="0,0"/>
                  <v:stroke on="f" joinstyle="miter"/>
                  <v:imagedata r:id="rId33" o:title=""/>
                  <o:lock v:ext="edit" aspectratio="t"/>
                  <w10:wrap type="none"/>
                  <w10:anchorlock/>
                </v:shape>
                <o:OLEObject Type="Embed" ProgID="Equation.DSMT4" ShapeID="_x0000_i1030" DrawAspect="Content" ObjectID="_1468075730" r:id="rId32">
                  <o:LockedField>false</o:LockedField>
                </o:OLEObject>
              </w:object>
            </w:r>
          </w:p>
          <w:p w14:paraId="1C2095FD">
            <w:pPr>
              <w:spacing w:line="360" w:lineRule="auto"/>
              <w:ind w:firstLine="480" w:firstLineChars="20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式中，</w:t>
            </w:r>
            <w:r>
              <w:rPr>
                <w:rFonts w:ascii="Times New Roman" w:hAnsi="Times New Roman" w:cs="Times New Roman"/>
                <w:bCs/>
                <w:i/>
                <w:iCs/>
                <w:color w:val="auto"/>
                <w:sz w:val="24"/>
                <w:szCs w:val="24"/>
                <w:highlight w:val="none"/>
              </w:rPr>
              <w:t>L</w:t>
            </w:r>
            <w:r>
              <w:rPr>
                <w:rFonts w:ascii="Times New Roman" w:hAnsi="Times New Roman" w:cs="Times New Roman"/>
                <w:bCs/>
                <w:i/>
                <w:iCs/>
                <w:color w:val="auto"/>
                <w:sz w:val="24"/>
                <w:szCs w:val="24"/>
                <w:highlight w:val="none"/>
                <w:vertAlign w:val="subscript"/>
              </w:rPr>
              <w:t>w</w:t>
            </w:r>
            <w:r>
              <w:rPr>
                <w:rFonts w:ascii="Times New Roman" w:hAnsi="Times New Roman" w:cs="Times New Roman"/>
                <w:bCs/>
                <w:color w:val="auto"/>
                <w:sz w:val="24"/>
                <w:szCs w:val="24"/>
                <w:highlight w:val="none"/>
              </w:rPr>
              <w:t>—点声源声功率级（A计权或倍频带），dB；</w:t>
            </w:r>
          </w:p>
          <w:p w14:paraId="0E12692D">
            <w:pPr>
              <w:spacing w:line="360" w:lineRule="auto"/>
              <w:ind w:firstLine="1200" w:firstLineChars="500"/>
              <w:rPr>
                <w:rFonts w:ascii="Times New Roman" w:hAnsi="Times New Roman" w:cs="Times New Roman"/>
                <w:bCs/>
                <w:color w:val="auto"/>
                <w:sz w:val="24"/>
                <w:szCs w:val="24"/>
                <w:highlight w:val="none"/>
              </w:rPr>
            </w:pPr>
            <w:r>
              <w:rPr>
                <w:rFonts w:ascii="Times New Roman" w:hAnsi="Times New Roman" w:cs="Times New Roman"/>
                <w:bCs/>
                <w:i/>
                <w:color w:val="auto"/>
                <w:sz w:val="24"/>
                <w:szCs w:val="24"/>
                <w:highlight w:val="none"/>
              </w:rPr>
              <w:t>Q</w:t>
            </w:r>
            <w:r>
              <w:rPr>
                <w:rFonts w:ascii="Times New Roman" w:hAnsi="Times New Roman" w:cs="Times New Roman"/>
                <w:bCs/>
                <w:color w:val="auto"/>
                <w:sz w:val="24"/>
                <w:szCs w:val="24"/>
                <w:highlight w:val="none"/>
              </w:rPr>
              <w:t>—指向性因数；通常对无指向性声源，当声源放在房间中心时，</w:t>
            </w:r>
            <w:r>
              <w:rPr>
                <w:rFonts w:ascii="Times New Roman" w:hAnsi="Times New Roman" w:cs="Times New Roman"/>
                <w:bCs/>
                <w:i/>
                <w:iCs/>
                <w:color w:val="auto"/>
                <w:sz w:val="24"/>
                <w:szCs w:val="24"/>
                <w:highlight w:val="none"/>
              </w:rPr>
              <w:t>Q</w:t>
            </w:r>
            <w:r>
              <w:rPr>
                <w:rFonts w:ascii="Times New Roman" w:hAnsi="Times New Roman" w:cs="Times New Roman"/>
                <w:bCs/>
                <w:color w:val="auto"/>
                <w:sz w:val="24"/>
                <w:szCs w:val="24"/>
                <w:highlight w:val="none"/>
              </w:rPr>
              <w:t>=1；当放在一面墙的中心时，</w:t>
            </w:r>
            <w:r>
              <w:rPr>
                <w:rFonts w:ascii="Times New Roman" w:hAnsi="Times New Roman" w:cs="Times New Roman"/>
                <w:bCs/>
                <w:i/>
                <w:iCs/>
                <w:color w:val="auto"/>
                <w:sz w:val="24"/>
                <w:szCs w:val="24"/>
                <w:highlight w:val="none"/>
              </w:rPr>
              <w:t>Q</w:t>
            </w:r>
            <w:r>
              <w:rPr>
                <w:rFonts w:ascii="Times New Roman" w:hAnsi="Times New Roman" w:cs="Times New Roman"/>
                <w:bCs/>
                <w:color w:val="auto"/>
                <w:sz w:val="24"/>
                <w:szCs w:val="24"/>
                <w:highlight w:val="none"/>
              </w:rPr>
              <w:t>=2；当放在两面墙夹角处时，</w:t>
            </w:r>
            <w:r>
              <w:rPr>
                <w:rFonts w:ascii="Times New Roman" w:hAnsi="Times New Roman" w:cs="Times New Roman"/>
                <w:bCs/>
                <w:i/>
                <w:iCs/>
                <w:color w:val="auto"/>
                <w:sz w:val="24"/>
                <w:szCs w:val="24"/>
                <w:highlight w:val="none"/>
              </w:rPr>
              <w:t>Q</w:t>
            </w:r>
            <w:r>
              <w:rPr>
                <w:rFonts w:ascii="Times New Roman" w:hAnsi="Times New Roman" w:cs="Times New Roman"/>
                <w:bCs/>
                <w:color w:val="auto"/>
                <w:sz w:val="24"/>
                <w:szCs w:val="24"/>
                <w:highlight w:val="none"/>
              </w:rPr>
              <w:t>=4；当放在三面墙夹角处时，</w:t>
            </w:r>
            <w:r>
              <w:rPr>
                <w:rFonts w:ascii="Times New Roman" w:hAnsi="Times New Roman" w:cs="Times New Roman"/>
                <w:bCs/>
                <w:i/>
                <w:iCs/>
                <w:color w:val="auto"/>
                <w:sz w:val="24"/>
                <w:szCs w:val="24"/>
                <w:highlight w:val="none"/>
              </w:rPr>
              <w:t>Q</w:t>
            </w:r>
            <w:r>
              <w:rPr>
                <w:rFonts w:ascii="Times New Roman" w:hAnsi="Times New Roman" w:cs="Times New Roman"/>
                <w:bCs/>
                <w:color w:val="auto"/>
                <w:sz w:val="24"/>
                <w:szCs w:val="24"/>
                <w:highlight w:val="none"/>
              </w:rPr>
              <w:t>=8；</w:t>
            </w:r>
          </w:p>
          <w:p w14:paraId="17596BB8">
            <w:pPr>
              <w:spacing w:line="360" w:lineRule="auto"/>
              <w:ind w:firstLine="1200" w:firstLineChars="500"/>
              <w:rPr>
                <w:rFonts w:ascii="Times New Roman" w:hAnsi="Times New Roman" w:cs="Times New Roman"/>
                <w:bCs/>
                <w:color w:val="auto"/>
                <w:sz w:val="24"/>
                <w:szCs w:val="24"/>
                <w:highlight w:val="none"/>
              </w:rPr>
            </w:pPr>
            <w:r>
              <w:rPr>
                <w:rFonts w:ascii="Times New Roman" w:hAnsi="Times New Roman" w:cs="Times New Roman"/>
                <w:bCs/>
                <w:i/>
                <w:color w:val="auto"/>
                <w:sz w:val="24"/>
                <w:szCs w:val="24"/>
                <w:highlight w:val="none"/>
              </w:rPr>
              <w:t>R</w:t>
            </w:r>
            <w:r>
              <w:rPr>
                <w:rFonts w:ascii="Times New Roman" w:hAnsi="Times New Roman" w:cs="Times New Roman"/>
                <w:bCs/>
                <w:color w:val="auto"/>
                <w:sz w:val="24"/>
                <w:szCs w:val="24"/>
                <w:highlight w:val="none"/>
              </w:rPr>
              <w:t>—房间常数；</w:t>
            </w:r>
            <w:r>
              <w:rPr>
                <w:rFonts w:ascii="Times New Roman" w:hAnsi="Times New Roman" w:cs="Times New Roman"/>
                <w:bCs/>
                <w:i/>
                <w:iCs/>
                <w:color w:val="auto"/>
                <w:sz w:val="24"/>
                <w:szCs w:val="24"/>
                <w:highlight w:val="none"/>
              </w:rPr>
              <w:t>R</w:t>
            </w:r>
            <w:r>
              <w:rPr>
                <w:rFonts w:ascii="Times New Roman" w:hAnsi="Times New Roman" w:cs="Times New Roman"/>
                <w:bCs/>
                <w:color w:val="auto"/>
                <w:sz w:val="24"/>
                <w:szCs w:val="24"/>
                <w:highlight w:val="none"/>
              </w:rPr>
              <w:t>=</w:t>
            </w:r>
            <w:r>
              <w:rPr>
                <w:rFonts w:ascii="Times New Roman" w:hAnsi="Times New Roman" w:cs="Times New Roman"/>
                <w:bCs/>
                <w:i/>
                <w:iCs/>
                <w:color w:val="auto"/>
                <w:sz w:val="24"/>
                <w:szCs w:val="24"/>
                <w:highlight w:val="none"/>
              </w:rPr>
              <w:t>Sα</w:t>
            </w:r>
            <w:r>
              <w:rPr>
                <w:rFonts w:ascii="Times New Roman" w:hAnsi="Times New Roman" w:cs="Times New Roman"/>
                <w:bCs/>
                <w:color w:val="auto"/>
                <w:sz w:val="24"/>
                <w:szCs w:val="24"/>
                <w:highlight w:val="none"/>
              </w:rPr>
              <w:t>/（1-</w:t>
            </w:r>
            <w:r>
              <w:rPr>
                <w:rFonts w:ascii="Times New Roman" w:hAnsi="Times New Roman" w:cs="Times New Roman"/>
                <w:bCs/>
                <w:i/>
                <w:iCs/>
                <w:color w:val="auto"/>
                <w:sz w:val="24"/>
                <w:szCs w:val="24"/>
                <w:highlight w:val="none"/>
              </w:rPr>
              <w:t>α</w:t>
            </w:r>
            <w:r>
              <w:rPr>
                <w:rFonts w:ascii="Times New Roman" w:hAnsi="Times New Roman" w:cs="Times New Roman"/>
                <w:bCs/>
                <w:color w:val="auto"/>
                <w:sz w:val="24"/>
                <w:szCs w:val="24"/>
                <w:highlight w:val="none"/>
              </w:rPr>
              <w:t>），</w:t>
            </w:r>
            <w:r>
              <w:rPr>
                <w:rFonts w:ascii="Times New Roman" w:hAnsi="Times New Roman" w:cs="Times New Roman"/>
                <w:bCs/>
                <w:i/>
                <w:iCs/>
                <w:color w:val="auto"/>
                <w:sz w:val="24"/>
                <w:szCs w:val="24"/>
                <w:highlight w:val="none"/>
              </w:rPr>
              <w:t>S</w:t>
            </w:r>
            <w:r>
              <w:rPr>
                <w:rFonts w:ascii="Times New Roman" w:hAnsi="Times New Roman" w:cs="Times New Roman"/>
                <w:bCs/>
                <w:color w:val="auto"/>
                <w:sz w:val="24"/>
                <w:szCs w:val="24"/>
                <w:highlight w:val="none"/>
              </w:rPr>
              <w:t>为房间内表面面积，m</w:t>
            </w:r>
            <w:r>
              <w:rPr>
                <w:rFonts w:ascii="Times New Roman" w:hAnsi="Times New Roman" w:cs="Times New Roman"/>
                <w:bCs/>
                <w:color w:val="auto"/>
                <w:sz w:val="24"/>
                <w:szCs w:val="24"/>
                <w:highlight w:val="none"/>
                <w:vertAlign w:val="superscript"/>
              </w:rPr>
              <w:t>2</w:t>
            </w:r>
            <w:r>
              <w:rPr>
                <w:rFonts w:ascii="Times New Roman" w:hAnsi="Times New Roman" w:cs="Times New Roman"/>
                <w:bCs/>
                <w:color w:val="auto"/>
                <w:sz w:val="24"/>
                <w:szCs w:val="24"/>
                <w:highlight w:val="none"/>
              </w:rPr>
              <w:t>；</w:t>
            </w:r>
            <w:r>
              <w:rPr>
                <w:rFonts w:ascii="Times New Roman" w:hAnsi="Times New Roman" w:cs="Times New Roman"/>
                <w:bCs/>
                <w:i/>
                <w:iCs/>
                <w:color w:val="auto"/>
                <w:sz w:val="24"/>
                <w:szCs w:val="24"/>
                <w:highlight w:val="none"/>
              </w:rPr>
              <w:t>α</w:t>
            </w:r>
            <w:r>
              <w:rPr>
                <w:rFonts w:ascii="Times New Roman" w:hAnsi="Times New Roman" w:cs="Times New Roman"/>
                <w:bCs/>
                <w:color w:val="auto"/>
                <w:sz w:val="24"/>
                <w:szCs w:val="24"/>
                <w:highlight w:val="none"/>
              </w:rPr>
              <w:t>为平均吸声系数；</w:t>
            </w:r>
          </w:p>
          <w:p w14:paraId="61A412E8">
            <w:pPr>
              <w:spacing w:line="360" w:lineRule="auto"/>
              <w:ind w:firstLine="1200" w:firstLineChars="500"/>
              <w:rPr>
                <w:rFonts w:ascii="Times New Roman" w:hAnsi="Times New Roman" w:cs="Times New Roman"/>
                <w:bCs/>
                <w:color w:val="auto"/>
                <w:sz w:val="24"/>
                <w:szCs w:val="24"/>
                <w:highlight w:val="none"/>
              </w:rPr>
            </w:pPr>
            <w:r>
              <w:rPr>
                <w:rFonts w:ascii="Times New Roman" w:hAnsi="Times New Roman" w:cs="Times New Roman"/>
                <w:bCs/>
                <w:i/>
                <w:color w:val="auto"/>
                <w:sz w:val="24"/>
                <w:szCs w:val="24"/>
                <w:highlight w:val="none"/>
              </w:rPr>
              <w:t>r</w:t>
            </w:r>
            <w:r>
              <w:rPr>
                <w:rFonts w:ascii="Times New Roman" w:hAnsi="Times New Roman" w:cs="Times New Roman"/>
                <w:bCs/>
                <w:color w:val="auto"/>
                <w:sz w:val="24"/>
                <w:szCs w:val="24"/>
                <w:highlight w:val="none"/>
              </w:rPr>
              <w:t>—声源到靠近围护结构某点处的距离，m。</w:t>
            </w:r>
          </w:p>
          <w:p w14:paraId="63F8AE99">
            <w:pPr>
              <w:spacing w:line="360" w:lineRule="auto"/>
              <w:ind w:firstLine="480" w:firstLineChars="20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然后按下式计算出所有室内声源在围护结构处产生的</w:t>
            </w:r>
            <w:r>
              <w:rPr>
                <w:rFonts w:ascii="Times New Roman" w:hAnsi="Times New Roman" w:cs="Times New Roman"/>
                <w:bCs/>
                <w:i/>
                <w:iCs/>
                <w:color w:val="auto"/>
                <w:sz w:val="24"/>
                <w:szCs w:val="24"/>
                <w:highlight w:val="none"/>
              </w:rPr>
              <w:t>i</w:t>
            </w:r>
            <w:r>
              <w:rPr>
                <w:rFonts w:ascii="Times New Roman" w:hAnsi="Times New Roman" w:cs="Times New Roman"/>
                <w:bCs/>
                <w:color w:val="auto"/>
                <w:sz w:val="24"/>
                <w:szCs w:val="24"/>
                <w:highlight w:val="none"/>
              </w:rPr>
              <w:t>倍频带叠加声压级：</w:t>
            </w:r>
          </w:p>
          <w:p w14:paraId="5CABC2B8">
            <w:pPr>
              <w:spacing w:line="360" w:lineRule="auto"/>
              <w:jc w:val="center"/>
              <w:rPr>
                <w:rFonts w:ascii="Times New Roman" w:hAnsi="Times New Roman" w:cs="Times New Roman"/>
                <w:bCs/>
                <w:color w:val="auto"/>
                <w:sz w:val="24"/>
                <w:szCs w:val="24"/>
                <w:highlight w:val="none"/>
              </w:rPr>
            </w:pPr>
            <w:r>
              <w:rPr>
                <w:rFonts w:ascii="Times New Roman" w:hAnsi="Times New Roman" w:cs="Times New Roman"/>
                <w:bCs/>
                <w:color w:val="auto"/>
                <w:position w:val="-32"/>
                <w:highlight w:val="none"/>
              </w:rPr>
              <w:object>
                <v:shape id="_x0000_i1031" o:spt="75" type="#_x0000_t75" style="height:37.8pt;width:136.2pt;" o:ole="t" filled="f" o:preferrelative="t" stroked="f" coordsize="21600,21600">
                  <v:path/>
                  <v:fill on="f" focussize="0,0"/>
                  <v:stroke on="f" joinstyle="miter"/>
                  <v:imagedata r:id="rId35" o:title=""/>
                  <o:lock v:ext="edit" aspectratio="t"/>
                  <w10:wrap type="none"/>
                  <w10:anchorlock/>
                </v:shape>
                <o:OLEObject Type="Embed" ProgID="Equation.DSMT4" ShapeID="_x0000_i1031" DrawAspect="Content" ObjectID="_1468075731" r:id="rId34">
                  <o:LockedField>false</o:LockedField>
                </o:OLEObject>
              </w:object>
            </w:r>
          </w:p>
          <w:p w14:paraId="5778DD11">
            <w:pPr>
              <w:spacing w:line="360" w:lineRule="auto"/>
              <w:ind w:firstLine="480" w:firstLineChars="20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式中，</w:t>
            </w:r>
            <w:r>
              <w:rPr>
                <w:rFonts w:ascii="Times New Roman" w:hAnsi="Times New Roman" w:cs="Times New Roman"/>
                <w:bCs/>
                <w:i/>
                <w:iCs/>
                <w:color w:val="auto"/>
                <w:sz w:val="24"/>
                <w:szCs w:val="24"/>
                <w:highlight w:val="none"/>
              </w:rPr>
              <w:t>L</w:t>
            </w:r>
            <w:r>
              <w:rPr>
                <w:rFonts w:ascii="Times New Roman" w:hAnsi="Times New Roman" w:cs="Times New Roman"/>
                <w:bCs/>
                <w:i/>
                <w:iCs/>
                <w:color w:val="auto"/>
                <w:sz w:val="24"/>
                <w:szCs w:val="24"/>
                <w:highlight w:val="none"/>
                <w:vertAlign w:val="subscript"/>
              </w:rPr>
              <w:t>p1i</w:t>
            </w:r>
            <w:r>
              <w:rPr>
                <w:rFonts w:ascii="Times New Roman" w:hAnsi="Times New Roman" w:cs="Times New Roman"/>
                <w:bCs/>
                <w:color w:val="auto"/>
                <w:sz w:val="24"/>
                <w:szCs w:val="24"/>
                <w:highlight w:val="none"/>
              </w:rPr>
              <w:t>(</w:t>
            </w:r>
            <w:r>
              <w:rPr>
                <w:rFonts w:ascii="Times New Roman" w:hAnsi="Times New Roman" w:cs="Times New Roman"/>
                <w:bCs/>
                <w:i/>
                <w:iCs/>
                <w:color w:val="auto"/>
                <w:sz w:val="24"/>
                <w:szCs w:val="24"/>
                <w:highlight w:val="none"/>
              </w:rPr>
              <w:t>T</w:t>
            </w:r>
            <w:r>
              <w:rPr>
                <w:rFonts w:ascii="Times New Roman" w:hAnsi="Times New Roman" w:cs="Times New Roman"/>
                <w:bCs/>
                <w:color w:val="auto"/>
                <w:sz w:val="24"/>
                <w:szCs w:val="24"/>
                <w:highlight w:val="none"/>
              </w:rPr>
              <w:t>)—靠近围护结构处室内N个声源</w:t>
            </w:r>
            <w:r>
              <w:rPr>
                <w:rFonts w:ascii="Times New Roman" w:hAnsi="Times New Roman" w:cs="Times New Roman"/>
                <w:bCs/>
                <w:i/>
                <w:iCs/>
                <w:color w:val="auto"/>
                <w:sz w:val="24"/>
                <w:szCs w:val="24"/>
                <w:highlight w:val="none"/>
              </w:rPr>
              <w:t>i</w:t>
            </w:r>
            <w:r>
              <w:rPr>
                <w:rFonts w:ascii="Times New Roman" w:hAnsi="Times New Roman" w:cs="Times New Roman"/>
                <w:bCs/>
                <w:color w:val="auto"/>
                <w:sz w:val="24"/>
                <w:szCs w:val="24"/>
                <w:highlight w:val="none"/>
              </w:rPr>
              <w:t>倍频带的叠加声压级，dB；</w:t>
            </w:r>
          </w:p>
          <w:p w14:paraId="28131B19">
            <w:pPr>
              <w:spacing w:line="360" w:lineRule="auto"/>
              <w:ind w:firstLine="1200" w:firstLineChars="500"/>
              <w:rPr>
                <w:rFonts w:ascii="Times New Roman" w:hAnsi="Times New Roman" w:cs="Times New Roman"/>
                <w:bCs/>
                <w:color w:val="auto"/>
                <w:sz w:val="24"/>
                <w:szCs w:val="24"/>
                <w:highlight w:val="none"/>
              </w:rPr>
            </w:pPr>
            <w:r>
              <w:rPr>
                <w:rFonts w:ascii="Times New Roman" w:hAnsi="Times New Roman" w:cs="Times New Roman"/>
                <w:bCs/>
                <w:i/>
                <w:iCs/>
                <w:color w:val="auto"/>
                <w:sz w:val="24"/>
                <w:szCs w:val="24"/>
                <w:highlight w:val="none"/>
              </w:rPr>
              <w:t>L</w:t>
            </w:r>
            <w:r>
              <w:rPr>
                <w:rFonts w:ascii="Times New Roman" w:hAnsi="Times New Roman" w:cs="Times New Roman"/>
                <w:bCs/>
                <w:i/>
                <w:iCs/>
                <w:color w:val="auto"/>
                <w:sz w:val="24"/>
                <w:szCs w:val="24"/>
                <w:highlight w:val="none"/>
                <w:vertAlign w:val="subscript"/>
              </w:rPr>
              <w:t>p1ij</w:t>
            </w:r>
            <w:r>
              <w:rPr>
                <w:rFonts w:ascii="Times New Roman" w:hAnsi="Times New Roman" w:cs="Times New Roman"/>
                <w:bCs/>
                <w:color w:val="auto"/>
                <w:sz w:val="24"/>
                <w:szCs w:val="24"/>
                <w:highlight w:val="none"/>
              </w:rPr>
              <w:t>—室内</w:t>
            </w:r>
            <w:r>
              <w:rPr>
                <w:rFonts w:ascii="Times New Roman" w:hAnsi="Times New Roman" w:cs="Times New Roman"/>
                <w:bCs/>
                <w:i/>
                <w:iCs/>
                <w:color w:val="auto"/>
                <w:sz w:val="24"/>
                <w:szCs w:val="24"/>
                <w:highlight w:val="none"/>
              </w:rPr>
              <w:t>j</w:t>
            </w:r>
            <w:r>
              <w:rPr>
                <w:rFonts w:ascii="Times New Roman" w:hAnsi="Times New Roman" w:cs="Times New Roman"/>
                <w:bCs/>
                <w:color w:val="auto"/>
                <w:sz w:val="24"/>
                <w:szCs w:val="24"/>
                <w:highlight w:val="none"/>
              </w:rPr>
              <w:t>声源</w:t>
            </w:r>
            <w:r>
              <w:rPr>
                <w:rFonts w:ascii="Times New Roman" w:hAnsi="Times New Roman" w:cs="Times New Roman"/>
                <w:bCs/>
                <w:i/>
                <w:iCs/>
                <w:color w:val="auto"/>
                <w:sz w:val="24"/>
                <w:szCs w:val="24"/>
                <w:highlight w:val="none"/>
              </w:rPr>
              <w:t>i</w:t>
            </w:r>
            <w:r>
              <w:rPr>
                <w:rFonts w:ascii="Times New Roman" w:hAnsi="Times New Roman" w:cs="Times New Roman"/>
                <w:bCs/>
                <w:color w:val="auto"/>
                <w:sz w:val="24"/>
                <w:szCs w:val="24"/>
                <w:highlight w:val="none"/>
              </w:rPr>
              <w:t>倍频带的声压级，dB；</w:t>
            </w:r>
          </w:p>
          <w:p w14:paraId="004E339D">
            <w:pPr>
              <w:spacing w:line="360" w:lineRule="auto"/>
              <w:ind w:firstLine="1200" w:firstLineChars="500"/>
              <w:rPr>
                <w:rFonts w:ascii="Times New Roman" w:hAnsi="Times New Roman" w:cs="Times New Roman"/>
                <w:bCs/>
                <w:color w:val="auto"/>
                <w:sz w:val="24"/>
                <w:szCs w:val="24"/>
                <w:highlight w:val="none"/>
              </w:rPr>
            </w:pPr>
            <w:r>
              <w:rPr>
                <w:rFonts w:ascii="Times New Roman" w:hAnsi="Times New Roman" w:cs="Times New Roman"/>
                <w:bCs/>
                <w:i/>
                <w:iCs/>
                <w:color w:val="auto"/>
                <w:sz w:val="24"/>
                <w:szCs w:val="24"/>
                <w:highlight w:val="none"/>
              </w:rPr>
              <w:t>N</w:t>
            </w:r>
            <w:r>
              <w:rPr>
                <w:rFonts w:ascii="Times New Roman" w:hAnsi="Times New Roman" w:cs="Times New Roman"/>
                <w:bCs/>
                <w:color w:val="auto"/>
                <w:sz w:val="24"/>
                <w:szCs w:val="24"/>
                <w:highlight w:val="none"/>
              </w:rPr>
              <w:t>—室内声源总数。</w:t>
            </w:r>
          </w:p>
          <w:p w14:paraId="483440FB">
            <w:pPr>
              <w:pStyle w:val="95"/>
              <w:ind w:firstLine="480"/>
              <w:rPr>
                <w:rFonts w:ascii="Times New Roman" w:hAnsi="Times New Roman"/>
                <w:b w:val="0"/>
                <w:bCs/>
                <w:color w:val="auto"/>
                <w:highlight w:val="none"/>
              </w:rPr>
            </w:pPr>
            <w:r>
              <w:rPr>
                <w:rFonts w:hint="eastAsia" w:ascii="Times New Roman" w:hAnsi="Times New Roman"/>
                <w:b w:val="0"/>
                <w:bCs/>
                <w:color w:val="auto"/>
                <w:highlight w:val="none"/>
              </w:rPr>
              <w:t>4</w:t>
            </w:r>
            <w:r>
              <w:rPr>
                <w:rFonts w:ascii="Times New Roman" w:hAnsi="Times New Roman"/>
                <w:b w:val="0"/>
                <w:bCs/>
                <w:color w:val="auto"/>
                <w:highlight w:val="none"/>
              </w:rPr>
              <w:t>）靠近声源处的预测点噪声预测模型</w:t>
            </w:r>
          </w:p>
          <w:p w14:paraId="346681E2">
            <w:pPr>
              <w:spacing w:line="360" w:lineRule="auto"/>
              <w:ind w:firstLine="480" w:firstLineChars="20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如预测点在靠近声源处，但不能满足点声源条件时，需按线声源或面声源模型计算。</w:t>
            </w:r>
          </w:p>
          <w:p w14:paraId="5A35DBE0">
            <w:pPr>
              <w:pStyle w:val="95"/>
              <w:ind w:firstLine="480"/>
              <w:rPr>
                <w:rFonts w:ascii="Times New Roman" w:hAnsi="Times New Roman"/>
                <w:b w:val="0"/>
                <w:bCs/>
                <w:color w:val="auto"/>
                <w:highlight w:val="none"/>
              </w:rPr>
            </w:pPr>
            <w:r>
              <w:rPr>
                <w:rFonts w:hint="eastAsia" w:ascii="Times New Roman" w:hAnsi="Times New Roman"/>
                <w:b w:val="0"/>
                <w:bCs/>
                <w:color w:val="auto"/>
                <w:highlight w:val="none"/>
              </w:rPr>
              <w:t>5</w:t>
            </w:r>
            <w:r>
              <w:rPr>
                <w:rFonts w:ascii="Times New Roman" w:hAnsi="Times New Roman"/>
                <w:b w:val="0"/>
                <w:bCs/>
                <w:color w:val="auto"/>
                <w:highlight w:val="none"/>
              </w:rPr>
              <w:t>）工业企业噪声计算</w:t>
            </w:r>
          </w:p>
          <w:p w14:paraId="132001D4">
            <w:pPr>
              <w:spacing w:line="360" w:lineRule="auto"/>
              <w:ind w:firstLine="480" w:firstLineChars="20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设第</w:t>
            </w:r>
            <w:r>
              <w:rPr>
                <w:rFonts w:ascii="Times New Roman" w:hAnsi="Times New Roman" w:cs="Times New Roman"/>
                <w:bCs/>
                <w:i/>
                <w:color w:val="auto"/>
                <w:sz w:val="24"/>
                <w:szCs w:val="24"/>
                <w:highlight w:val="none"/>
              </w:rPr>
              <w:t>i</w:t>
            </w:r>
            <w:r>
              <w:rPr>
                <w:rFonts w:ascii="Times New Roman" w:hAnsi="Times New Roman" w:cs="Times New Roman"/>
                <w:bCs/>
                <w:color w:val="auto"/>
                <w:sz w:val="24"/>
                <w:szCs w:val="24"/>
                <w:highlight w:val="none"/>
              </w:rPr>
              <w:t>个室外声源在预测点产生的A声级为</w:t>
            </w:r>
            <w:r>
              <w:rPr>
                <w:rFonts w:ascii="Times New Roman" w:hAnsi="Times New Roman" w:cs="Times New Roman"/>
                <w:bCs/>
                <w:i/>
                <w:color w:val="auto"/>
                <w:sz w:val="24"/>
                <w:szCs w:val="24"/>
                <w:highlight w:val="none"/>
              </w:rPr>
              <w:t>L</w:t>
            </w:r>
            <w:r>
              <w:rPr>
                <w:rFonts w:ascii="Times New Roman" w:hAnsi="Times New Roman" w:cs="Times New Roman"/>
                <w:bCs/>
                <w:color w:val="auto"/>
                <w:sz w:val="24"/>
                <w:szCs w:val="24"/>
                <w:highlight w:val="none"/>
                <w:vertAlign w:val="subscript"/>
              </w:rPr>
              <w:t>A</w:t>
            </w:r>
            <w:r>
              <w:rPr>
                <w:rFonts w:ascii="Times New Roman" w:hAnsi="Times New Roman" w:cs="Times New Roman"/>
                <w:bCs/>
                <w:i/>
                <w:color w:val="auto"/>
                <w:sz w:val="24"/>
                <w:szCs w:val="24"/>
                <w:highlight w:val="none"/>
                <w:vertAlign w:val="subscript"/>
              </w:rPr>
              <w:t>i</w:t>
            </w:r>
            <w:r>
              <w:rPr>
                <w:rFonts w:ascii="Times New Roman" w:hAnsi="Times New Roman" w:cs="Times New Roman"/>
                <w:bCs/>
                <w:color w:val="auto"/>
                <w:sz w:val="24"/>
                <w:szCs w:val="24"/>
                <w:highlight w:val="none"/>
              </w:rPr>
              <w:t>，在</w:t>
            </w:r>
            <w:r>
              <w:rPr>
                <w:rFonts w:ascii="Times New Roman" w:hAnsi="Times New Roman" w:cs="Times New Roman"/>
                <w:bCs/>
                <w:i/>
                <w:color w:val="auto"/>
                <w:sz w:val="24"/>
                <w:szCs w:val="24"/>
                <w:highlight w:val="none"/>
              </w:rPr>
              <w:t>T</w:t>
            </w:r>
            <w:r>
              <w:rPr>
                <w:rFonts w:ascii="Times New Roman" w:hAnsi="Times New Roman" w:cs="Times New Roman"/>
                <w:bCs/>
                <w:color w:val="auto"/>
                <w:sz w:val="24"/>
                <w:szCs w:val="24"/>
                <w:highlight w:val="none"/>
              </w:rPr>
              <w:t>时间内该声源工作时间为</w:t>
            </w:r>
            <w:r>
              <w:rPr>
                <w:rFonts w:ascii="Times New Roman" w:hAnsi="Times New Roman" w:cs="Times New Roman"/>
                <w:bCs/>
                <w:i/>
                <w:color w:val="auto"/>
                <w:sz w:val="24"/>
                <w:szCs w:val="24"/>
                <w:highlight w:val="none"/>
              </w:rPr>
              <w:t>t</w:t>
            </w:r>
            <w:r>
              <w:rPr>
                <w:rFonts w:ascii="Times New Roman" w:hAnsi="Times New Roman" w:cs="Times New Roman"/>
                <w:bCs/>
                <w:i/>
                <w:color w:val="auto"/>
                <w:sz w:val="24"/>
                <w:szCs w:val="24"/>
                <w:highlight w:val="none"/>
                <w:vertAlign w:val="subscript"/>
              </w:rPr>
              <w:t>i</w:t>
            </w:r>
            <w:r>
              <w:rPr>
                <w:rFonts w:ascii="Times New Roman" w:hAnsi="Times New Roman" w:cs="Times New Roman"/>
                <w:bCs/>
                <w:color w:val="auto"/>
                <w:sz w:val="24"/>
                <w:szCs w:val="24"/>
                <w:highlight w:val="none"/>
              </w:rPr>
              <w:t>，第</w:t>
            </w:r>
            <w:r>
              <w:rPr>
                <w:rFonts w:ascii="Times New Roman" w:hAnsi="Times New Roman" w:cs="Times New Roman"/>
                <w:bCs/>
                <w:i/>
                <w:iCs/>
                <w:color w:val="auto"/>
                <w:sz w:val="24"/>
                <w:szCs w:val="24"/>
                <w:highlight w:val="none"/>
              </w:rPr>
              <w:t>j</w:t>
            </w:r>
            <w:r>
              <w:rPr>
                <w:rFonts w:ascii="Times New Roman" w:hAnsi="Times New Roman" w:cs="Times New Roman"/>
                <w:bCs/>
                <w:color w:val="auto"/>
                <w:sz w:val="24"/>
                <w:szCs w:val="24"/>
                <w:highlight w:val="none"/>
              </w:rPr>
              <w:t>个等效室外声源在预测点产生的A声级为</w:t>
            </w:r>
            <w:r>
              <w:rPr>
                <w:rFonts w:ascii="Times New Roman" w:hAnsi="Times New Roman" w:cs="Times New Roman"/>
                <w:bCs/>
                <w:i/>
                <w:iCs/>
                <w:color w:val="auto"/>
                <w:sz w:val="24"/>
                <w:szCs w:val="24"/>
                <w:highlight w:val="none"/>
              </w:rPr>
              <w:t>L</w:t>
            </w:r>
            <w:r>
              <w:rPr>
                <w:rFonts w:ascii="Times New Roman" w:hAnsi="Times New Roman" w:cs="Times New Roman"/>
                <w:bCs/>
                <w:color w:val="auto"/>
                <w:sz w:val="24"/>
                <w:szCs w:val="24"/>
                <w:highlight w:val="none"/>
                <w:vertAlign w:val="subscript"/>
              </w:rPr>
              <w:t>A</w:t>
            </w:r>
            <w:r>
              <w:rPr>
                <w:rFonts w:ascii="Times New Roman" w:hAnsi="Times New Roman" w:cs="Times New Roman"/>
                <w:bCs/>
                <w:i/>
                <w:iCs/>
                <w:color w:val="auto"/>
                <w:sz w:val="24"/>
                <w:szCs w:val="24"/>
                <w:highlight w:val="none"/>
                <w:vertAlign w:val="subscript"/>
              </w:rPr>
              <w:t>j</w:t>
            </w:r>
            <w:r>
              <w:rPr>
                <w:rFonts w:ascii="Times New Roman" w:hAnsi="Times New Roman" w:cs="Times New Roman"/>
                <w:bCs/>
                <w:color w:val="auto"/>
                <w:sz w:val="24"/>
                <w:szCs w:val="24"/>
                <w:highlight w:val="none"/>
              </w:rPr>
              <w:t xml:space="preserve"> ，在</w:t>
            </w:r>
            <w:r>
              <w:rPr>
                <w:rFonts w:ascii="Times New Roman" w:hAnsi="Times New Roman" w:cs="Times New Roman"/>
                <w:bCs/>
                <w:i/>
                <w:iCs/>
                <w:color w:val="auto"/>
                <w:sz w:val="24"/>
                <w:szCs w:val="24"/>
                <w:highlight w:val="none"/>
              </w:rPr>
              <w:t>T</w:t>
            </w:r>
            <w:r>
              <w:rPr>
                <w:rFonts w:ascii="Times New Roman" w:hAnsi="Times New Roman" w:cs="Times New Roman"/>
                <w:bCs/>
                <w:color w:val="auto"/>
                <w:sz w:val="24"/>
                <w:szCs w:val="24"/>
                <w:highlight w:val="none"/>
              </w:rPr>
              <w:t>时间内该声源工作时间为</w:t>
            </w:r>
            <w:r>
              <w:rPr>
                <w:rFonts w:ascii="Times New Roman" w:hAnsi="Times New Roman" w:cs="Times New Roman"/>
                <w:bCs/>
                <w:i/>
                <w:color w:val="auto"/>
                <w:sz w:val="24"/>
                <w:szCs w:val="24"/>
                <w:highlight w:val="none"/>
              </w:rPr>
              <w:t>t</w:t>
            </w:r>
            <w:r>
              <w:rPr>
                <w:rFonts w:ascii="Times New Roman" w:hAnsi="Times New Roman" w:cs="Times New Roman"/>
                <w:bCs/>
                <w:i/>
                <w:color w:val="auto"/>
                <w:sz w:val="24"/>
                <w:szCs w:val="24"/>
                <w:highlight w:val="none"/>
                <w:vertAlign w:val="subscript"/>
              </w:rPr>
              <w:t>j</w:t>
            </w:r>
            <w:r>
              <w:rPr>
                <w:rFonts w:ascii="Times New Roman" w:hAnsi="Times New Roman" w:cs="Times New Roman"/>
                <w:bCs/>
                <w:color w:val="auto"/>
                <w:sz w:val="24"/>
                <w:szCs w:val="24"/>
                <w:highlight w:val="none"/>
              </w:rPr>
              <w:t>，则拟建工程声源对预测点产生的贡献值（</w:t>
            </w:r>
            <w:r>
              <w:rPr>
                <w:rFonts w:ascii="Times New Roman" w:hAnsi="Times New Roman" w:cs="Times New Roman"/>
                <w:bCs/>
                <w:i/>
                <w:iCs/>
                <w:color w:val="auto"/>
                <w:sz w:val="24"/>
                <w:szCs w:val="24"/>
                <w:highlight w:val="none"/>
              </w:rPr>
              <w:t>L</w:t>
            </w:r>
            <w:r>
              <w:rPr>
                <w:rFonts w:ascii="Times New Roman" w:hAnsi="Times New Roman" w:cs="Times New Roman"/>
                <w:bCs/>
                <w:color w:val="auto"/>
                <w:sz w:val="24"/>
                <w:szCs w:val="24"/>
                <w:highlight w:val="none"/>
                <w:vertAlign w:val="subscript"/>
              </w:rPr>
              <w:t>eqg</w:t>
            </w:r>
            <w:r>
              <w:rPr>
                <w:rFonts w:ascii="Times New Roman" w:hAnsi="Times New Roman" w:cs="Times New Roman"/>
                <w:bCs/>
                <w:color w:val="auto"/>
                <w:sz w:val="24"/>
                <w:szCs w:val="24"/>
                <w:highlight w:val="none"/>
              </w:rPr>
              <w:t>）为：</w:t>
            </w:r>
          </w:p>
          <w:p w14:paraId="38A1FCD5">
            <w:pPr>
              <w:spacing w:line="360" w:lineRule="auto"/>
              <w:jc w:val="center"/>
              <w:rPr>
                <w:rFonts w:ascii="Times New Roman" w:hAnsi="Times New Roman" w:cs="Times New Roman"/>
                <w:bCs/>
                <w:color w:val="auto"/>
                <w:sz w:val="24"/>
                <w:szCs w:val="24"/>
                <w:highlight w:val="none"/>
              </w:rPr>
            </w:pPr>
            <w:r>
              <w:rPr>
                <w:rFonts w:ascii="Times New Roman" w:hAnsi="Times New Roman" w:cs="Times New Roman"/>
                <w:bCs/>
                <w:color w:val="auto"/>
                <w:position w:val="-34"/>
                <w:sz w:val="24"/>
                <w:szCs w:val="24"/>
                <w:highlight w:val="none"/>
              </w:rPr>
              <w:object>
                <v:shape id="_x0000_i1032" o:spt="75" type="#_x0000_t75" style="height:40.2pt;width:208.8pt;" o:ole="t" filled="f" o:preferrelative="t" stroked="f" coordsize="21600,21600">
                  <v:path/>
                  <v:fill on="f" focussize="0,0"/>
                  <v:stroke on="f" joinstyle="miter"/>
                  <v:imagedata r:id="rId37" o:title=""/>
                  <o:lock v:ext="edit" aspectratio="t"/>
                  <w10:wrap type="none"/>
                  <w10:anchorlock/>
                </v:shape>
                <o:OLEObject Type="Embed" ProgID="Equation.DSMT4" ShapeID="_x0000_i1032" DrawAspect="Content" ObjectID="_1468075732" r:id="rId36">
                  <o:LockedField>false</o:LockedField>
                </o:OLEObject>
              </w:object>
            </w:r>
          </w:p>
          <w:p w14:paraId="5D16193E">
            <w:pPr>
              <w:spacing w:line="360" w:lineRule="auto"/>
              <w:ind w:firstLine="480" w:firstLineChars="20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式中，</w:t>
            </w:r>
            <w:r>
              <w:rPr>
                <w:rFonts w:ascii="Times New Roman" w:hAnsi="Times New Roman" w:cs="Times New Roman"/>
                <w:bCs/>
                <w:i/>
                <w:iCs/>
                <w:color w:val="auto"/>
                <w:sz w:val="24"/>
                <w:szCs w:val="24"/>
                <w:highlight w:val="none"/>
              </w:rPr>
              <w:t>L</w:t>
            </w:r>
            <w:r>
              <w:rPr>
                <w:rFonts w:ascii="Times New Roman" w:hAnsi="Times New Roman" w:cs="Times New Roman"/>
                <w:bCs/>
                <w:color w:val="auto"/>
                <w:sz w:val="24"/>
                <w:szCs w:val="24"/>
                <w:highlight w:val="none"/>
                <w:vertAlign w:val="subscript"/>
              </w:rPr>
              <w:t>eqg</w:t>
            </w:r>
            <w:r>
              <w:rPr>
                <w:rFonts w:ascii="Times New Roman" w:hAnsi="Times New Roman" w:cs="Times New Roman"/>
                <w:bCs/>
                <w:color w:val="auto"/>
                <w:sz w:val="24"/>
                <w:szCs w:val="24"/>
                <w:highlight w:val="none"/>
              </w:rPr>
              <w:t>—建设项目声源在预测点产生的噪声贡献值，dB；</w:t>
            </w:r>
          </w:p>
          <w:p w14:paraId="7F4A82A4">
            <w:pPr>
              <w:spacing w:line="360" w:lineRule="auto"/>
              <w:ind w:firstLine="1200" w:firstLineChars="500"/>
              <w:rPr>
                <w:rFonts w:ascii="Times New Roman" w:hAnsi="Times New Roman" w:cs="Times New Roman"/>
                <w:bCs/>
                <w:color w:val="auto"/>
                <w:sz w:val="24"/>
                <w:szCs w:val="24"/>
                <w:highlight w:val="none"/>
              </w:rPr>
            </w:pPr>
            <w:r>
              <w:rPr>
                <w:rFonts w:ascii="Times New Roman" w:hAnsi="Times New Roman" w:cs="Times New Roman"/>
                <w:bCs/>
                <w:i/>
                <w:color w:val="auto"/>
                <w:sz w:val="24"/>
                <w:szCs w:val="24"/>
                <w:highlight w:val="none"/>
              </w:rPr>
              <w:t>T</w:t>
            </w:r>
            <w:r>
              <w:rPr>
                <w:rFonts w:ascii="Times New Roman" w:hAnsi="Times New Roman" w:cs="Times New Roman"/>
                <w:bCs/>
                <w:color w:val="auto"/>
                <w:sz w:val="24"/>
                <w:szCs w:val="24"/>
                <w:highlight w:val="none"/>
              </w:rPr>
              <w:t>—用于计算等效声级的时间，s；</w:t>
            </w:r>
          </w:p>
          <w:p w14:paraId="1613AA41">
            <w:pPr>
              <w:spacing w:line="360" w:lineRule="auto"/>
              <w:ind w:firstLine="1200" w:firstLineChars="500"/>
              <w:rPr>
                <w:rFonts w:ascii="Times New Roman" w:hAnsi="Times New Roman" w:cs="Times New Roman"/>
                <w:bCs/>
                <w:color w:val="auto"/>
                <w:sz w:val="24"/>
                <w:szCs w:val="24"/>
                <w:highlight w:val="none"/>
              </w:rPr>
            </w:pPr>
            <w:r>
              <w:rPr>
                <w:rFonts w:ascii="Times New Roman" w:hAnsi="Times New Roman" w:cs="Times New Roman"/>
                <w:bCs/>
                <w:i/>
                <w:color w:val="auto"/>
                <w:sz w:val="24"/>
                <w:szCs w:val="24"/>
                <w:highlight w:val="none"/>
              </w:rPr>
              <w:t>N</w:t>
            </w:r>
            <w:r>
              <w:rPr>
                <w:rFonts w:ascii="Times New Roman" w:hAnsi="Times New Roman" w:cs="Times New Roman"/>
                <w:bCs/>
                <w:color w:val="auto"/>
                <w:sz w:val="24"/>
                <w:szCs w:val="24"/>
                <w:highlight w:val="none"/>
              </w:rPr>
              <w:t>—室外声源个数；</w:t>
            </w:r>
          </w:p>
          <w:p w14:paraId="35D5EBF3">
            <w:pPr>
              <w:spacing w:line="360" w:lineRule="auto"/>
              <w:ind w:firstLine="1200" w:firstLineChars="500"/>
              <w:rPr>
                <w:rFonts w:ascii="Times New Roman" w:hAnsi="Times New Roman" w:cs="Times New Roman"/>
                <w:bCs/>
                <w:color w:val="auto"/>
                <w:sz w:val="24"/>
                <w:szCs w:val="24"/>
                <w:highlight w:val="none"/>
              </w:rPr>
            </w:pPr>
            <w:r>
              <w:rPr>
                <w:rFonts w:ascii="Times New Roman" w:hAnsi="Times New Roman" w:cs="Times New Roman"/>
                <w:bCs/>
                <w:i/>
                <w:iCs/>
                <w:color w:val="auto"/>
                <w:sz w:val="24"/>
                <w:szCs w:val="24"/>
                <w:highlight w:val="none"/>
              </w:rPr>
              <w:t>t</w:t>
            </w:r>
            <w:r>
              <w:rPr>
                <w:rFonts w:ascii="Times New Roman" w:hAnsi="Times New Roman" w:cs="Times New Roman"/>
                <w:bCs/>
                <w:i/>
                <w:iCs/>
                <w:color w:val="auto"/>
                <w:sz w:val="24"/>
                <w:szCs w:val="24"/>
                <w:highlight w:val="none"/>
                <w:vertAlign w:val="subscript"/>
              </w:rPr>
              <w:t>i</w:t>
            </w:r>
            <w:r>
              <w:rPr>
                <w:rFonts w:ascii="Times New Roman" w:hAnsi="Times New Roman" w:cs="Times New Roman"/>
                <w:bCs/>
                <w:color w:val="auto"/>
                <w:sz w:val="24"/>
                <w:szCs w:val="24"/>
                <w:highlight w:val="none"/>
              </w:rPr>
              <w:t>—在</w:t>
            </w:r>
            <w:r>
              <w:rPr>
                <w:rFonts w:ascii="Times New Roman" w:hAnsi="Times New Roman" w:cs="Times New Roman"/>
                <w:bCs/>
                <w:i/>
                <w:iCs/>
                <w:color w:val="auto"/>
                <w:sz w:val="24"/>
                <w:szCs w:val="24"/>
                <w:highlight w:val="none"/>
              </w:rPr>
              <w:t>T</w:t>
            </w:r>
            <w:r>
              <w:rPr>
                <w:rFonts w:ascii="Times New Roman" w:hAnsi="Times New Roman" w:cs="Times New Roman"/>
                <w:bCs/>
                <w:color w:val="auto"/>
                <w:sz w:val="24"/>
                <w:szCs w:val="24"/>
                <w:highlight w:val="none"/>
              </w:rPr>
              <w:t>时间内</w:t>
            </w:r>
            <w:r>
              <w:rPr>
                <w:rFonts w:ascii="Times New Roman" w:hAnsi="Times New Roman" w:cs="Times New Roman"/>
                <w:bCs/>
                <w:i/>
                <w:iCs/>
                <w:color w:val="auto"/>
                <w:sz w:val="24"/>
                <w:szCs w:val="24"/>
                <w:highlight w:val="none"/>
              </w:rPr>
              <w:t>i</w:t>
            </w:r>
            <w:r>
              <w:rPr>
                <w:rFonts w:ascii="Times New Roman" w:hAnsi="Times New Roman" w:cs="Times New Roman"/>
                <w:bCs/>
                <w:color w:val="auto"/>
                <w:sz w:val="24"/>
                <w:szCs w:val="24"/>
                <w:highlight w:val="none"/>
              </w:rPr>
              <w:t>声源工作时间，s；</w:t>
            </w:r>
          </w:p>
          <w:p w14:paraId="323AED73">
            <w:pPr>
              <w:spacing w:line="360" w:lineRule="auto"/>
              <w:ind w:firstLine="1200" w:firstLineChars="500"/>
              <w:rPr>
                <w:rFonts w:ascii="Times New Roman" w:hAnsi="Times New Roman" w:cs="Times New Roman"/>
                <w:bCs/>
                <w:color w:val="auto"/>
                <w:sz w:val="24"/>
                <w:szCs w:val="24"/>
                <w:highlight w:val="none"/>
              </w:rPr>
            </w:pPr>
            <w:r>
              <w:rPr>
                <w:rFonts w:ascii="Times New Roman" w:hAnsi="Times New Roman" w:cs="Times New Roman"/>
                <w:bCs/>
                <w:i/>
                <w:iCs/>
                <w:color w:val="auto"/>
                <w:sz w:val="24"/>
                <w:szCs w:val="24"/>
                <w:highlight w:val="none"/>
              </w:rPr>
              <w:t>M</w:t>
            </w:r>
            <w:r>
              <w:rPr>
                <w:rFonts w:ascii="Times New Roman" w:hAnsi="Times New Roman" w:cs="Times New Roman"/>
                <w:bCs/>
                <w:color w:val="auto"/>
                <w:sz w:val="24"/>
                <w:szCs w:val="24"/>
                <w:highlight w:val="none"/>
              </w:rPr>
              <w:t>—等效室外声源个数；</w:t>
            </w:r>
          </w:p>
          <w:p w14:paraId="020F4D19">
            <w:pPr>
              <w:spacing w:line="360" w:lineRule="auto"/>
              <w:ind w:firstLine="1200" w:firstLineChars="500"/>
              <w:rPr>
                <w:rFonts w:ascii="Times New Roman" w:hAnsi="Times New Roman" w:cs="Times New Roman"/>
                <w:bCs/>
                <w:color w:val="auto"/>
                <w:sz w:val="24"/>
                <w:szCs w:val="24"/>
                <w:highlight w:val="none"/>
              </w:rPr>
            </w:pPr>
            <w:r>
              <w:rPr>
                <w:rFonts w:ascii="Times New Roman" w:hAnsi="Times New Roman" w:cs="Times New Roman"/>
                <w:bCs/>
                <w:i/>
                <w:iCs/>
                <w:color w:val="auto"/>
                <w:sz w:val="24"/>
                <w:szCs w:val="24"/>
                <w:highlight w:val="none"/>
              </w:rPr>
              <w:t>t</w:t>
            </w:r>
            <w:r>
              <w:rPr>
                <w:rFonts w:ascii="Times New Roman" w:hAnsi="Times New Roman" w:cs="Times New Roman"/>
                <w:bCs/>
                <w:i/>
                <w:iCs/>
                <w:color w:val="auto"/>
                <w:sz w:val="24"/>
                <w:szCs w:val="24"/>
                <w:highlight w:val="none"/>
                <w:vertAlign w:val="subscript"/>
              </w:rPr>
              <w:t>j</w:t>
            </w:r>
            <w:r>
              <w:rPr>
                <w:rFonts w:ascii="Times New Roman" w:hAnsi="Times New Roman" w:cs="Times New Roman"/>
                <w:bCs/>
                <w:color w:val="auto"/>
                <w:sz w:val="24"/>
                <w:szCs w:val="24"/>
                <w:highlight w:val="none"/>
              </w:rPr>
              <w:t>—在</w:t>
            </w:r>
            <w:r>
              <w:rPr>
                <w:rFonts w:ascii="Times New Roman" w:hAnsi="Times New Roman" w:cs="Times New Roman"/>
                <w:bCs/>
                <w:i/>
                <w:iCs/>
                <w:color w:val="auto"/>
                <w:sz w:val="24"/>
                <w:szCs w:val="24"/>
                <w:highlight w:val="none"/>
              </w:rPr>
              <w:t>T</w:t>
            </w:r>
            <w:r>
              <w:rPr>
                <w:rFonts w:ascii="Times New Roman" w:hAnsi="Times New Roman" w:cs="Times New Roman"/>
                <w:bCs/>
                <w:color w:val="auto"/>
                <w:sz w:val="24"/>
                <w:szCs w:val="24"/>
                <w:highlight w:val="none"/>
              </w:rPr>
              <w:t>时间内</w:t>
            </w:r>
            <w:r>
              <w:rPr>
                <w:rFonts w:ascii="Times New Roman" w:hAnsi="Times New Roman" w:cs="Times New Roman"/>
                <w:bCs/>
                <w:i/>
                <w:iCs/>
                <w:color w:val="auto"/>
                <w:sz w:val="24"/>
                <w:szCs w:val="24"/>
                <w:highlight w:val="none"/>
              </w:rPr>
              <w:t>j</w:t>
            </w:r>
            <w:r>
              <w:rPr>
                <w:rFonts w:ascii="Times New Roman" w:hAnsi="Times New Roman" w:cs="Times New Roman"/>
                <w:bCs/>
                <w:color w:val="auto"/>
                <w:sz w:val="24"/>
                <w:szCs w:val="24"/>
                <w:highlight w:val="none"/>
              </w:rPr>
              <w:t>声源工作时间，s。</w:t>
            </w:r>
          </w:p>
          <w:p w14:paraId="45A01AC0">
            <w:pPr>
              <w:pStyle w:val="95"/>
              <w:ind w:firstLine="480"/>
              <w:rPr>
                <w:rFonts w:ascii="Times New Roman" w:hAnsi="Times New Roman"/>
                <w:b w:val="0"/>
                <w:bCs/>
                <w:color w:val="auto"/>
                <w:highlight w:val="none"/>
              </w:rPr>
            </w:pPr>
            <w:r>
              <w:rPr>
                <w:rFonts w:hint="eastAsia" w:ascii="Times New Roman" w:hAnsi="Times New Roman"/>
                <w:b w:val="0"/>
                <w:bCs/>
                <w:color w:val="auto"/>
                <w:highlight w:val="none"/>
              </w:rPr>
              <w:t>6</w:t>
            </w:r>
            <w:r>
              <w:rPr>
                <w:rFonts w:ascii="Times New Roman" w:hAnsi="Times New Roman"/>
                <w:b w:val="0"/>
                <w:bCs/>
                <w:color w:val="auto"/>
                <w:highlight w:val="none"/>
              </w:rPr>
              <w:t>）预测值计算</w:t>
            </w:r>
          </w:p>
          <w:p w14:paraId="0F92DAE6">
            <w:pPr>
              <w:spacing w:line="360" w:lineRule="auto"/>
              <w:jc w:val="center"/>
              <w:rPr>
                <w:rFonts w:ascii="Times New Roman" w:hAnsi="Times New Roman" w:cs="Times New Roman"/>
                <w:bCs/>
                <w:color w:val="auto"/>
                <w:sz w:val="24"/>
                <w:szCs w:val="24"/>
                <w:highlight w:val="none"/>
              </w:rPr>
            </w:pPr>
            <w:r>
              <w:rPr>
                <w:rFonts w:ascii="Times New Roman" w:hAnsi="Times New Roman" w:cs="Times New Roman"/>
                <w:bCs/>
                <w:color w:val="auto"/>
                <w:position w:val="-14"/>
                <w:highlight w:val="none"/>
              </w:rPr>
              <w:object>
                <v:shape id="_x0000_i1033" o:spt="75" type="#_x0000_t75" style="height:22.2pt;width:136.2pt;" o:ole="t" filled="f" o:preferrelative="t" stroked="f" coordsize="21600,21600">
                  <v:path/>
                  <v:fill on="f" focussize="0,0"/>
                  <v:stroke on="f" joinstyle="miter"/>
                  <v:imagedata r:id="rId39" o:title=""/>
                  <o:lock v:ext="edit" aspectratio="t"/>
                  <w10:wrap type="none"/>
                  <w10:anchorlock/>
                </v:shape>
                <o:OLEObject Type="Embed" ProgID="Equation.DSMT4" ShapeID="_x0000_i1033" DrawAspect="Content" ObjectID="_1468075733" r:id="rId38">
                  <o:LockedField>false</o:LockedField>
                </o:OLEObject>
              </w:object>
            </w:r>
          </w:p>
          <w:p w14:paraId="2379FAE9">
            <w:pPr>
              <w:spacing w:line="360" w:lineRule="auto"/>
              <w:ind w:firstLine="480" w:firstLineChars="20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式中，</w:t>
            </w:r>
            <w:r>
              <w:rPr>
                <w:rFonts w:ascii="Times New Roman" w:hAnsi="Times New Roman" w:cs="Times New Roman"/>
                <w:bCs/>
                <w:i/>
                <w:color w:val="auto"/>
                <w:sz w:val="24"/>
                <w:szCs w:val="24"/>
                <w:highlight w:val="none"/>
              </w:rPr>
              <w:t>L</w:t>
            </w:r>
            <w:r>
              <w:rPr>
                <w:rFonts w:ascii="Times New Roman" w:hAnsi="Times New Roman" w:cs="Times New Roman"/>
                <w:bCs/>
                <w:color w:val="auto"/>
                <w:sz w:val="24"/>
                <w:szCs w:val="24"/>
                <w:highlight w:val="none"/>
                <w:vertAlign w:val="subscript"/>
              </w:rPr>
              <w:t>eq</w:t>
            </w:r>
            <w:r>
              <w:rPr>
                <w:rFonts w:ascii="Times New Roman" w:hAnsi="Times New Roman" w:cs="Times New Roman"/>
                <w:bCs/>
                <w:color w:val="auto"/>
                <w:sz w:val="24"/>
                <w:szCs w:val="24"/>
                <w:highlight w:val="none"/>
              </w:rPr>
              <w:t>—预测点的噪声预测值，dB；</w:t>
            </w:r>
          </w:p>
          <w:p w14:paraId="6C39F375">
            <w:pPr>
              <w:spacing w:line="360" w:lineRule="auto"/>
              <w:ind w:firstLine="1200" w:firstLineChars="500"/>
              <w:rPr>
                <w:rFonts w:ascii="Times New Roman" w:hAnsi="Times New Roman" w:cs="Times New Roman"/>
                <w:bCs/>
                <w:color w:val="auto"/>
                <w:sz w:val="24"/>
                <w:szCs w:val="24"/>
                <w:highlight w:val="none"/>
              </w:rPr>
            </w:pPr>
            <w:r>
              <w:rPr>
                <w:rFonts w:ascii="Times New Roman" w:hAnsi="Times New Roman" w:cs="Times New Roman"/>
                <w:bCs/>
                <w:i/>
                <w:color w:val="auto"/>
                <w:sz w:val="24"/>
                <w:szCs w:val="24"/>
                <w:highlight w:val="none"/>
              </w:rPr>
              <w:t>L</w:t>
            </w:r>
            <w:r>
              <w:rPr>
                <w:rFonts w:ascii="Times New Roman" w:hAnsi="Times New Roman" w:cs="Times New Roman"/>
                <w:bCs/>
                <w:color w:val="auto"/>
                <w:sz w:val="24"/>
                <w:szCs w:val="24"/>
                <w:highlight w:val="none"/>
                <w:vertAlign w:val="subscript"/>
              </w:rPr>
              <w:t>eqb</w:t>
            </w:r>
            <w:r>
              <w:rPr>
                <w:rFonts w:ascii="Times New Roman" w:hAnsi="Times New Roman" w:cs="Times New Roman"/>
                <w:bCs/>
                <w:color w:val="auto"/>
                <w:sz w:val="24"/>
                <w:szCs w:val="24"/>
                <w:highlight w:val="none"/>
              </w:rPr>
              <w:t>—预测点的背景值，dB。</w:t>
            </w:r>
          </w:p>
          <w:p w14:paraId="6C06D7A6">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w:t>
            </w:r>
            <w:r>
              <w:rPr>
                <w:rFonts w:ascii="Times New Roman" w:hAnsi="Times New Roman" w:cs="Times New Roman"/>
                <w:color w:val="auto"/>
                <w:sz w:val="24"/>
                <w:szCs w:val="24"/>
                <w:highlight w:val="none"/>
              </w:rPr>
              <w:t>预测结果</w:t>
            </w:r>
          </w:p>
          <w:p w14:paraId="719407DC">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本项目为</w:t>
            </w:r>
            <w:r>
              <w:rPr>
                <w:rFonts w:hint="eastAsia" w:ascii="Times New Roman" w:hAnsi="Times New Roman" w:cs="Times New Roman"/>
                <w:color w:val="auto"/>
                <w:sz w:val="24"/>
                <w:szCs w:val="24"/>
                <w:highlight w:val="none"/>
                <w:lang w:val="en-US" w:eastAsia="zh-CN"/>
              </w:rPr>
              <w:t>学校实验楼建设</w:t>
            </w:r>
            <w:r>
              <w:rPr>
                <w:rFonts w:hint="eastAsia" w:ascii="Times New Roman" w:hAnsi="Times New Roman" w:cs="Times New Roman"/>
                <w:color w:val="auto"/>
                <w:sz w:val="24"/>
                <w:szCs w:val="24"/>
                <w:highlight w:val="none"/>
              </w:rPr>
              <w:t>项目，主要噪声源为设备噪声，其中新增</w:t>
            </w:r>
            <w:r>
              <w:rPr>
                <w:rFonts w:hint="eastAsia" w:ascii="Times New Roman" w:hAnsi="Times New Roman" w:cs="Times New Roman"/>
                <w:color w:val="auto"/>
                <w:sz w:val="24"/>
                <w:szCs w:val="24"/>
                <w:highlight w:val="none"/>
                <w:lang w:val="en-US" w:eastAsia="zh-CN"/>
              </w:rPr>
              <w:t>实验设备和空调外机</w:t>
            </w:r>
            <w:r>
              <w:rPr>
                <w:rFonts w:hint="eastAsia" w:ascii="Times New Roman" w:hAnsi="Times New Roman" w:cs="Times New Roman"/>
                <w:color w:val="auto"/>
                <w:sz w:val="24"/>
                <w:szCs w:val="24"/>
                <w:highlight w:val="none"/>
              </w:rPr>
              <w:t>为本次</w:t>
            </w:r>
            <w:r>
              <w:rPr>
                <w:rFonts w:hint="eastAsia" w:ascii="Times New Roman" w:hAnsi="Times New Roman" w:cs="Times New Roman"/>
                <w:color w:val="auto"/>
                <w:sz w:val="24"/>
                <w:szCs w:val="24"/>
                <w:highlight w:val="none"/>
                <w:lang w:val="en-US" w:eastAsia="zh-CN"/>
              </w:rPr>
              <w:t>改建</w:t>
            </w:r>
            <w:r>
              <w:rPr>
                <w:rFonts w:hint="eastAsia" w:ascii="Times New Roman" w:hAnsi="Times New Roman" w:cs="Times New Roman"/>
                <w:color w:val="auto"/>
                <w:sz w:val="24"/>
                <w:szCs w:val="24"/>
                <w:highlight w:val="none"/>
              </w:rPr>
              <w:t>新增声源，其余均为现有声源。</w:t>
            </w:r>
          </w:p>
          <w:p w14:paraId="604DBA55">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本评价厂界噪声预测时以</w:t>
            </w:r>
            <w:r>
              <w:rPr>
                <w:rFonts w:hint="eastAsia" w:ascii="Times New Roman" w:hAnsi="Times New Roman" w:cs="Times New Roman"/>
                <w:color w:val="auto"/>
                <w:sz w:val="24"/>
                <w:szCs w:val="24"/>
                <w:highlight w:val="none"/>
                <w:lang w:val="en-US" w:eastAsia="zh-CN"/>
              </w:rPr>
              <w:t>改建</w:t>
            </w:r>
            <w:r>
              <w:rPr>
                <w:rFonts w:hint="eastAsia" w:ascii="Times New Roman" w:hAnsi="Times New Roman" w:cs="Times New Roman"/>
                <w:color w:val="auto"/>
                <w:sz w:val="24"/>
                <w:szCs w:val="24"/>
                <w:highlight w:val="none"/>
              </w:rPr>
              <w:t>工程新增主要噪声设备贡献值与相应厂界现状监测值进行叠加预测，以此得到厂界预测结果。声环境保护目标预测时考虑以扩建工程新增主要噪声设备贡献值与相应声环境保护目标现状监测值进行叠加预测，以此得到项目扩建后声环境保护目标的预测值。</w:t>
            </w:r>
          </w:p>
          <w:p w14:paraId="694E6CA2">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通过预测模型计算，项目厂界噪声预测结果及声环境保护目标噪声预测结果如后所示。</w:t>
            </w:r>
          </w:p>
          <w:p w14:paraId="0B7CD5E4">
            <w:pPr>
              <w:pStyle w:val="117"/>
              <w:bidi w:val="0"/>
              <w:rPr>
                <w:color w:val="auto"/>
              </w:rPr>
            </w:pPr>
            <w:r>
              <w:rPr>
                <w:color w:val="auto"/>
              </w:rPr>
              <w:t>项目厂界噪声预测结果与达标分析</w:t>
            </w:r>
            <w:r>
              <w:rPr>
                <w:rFonts w:hint="eastAsia"/>
                <w:color w:val="auto"/>
              </w:rPr>
              <w:t xml:space="preserve">    单位：dB（A）</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145"/>
              <w:gridCol w:w="1035"/>
              <w:gridCol w:w="1162"/>
              <w:gridCol w:w="621"/>
              <w:gridCol w:w="859"/>
              <w:gridCol w:w="859"/>
              <w:gridCol w:w="859"/>
              <w:gridCol w:w="721"/>
              <w:gridCol w:w="855"/>
            </w:tblGrid>
            <w:tr w14:paraId="175DD1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94" w:type="pct"/>
                  <w:vMerge w:val="restart"/>
                  <w:tcBorders>
                    <w:tl2br w:val="nil"/>
                    <w:tr2bl w:val="nil"/>
                  </w:tcBorders>
                  <w:vAlign w:val="center"/>
                </w:tcPr>
                <w:p w14:paraId="02862A90">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编号</w:t>
                  </w:r>
                </w:p>
              </w:tc>
              <w:tc>
                <w:tcPr>
                  <w:tcW w:w="649" w:type="pct"/>
                  <w:vMerge w:val="restart"/>
                  <w:tcBorders>
                    <w:tl2br w:val="nil"/>
                    <w:tr2bl w:val="nil"/>
                  </w:tcBorders>
                  <w:vAlign w:val="center"/>
                </w:tcPr>
                <w:p w14:paraId="682B09B0">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预测</w:t>
                  </w:r>
                </w:p>
                <w:p w14:paraId="5A3774C2">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点位置</w:t>
                  </w:r>
                </w:p>
              </w:tc>
              <w:tc>
                <w:tcPr>
                  <w:tcW w:w="1598" w:type="pct"/>
                  <w:gridSpan w:val="3"/>
                  <w:tcBorders>
                    <w:tl2br w:val="nil"/>
                    <w:tr2bl w:val="nil"/>
                  </w:tcBorders>
                  <w:vAlign w:val="center"/>
                </w:tcPr>
                <w:p w14:paraId="33B518D3">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空间相对位置/m</w:t>
                  </w:r>
                </w:p>
              </w:tc>
              <w:tc>
                <w:tcPr>
                  <w:tcW w:w="487" w:type="pct"/>
                  <w:tcBorders>
                    <w:tl2br w:val="nil"/>
                    <w:tr2bl w:val="nil"/>
                  </w:tcBorders>
                  <w:vAlign w:val="center"/>
                </w:tcPr>
                <w:p w14:paraId="2ECF20C1">
                  <w:pPr>
                    <w:adjustRightInd w:val="0"/>
                    <w:snapToGrid w:val="0"/>
                    <w:jc w:val="center"/>
                    <w:rPr>
                      <w:rFonts w:hint="eastAsia" w:ascii="Times New Roman" w:hAnsi="Times New Roman" w:cs="Times New Roman" w:eastAsiaTheme="minorEastAsia"/>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背景值</w:t>
                  </w:r>
                </w:p>
              </w:tc>
              <w:tc>
                <w:tcPr>
                  <w:tcW w:w="487" w:type="pct"/>
                  <w:tcBorders>
                    <w:tl2br w:val="nil"/>
                    <w:tr2bl w:val="nil"/>
                  </w:tcBorders>
                  <w:vAlign w:val="center"/>
                </w:tcPr>
                <w:p w14:paraId="32333A6A">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贡献值</w:t>
                  </w:r>
                </w:p>
              </w:tc>
              <w:tc>
                <w:tcPr>
                  <w:tcW w:w="487" w:type="pct"/>
                  <w:tcBorders>
                    <w:tl2br w:val="nil"/>
                    <w:tr2bl w:val="nil"/>
                  </w:tcBorders>
                  <w:vAlign w:val="center"/>
                </w:tcPr>
                <w:p w14:paraId="4D65A40A">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预测值</w:t>
                  </w:r>
                </w:p>
              </w:tc>
              <w:tc>
                <w:tcPr>
                  <w:tcW w:w="409" w:type="pct"/>
                  <w:tcBorders>
                    <w:tl2br w:val="nil"/>
                    <w:tr2bl w:val="nil"/>
                  </w:tcBorders>
                  <w:vAlign w:val="center"/>
                </w:tcPr>
                <w:p w14:paraId="6F9CE1FF">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标准值</w:t>
                  </w:r>
                </w:p>
              </w:tc>
              <w:tc>
                <w:tcPr>
                  <w:tcW w:w="484" w:type="pct"/>
                  <w:tcBorders>
                    <w:tl2br w:val="nil"/>
                    <w:tr2bl w:val="nil"/>
                  </w:tcBorders>
                  <w:vAlign w:val="center"/>
                </w:tcPr>
                <w:p w14:paraId="07CC0E4C">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达标情况</w:t>
                  </w:r>
                </w:p>
              </w:tc>
            </w:tr>
            <w:tr w14:paraId="1A214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394" w:type="pct"/>
                  <w:vMerge w:val="continue"/>
                  <w:tcBorders>
                    <w:tl2br w:val="nil"/>
                    <w:tr2bl w:val="nil"/>
                  </w:tcBorders>
                  <w:vAlign w:val="center"/>
                </w:tcPr>
                <w:p w14:paraId="76CFB164">
                  <w:pPr>
                    <w:adjustRightInd w:val="0"/>
                    <w:snapToGrid w:val="0"/>
                    <w:jc w:val="center"/>
                    <w:rPr>
                      <w:rFonts w:hint="default" w:ascii="Times New Roman" w:hAnsi="Times New Roman" w:cs="Times New Roman"/>
                      <w:b/>
                      <w:bCs/>
                      <w:color w:val="auto"/>
                      <w:szCs w:val="21"/>
                      <w:highlight w:val="none"/>
                    </w:rPr>
                  </w:pPr>
                </w:p>
              </w:tc>
              <w:tc>
                <w:tcPr>
                  <w:tcW w:w="649" w:type="pct"/>
                  <w:vMerge w:val="continue"/>
                  <w:tcBorders>
                    <w:tl2br w:val="nil"/>
                    <w:tr2bl w:val="nil"/>
                  </w:tcBorders>
                  <w:vAlign w:val="center"/>
                </w:tcPr>
                <w:p w14:paraId="0BC0D66B">
                  <w:pPr>
                    <w:adjustRightInd w:val="0"/>
                    <w:snapToGrid w:val="0"/>
                    <w:jc w:val="center"/>
                    <w:rPr>
                      <w:rFonts w:hint="default" w:ascii="Times New Roman" w:hAnsi="Times New Roman" w:cs="Times New Roman"/>
                      <w:b/>
                      <w:bCs/>
                      <w:color w:val="auto"/>
                      <w:szCs w:val="21"/>
                      <w:highlight w:val="none"/>
                    </w:rPr>
                  </w:pPr>
                </w:p>
              </w:tc>
              <w:tc>
                <w:tcPr>
                  <w:tcW w:w="587" w:type="pct"/>
                  <w:tcBorders>
                    <w:tl2br w:val="nil"/>
                    <w:tr2bl w:val="nil"/>
                  </w:tcBorders>
                  <w:vAlign w:val="center"/>
                </w:tcPr>
                <w:p w14:paraId="0FFD5E49">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X</w:t>
                  </w:r>
                </w:p>
              </w:tc>
              <w:tc>
                <w:tcPr>
                  <w:tcW w:w="659" w:type="pct"/>
                  <w:tcBorders>
                    <w:tl2br w:val="nil"/>
                    <w:tr2bl w:val="nil"/>
                  </w:tcBorders>
                  <w:vAlign w:val="center"/>
                </w:tcPr>
                <w:p w14:paraId="3A543CD1">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Y</w:t>
                  </w:r>
                </w:p>
              </w:tc>
              <w:tc>
                <w:tcPr>
                  <w:tcW w:w="351" w:type="pct"/>
                  <w:tcBorders>
                    <w:tl2br w:val="nil"/>
                    <w:tr2bl w:val="nil"/>
                  </w:tcBorders>
                  <w:vAlign w:val="center"/>
                </w:tcPr>
                <w:p w14:paraId="6D001B98">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Z</w:t>
                  </w:r>
                </w:p>
              </w:tc>
              <w:tc>
                <w:tcPr>
                  <w:tcW w:w="487" w:type="pct"/>
                  <w:tcBorders>
                    <w:tl2br w:val="nil"/>
                    <w:tr2bl w:val="nil"/>
                  </w:tcBorders>
                  <w:vAlign w:val="center"/>
                </w:tcPr>
                <w:p w14:paraId="65796996">
                  <w:pPr>
                    <w:adjustRightInd w:val="0"/>
                    <w:snapToGrid w:val="0"/>
                    <w:jc w:val="center"/>
                    <w:rPr>
                      <w:rFonts w:hint="eastAsia" w:ascii="Times New Roman" w:hAnsi="Times New Roman" w:cs="Times New Roman" w:eastAsiaTheme="minorEastAsia"/>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昼间</w:t>
                  </w:r>
                </w:p>
              </w:tc>
              <w:tc>
                <w:tcPr>
                  <w:tcW w:w="487" w:type="pct"/>
                  <w:tcBorders>
                    <w:tl2br w:val="nil"/>
                    <w:tr2bl w:val="nil"/>
                  </w:tcBorders>
                  <w:vAlign w:val="center"/>
                </w:tcPr>
                <w:p w14:paraId="7931BECE">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昼间</w:t>
                  </w:r>
                </w:p>
              </w:tc>
              <w:tc>
                <w:tcPr>
                  <w:tcW w:w="487" w:type="pct"/>
                  <w:tcBorders>
                    <w:tl2br w:val="nil"/>
                    <w:tr2bl w:val="nil"/>
                  </w:tcBorders>
                  <w:vAlign w:val="center"/>
                </w:tcPr>
                <w:p w14:paraId="11D064EF">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昼间</w:t>
                  </w:r>
                </w:p>
              </w:tc>
              <w:tc>
                <w:tcPr>
                  <w:tcW w:w="409" w:type="pct"/>
                  <w:tcBorders>
                    <w:tl2br w:val="nil"/>
                    <w:tr2bl w:val="nil"/>
                  </w:tcBorders>
                  <w:vAlign w:val="center"/>
                </w:tcPr>
                <w:p w14:paraId="6B42C80C">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昼间</w:t>
                  </w:r>
                </w:p>
              </w:tc>
              <w:tc>
                <w:tcPr>
                  <w:tcW w:w="484" w:type="pct"/>
                  <w:tcBorders>
                    <w:tl2br w:val="nil"/>
                    <w:tr2bl w:val="nil"/>
                  </w:tcBorders>
                  <w:vAlign w:val="center"/>
                </w:tcPr>
                <w:p w14:paraId="7DF10950">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昼间</w:t>
                  </w:r>
                </w:p>
              </w:tc>
            </w:tr>
            <w:tr w14:paraId="71375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vAlign w:val="center"/>
                </w:tcPr>
                <w:p w14:paraId="3B6F293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649" w:type="pct"/>
                  <w:tcBorders>
                    <w:tl2br w:val="nil"/>
                    <w:tr2bl w:val="nil"/>
                  </w:tcBorders>
                  <w:vAlign w:val="center"/>
                </w:tcPr>
                <w:p w14:paraId="15EA2B61">
                  <w:pPr>
                    <w:adjustRightInd w:val="0"/>
                    <w:snapToGrid w:val="0"/>
                    <w:jc w:val="center"/>
                    <w:rPr>
                      <w:rFonts w:hint="eastAsia" w:ascii="Times New Roman" w:hAnsi="Times New Roman" w:cs="Times New Roman" w:eastAsiaTheme="minorEastAsia"/>
                      <w:color w:val="auto"/>
                      <w:szCs w:val="21"/>
                      <w:highlight w:val="none"/>
                      <w:lang w:val="en-US" w:eastAsia="zh-CN"/>
                    </w:rPr>
                  </w:pPr>
                  <w:r>
                    <w:rPr>
                      <w:rFonts w:hint="eastAsia"/>
                      <w:color w:val="auto"/>
                    </w:rPr>
                    <w:t>西北侧</w:t>
                  </w:r>
                  <w:r>
                    <w:rPr>
                      <w:rFonts w:hint="eastAsia"/>
                      <w:color w:val="auto"/>
                      <w:lang w:val="en-US" w:eastAsia="zh-CN"/>
                    </w:rPr>
                    <w:t>厂界</w:t>
                  </w:r>
                </w:p>
              </w:tc>
              <w:tc>
                <w:tcPr>
                  <w:tcW w:w="587" w:type="pct"/>
                  <w:tcBorders>
                    <w:tl2br w:val="nil"/>
                    <w:tr2bl w:val="nil"/>
                  </w:tcBorders>
                  <w:vAlign w:val="center"/>
                </w:tcPr>
                <w:p w14:paraId="5057E59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rPr>
                    <w:t>17.78</w:t>
                  </w:r>
                </w:p>
              </w:tc>
              <w:tc>
                <w:tcPr>
                  <w:tcW w:w="659" w:type="pct"/>
                  <w:tcBorders>
                    <w:tl2br w:val="nil"/>
                    <w:tr2bl w:val="nil"/>
                  </w:tcBorders>
                  <w:vAlign w:val="center"/>
                </w:tcPr>
                <w:p w14:paraId="4DA5997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rPr>
                    <w:t>21.53</w:t>
                  </w:r>
                </w:p>
              </w:tc>
              <w:tc>
                <w:tcPr>
                  <w:tcW w:w="351" w:type="pct"/>
                  <w:tcBorders>
                    <w:tl2br w:val="nil"/>
                    <w:tr2bl w:val="nil"/>
                  </w:tcBorders>
                  <w:vAlign w:val="center"/>
                </w:tcPr>
                <w:p w14:paraId="7772F8F0">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rPr>
                    <w:t>0.00</w:t>
                  </w:r>
                </w:p>
              </w:tc>
              <w:tc>
                <w:tcPr>
                  <w:tcW w:w="487" w:type="pct"/>
                  <w:tcBorders>
                    <w:tl2br w:val="nil"/>
                    <w:tr2bl w:val="nil"/>
                  </w:tcBorders>
                  <w:vAlign w:val="center"/>
                </w:tcPr>
                <w:p w14:paraId="2C2D353F">
                  <w:pPr>
                    <w:widowControl/>
                    <w:adjustRightInd w:val="0"/>
                    <w:snapToGrid w:val="0"/>
                    <w:jc w:val="center"/>
                    <w:textAlignment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50</w:t>
                  </w:r>
                </w:p>
              </w:tc>
              <w:tc>
                <w:tcPr>
                  <w:tcW w:w="487" w:type="pct"/>
                  <w:tcBorders>
                    <w:tl2br w:val="nil"/>
                    <w:tr2bl w:val="nil"/>
                  </w:tcBorders>
                  <w:vAlign w:val="center"/>
                </w:tcPr>
                <w:p w14:paraId="4F09B5C5">
                  <w:pPr>
                    <w:widowControl/>
                    <w:adjustRightInd w:val="0"/>
                    <w:snapToGrid w:val="0"/>
                    <w:jc w:val="center"/>
                    <w:textAlignment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44.3</w:t>
                  </w:r>
                </w:p>
              </w:tc>
              <w:tc>
                <w:tcPr>
                  <w:tcW w:w="487" w:type="pct"/>
                  <w:tcBorders>
                    <w:tl2br w:val="nil"/>
                    <w:tr2bl w:val="nil"/>
                  </w:tcBorders>
                  <w:vAlign w:val="center"/>
                </w:tcPr>
                <w:p w14:paraId="62CFCA8D">
                  <w:pPr>
                    <w:widowControl/>
                    <w:adjustRightInd w:val="0"/>
                    <w:snapToGrid w:val="0"/>
                    <w:jc w:val="center"/>
                    <w:textAlignment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51</w:t>
                  </w:r>
                </w:p>
              </w:tc>
              <w:tc>
                <w:tcPr>
                  <w:tcW w:w="409" w:type="pct"/>
                  <w:tcBorders>
                    <w:tl2br w:val="nil"/>
                    <w:tr2bl w:val="nil"/>
                  </w:tcBorders>
                  <w:vAlign w:val="center"/>
                </w:tcPr>
                <w:p w14:paraId="7353861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484" w:type="pct"/>
                  <w:tcBorders>
                    <w:tl2br w:val="nil"/>
                    <w:tr2bl w:val="nil"/>
                  </w:tcBorders>
                  <w:vAlign w:val="center"/>
                </w:tcPr>
                <w:p w14:paraId="6880571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19774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vAlign w:val="center"/>
                </w:tcPr>
                <w:p w14:paraId="44D73E6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649" w:type="pct"/>
                  <w:tcBorders>
                    <w:tl2br w:val="nil"/>
                    <w:tr2bl w:val="nil"/>
                  </w:tcBorders>
                  <w:vAlign w:val="center"/>
                </w:tcPr>
                <w:p w14:paraId="438080C1">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eastAsia"/>
                      <w:color w:val="auto"/>
                    </w:rPr>
                    <w:t>西南侧</w:t>
                  </w:r>
                  <w:r>
                    <w:rPr>
                      <w:rFonts w:hint="eastAsia"/>
                      <w:color w:val="auto"/>
                      <w:lang w:val="en-US" w:eastAsia="zh-CN"/>
                    </w:rPr>
                    <w:t>厂界</w:t>
                  </w:r>
                </w:p>
              </w:tc>
              <w:tc>
                <w:tcPr>
                  <w:tcW w:w="587" w:type="pct"/>
                  <w:tcBorders>
                    <w:tl2br w:val="nil"/>
                    <w:tr2bl w:val="nil"/>
                  </w:tcBorders>
                  <w:vAlign w:val="center"/>
                </w:tcPr>
                <w:p w14:paraId="2C6CA47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rPr>
                    <w:t>62.44</w:t>
                  </w:r>
                </w:p>
              </w:tc>
              <w:tc>
                <w:tcPr>
                  <w:tcW w:w="659" w:type="pct"/>
                  <w:tcBorders>
                    <w:tl2br w:val="nil"/>
                    <w:tr2bl w:val="nil"/>
                  </w:tcBorders>
                  <w:vAlign w:val="center"/>
                </w:tcPr>
                <w:p w14:paraId="6085227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rPr>
                    <w:t>-63.43</w:t>
                  </w:r>
                </w:p>
              </w:tc>
              <w:tc>
                <w:tcPr>
                  <w:tcW w:w="351" w:type="pct"/>
                  <w:tcBorders>
                    <w:tl2br w:val="nil"/>
                    <w:tr2bl w:val="nil"/>
                  </w:tcBorders>
                  <w:vAlign w:val="center"/>
                </w:tcPr>
                <w:p w14:paraId="353EC7B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rPr>
                    <w:t>0.00</w:t>
                  </w:r>
                </w:p>
              </w:tc>
              <w:tc>
                <w:tcPr>
                  <w:tcW w:w="487" w:type="pct"/>
                  <w:tcBorders>
                    <w:tl2br w:val="nil"/>
                    <w:tr2bl w:val="nil"/>
                  </w:tcBorders>
                  <w:vAlign w:val="center"/>
                </w:tcPr>
                <w:p w14:paraId="64FF7F25">
                  <w:pPr>
                    <w:widowControl/>
                    <w:adjustRightInd w:val="0"/>
                    <w:snapToGrid w:val="0"/>
                    <w:jc w:val="center"/>
                    <w:textAlignment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52</w:t>
                  </w:r>
                </w:p>
              </w:tc>
              <w:tc>
                <w:tcPr>
                  <w:tcW w:w="487" w:type="pct"/>
                  <w:tcBorders>
                    <w:tl2br w:val="nil"/>
                    <w:tr2bl w:val="nil"/>
                  </w:tcBorders>
                  <w:vAlign w:val="center"/>
                </w:tcPr>
                <w:p w14:paraId="7E89C495">
                  <w:pPr>
                    <w:widowControl/>
                    <w:adjustRightInd w:val="0"/>
                    <w:snapToGrid w:val="0"/>
                    <w:jc w:val="center"/>
                    <w:textAlignment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34.7</w:t>
                  </w:r>
                </w:p>
              </w:tc>
              <w:tc>
                <w:tcPr>
                  <w:tcW w:w="487" w:type="pct"/>
                  <w:tcBorders>
                    <w:tl2br w:val="nil"/>
                    <w:tr2bl w:val="nil"/>
                  </w:tcBorders>
                  <w:vAlign w:val="center"/>
                </w:tcPr>
                <w:p w14:paraId="172544FE">
                  <w:pPr>
                    <w:widowControl/>
                    <w:adjustRightInd w:val="0"/>
                    <w:snapToGrid w:val="0"/>
                    <w:jc w:val="center"/>
                    <w:textAlignment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52.1</w:t>
                  </w:r>
                </w:p>
              </w:tc>
              <w:tc>
                <w:tcPr>
                  <w:tcW w:w="409" w:type="pct"/>
                  <w:tcBorders>
                    <w:tl2br w:val="nil"/>
                    <w:tr2bl w:val="nil"/>
                  </w:tcBorders>
                  <w:vAlign w:val="center"/>
                </w:tcPr>
                <w:p w14:paraId="08AA7C0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484" w:type="pct"/>
                  <w:tcBorders>
                    <w:tl2br w:val="nil"/>
                    <w:tr2bl w:val="nil"/>
                  </w:tcBorders>
                  <w:vAlign w:val="center"/>
                </w:tcPr>
                <w:p w14:paraId="4824203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7D67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vAlign w:val="center"/>
                </w:tcPr>
                <w:p w14:paraId="2A4C5E7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649" w:type="pct"/>
                  <w:tcBorders>
                    <w:tl2br w:val="nil"/>
                    <w:tr2bl w:val="nil"/>
                  </w:tcBorders>
                  <w:vAlign w:val="center"/>
                </w:tcPr>
                <w:p w14:paraId="7E316E16">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eastAsia"/>
                      <w:color w:val="auto"/>
                    </w:rPr>
                    <w:t>东北侧</w:t>
                  </w:r>
                  <w:r>
                    <w:rPr>
                      <w:rFonts w:hint="eastAsia"/>
                      <w:color w:val="auto"/>
                      <w:lang w:val="en-US" w:eastAsia="zh-CN"/>
                    </w:rPr>
                    <w:t>厂界</w:t>
                  </w:r>
                </w:p>
              </w:tc>
              <w:tc>
                <w:tcPr>
                  <w:tcW w:w="587" w:type="pct"/>
                  <w:tcBorders>
                    <w:tl2br w:val="nil"/>
                    <w:tr2bl w:val="nil"/>
                  </w:tcBorders>
                  <w:vAlign w:val="center"/>
                </w:tcPr>
                <w:p w14:paraId="280A80F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rPr>
                    <w:t>103.70</w:t>
                  </w:r>
                </w:p>
              </w:tc>
              <w:tc>
                <w:tcPr>
                  <w:tcW w:w="659" w:type="pct"/>
                  <w:tcBorders>
                    <w:tl2br w:val="nil"/>
                    <w:tr2bl w:val="nil"/>
                  </w:tcBorders>
                  <w:vAlign w:val="center"/>
                </w:tcPr>
                <w:p w14:paraId="3C55C17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rPr>
                    <w:t>-20.09</w:t>
                  </w:r>
                </w:p>
              </w:tc>
              <w:tc>
                <w:tcPr>
                  <w:tcW w:w="351" w:type="pct"/>
                  <w:tcBorders>
                    <w:tl2br w:val="nil"/>
                    <w:tr2bl w:val="nil"/>
                  </w:tcBorders>
                  <w:vAlign w:val="center"/>
                </w:tcPr>
                <w:p w14:paraId="60DBDEA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rPr>
                    <w:t>0.00</w:t>
                  </w:r>
                </w:p>
              </w:tc>
              <w:tc>
                <w:tcPr>
                  <w:tcW w:w="487" w:type="pct"/>
                  <w:tcBorders>
                    <w:tl2br w:val="nil"/>
                    <w:tr2bl w:val="nil"/>
                  </w:tcBorders>
                  <w:vAlign w:val="center"/>
                </w:tcPr>
                <w:p w14:paraId="4581B528">
                  <w:pPr>
                    <w:widowControl/>
                    <w:adjustRightInd w:val="0"/>
                    <w:snapToGrid w:val="0"/>
                    <w:jc w:val="center"/>
                    <w:textAlignment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49</w:t>
                  </w:r>
                </w:p>
              </w:tc>
              <w:tc>
                <w:tcPr>
                  <w:tcW w:w="487" w:type="pct"/>
                  <w:tcBorders>
                    <w:tl2br w:val="nil"/>
                    <w:tr2bl w:val="nil"/>
                  </w:tcBorders>
                  <w:vAlign w:val="center"/>
                </w:tcPr>
                <w:p w14:paraId="02F42748">
                  <w:pPr>
                    <w:widowControl/>
                    <w:adjustRightInd w:val="0"/>
                    <w:snapToGrid w:val="0"/>
                    <w:jc w:val="center"/>
                    <w:textAlignment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29.2</w:t>
                  </w:r>
                </w:p>
              </w:tc>
              <w:tc>
                <w:tcPr>
                  <w:tcW w:w="487" w:type="pct"/>
                  <w:tcBorders>
                    <w:tl2br w:val="nil"/>
                    <w:tr2bl w:val="nil"/>
                  </w:tcBorders>
                  <w:vAlign w:val="center"/>
                </w:tcPr>
                <w:p w14:paraId="4BEB590F">
                  <w:pPr>
                    <w:widowControl/>
                    <w:adjustRightInd w:val="0"/>
                    <w:snapToGrid w:val="0"/>
                    <w:jc w:val="center"/>
                    <w:textAlignment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49.1</w:t>
                  </w:r>
                </w:p>
              </w:tc>
              <w:tc>
                <w:tcPr>
                  <w:tcW w:w="409" w:type="pct"/>
                  <w:tcBorders>
                    <w:tl2br w:val="nil"/>
                    <w:tr2bl w:val="nil"/>
                  </w:tcBorders>
                  <w:vAlign w:val="center"/>
                </w:tcPr>
                <w:p w14:paraId="127BA0B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484" w:type="pct"/>
                  <w:tcBorders>
                    <w:tl2br w:val="nil"/>
                    <w:tr2bl w:val="nil"/>
                  </w:tcBorders>
                  <w:vAlign w:val="center"/>
                </w:tcPr>
                <w:p w14:paraId="15E1AA5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40F3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94" w:type="pct"/>
                  <w:tcBorders>
                    <w:tl2br w:val="nil"/>
                    <w:tr2bl w:val="nil"/>
                  </w:tcBorders>
                  <w:vAlign w:val="center"/>
                </w:tcPr>
                <w:p w14:paraId="0E29A8C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649" w:type="pct"/>
                  <w:tcBorders>
                    <w:tl2br w:val="nil"/>
                    <w:tr2bl w:val="nil"/>
                  </w:tcBorders>
                  <w:vAlign w:val="center"/>
                </w:tcPr>
                <w:p w14:paraId="264DDA97">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eastAsia"/>
                      <w:color w:val="auto"/>
                    </w:rPr>
                    <w:t>东南侧</w:t>
                  </w:r>
                  <w:r>
                    <w:rPr>
                      <w:rFonts w:hint="eastAsia"/>
                      <w:color w:val="auto"/>
                      <w:lang w:val="en-US" w:eastAsia="zh-CN"/>
                    </w:rPr>
                    <w:t>厂界</w:t>
                  </w:r>
                </w:p>
              </w:tc>
              <w:tc>
                <w:tcPr>
                  <w:tcW w:w="587" w:type="pct"/>
                  <w:tcBorders>
                    <w:tl2br w:val="nil"/>
                    <w:tr2bl w:val="nil"/>
                  </w:tcBorders>
                  <w:vAlign w:val="center"/>
                </w:tcPr>
                <w:p w14:paraId="571433C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rPr>
                    <w:t>153.23</w:t>
                  </w:r>
                </w:p>
              </w:tc>
              <w:tc>
                <w:tcPr>
                  <w:tcW w:w="659" w:type="pct"/>
                  <w:tcBorders>
                    <w:tl2br w:val="nil"/>
                    <w:tr2bl w:val="nil"/>
                  </w:tcBorders>
                  <w:vAlign w:val="center"/>
                </w:tcPr>
                <w:p w14:paraId="3ACE52A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rPr>
                    <w:t>-109.65</w:t>
                  </w:r>
                </w:p>
              </w:tc>
              <w:tc>
                <w:tcPr>
                  <w:tcW w:w="351" w:type="pct"/>
                  <w:tcBorders>
                    <w:tl2br w:val="nil"/>
                    <w:tr2bl w:val="nil"/>
                  </w:tcBorders>
                  <w:vAlign w:val="center"/>
                </w:tcPr>
                <w:p w14:paraId="571CDF0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rPr>
                    <w:t>0.00</w:t>
                  </w:r>
                </w:p>
              </w:tc>
              <w:tc>
                <w:tcPr>
                  <w:tcW w:w="487" w:type="pct"/>
                  <w:tcBorders>
                    <w:tl2br w:val="nil"/>
                    <w:tr2bl w:val="nil"/>
                  </w:tcBorders>
                  <w:vAlign w:val="center"/>
                </w:tcPr>
                <w:p w14:paraId="1228D120">
                  <w:pPr>
                    <w:widowControl/>
                    <w:adjustRightInd w:val="0"/>
                    <w:snapToGrid w:val="0"/>
                    <w:jc w:val="center"/>
                    <w:textAlignment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50</w:t>
                  </w:r>
                </w:p>
              </w:tc>
              <w:tc>
                <w:tcPr>
                  <w:tcW w:w="487" w:type="pct"/>
                  <w:tcBorders>
                    <w:tl2br w:val="nil"/>
                    <w:tr2bl w:val="nil"/>
                  </w:tcBorders>
                  <w:vAlign w:val="center"/>
                </w:tcPr>
                <w:p w14:paraId="695A0D6A">
                  <w:pPr>
                    <w:widowControl/>
                    <w:adjustRightInd w:val="0"/>
                    <w:snapToGrid w:val="0"/>
                    <w:jc w:val="center"/>
                    <w:textAlignment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3.45</w:t>
                  </w:r>
                </w:p>
              </w:tc>
              <w:tc>
                <w:tcPr>
                  <w:tcW w:w="487" w:type="pct"/>
                  <w:tcBorders>
                    <w:tl2br w:val="nil"/>
                    <w:tr2bl w:val="nil"/>
                  </w:tcBorders>
                  <w:vAlign w:val="center"/>
                </w:tcPr>
                <w:p w14:paraId="26063352">
                  <w:pPr>
                    <w:widowControl/>
                    <w:adjustRightInd w:val="0"/>
                    <w:snapToGrid w:val="0"/>
                    <w:jc w:val="center"/>
                    <w:textAlignment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50</w:t>
                  </w:r>
                </w:p>
              </w:tc>
              <w:tc>
                <w:tcPr>
                  <w:tcW w:w="409" w:type="pct"/>
                  <w:tcBorders>
                    <w:tl2br w:val="nil"/>
                    <w:tr2bl w:val="nil"/>
                  </w:tcBorders>
                  <w:vAlign w:val="center"/>
                </w:tcPr>
                <w:p w14:paraId="36060E1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484" w:type="pct"/>
                  <w:tcBorders>
                    <w:tl2br w:val="nil"/>
                    <w:tr2bl w:val="nil"/>
                  </w:tcBorders>
                  <w:vAlign w:val="center"/>
                </w:tcPr>
                <w:p w14:paraId="2CF915B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bl>
          <w:p w14:paraId="7FEF1EC3">
            <w:pPr>
              <w:pStyle w:val="117"/>
              <w:bidi w:val="0"/>
              <w:rPr>
                <w:color w:val="auto"/>
              </w:rPr>
            </w:pPr>
            <w:r>
              <w:rPr>
                <w:color w:val="auto"/>
              </w:rPr>
              <w:t>声环境保护目标噪声预测结果与达标分析表</w:t>
            </w:r>
            <w:r>
              <w:rPr>
                <w:rFonts w:hint="eastAsia"/>
                <w:color w:val="auto"/>
              </w:rPr>
              <w:t xml:space="preserve">    单位：dB（A）</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1"/>
              <w:gridCol w:w="969"/>
              <w:gridCol w:w="531"/>
              <w:gridCol w:w="460"/>
              <w:gridCol w:w="473"/>
              <w:gridCol w:w="547"/>
              <w:gridCol w:w="538"/>
              <w:gridCol w:w="545"/>
              <w:gridCol w:w="550"/>
              <w:gridCol w:w="552"/>
              <w:gridCol w:w="538"/>
              <w:gridCol w:w="545"/>
              <w:gridCol w:w="540"/>
              <w:gridCol w:w="541"/>
              <w:gridCol w:w="540"/>
              <w:gridCol w:w="541"/>
            </w:tblGrid>
            <w:tr w14:paraId="3AF009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vMerge w:val="restart"/>
                  <w:tcBorders>
                    <w:tl2br w:val="nil"/>
                    <w:tr2bl w:val="nil"/>
                  </w:tcBorders>
                  <w:vAlign w:val="center"/>
                </w:tcPr>
                <w:p w14:paraId="52C64441">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549" w:type="pct"/>
                  <w:vMerge w:val="restart"/>
                  <w:tcBorders>
                    <w:tl2br w:val="nil"/>
                    <w:tr2bl w:val="nil"/>
                  </w:tcBorders>
                  <w:vAlign w:val="center"/>
                </w:tcPr>
                <w:p w14:paraId="22F67E60">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声环境保护目标名称</w:t>
                  </w:r>
                </w:p>
              </w:tc>
              <w:tc>
                <w:tcPr>
                  <w:tcW w:w="562" w:type="pct"/>
                  <w:gridSpan w:val="2"/>
                  <w:tcBorders>
                    <w:tl2br w:val="nil"/>
                    <w:tr2bl w:val="nil"/>
                  </w:tcBorders>
                  <w:vAlign w:val="center"/>
                </w:tcPr>
                <w:p w14:paraId="703B784D">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噪声背景值</w:t>
                  </w:r>
                </w:p>
              </w:tc>
              <w:tc>
                <w:tcPr>
                  <w:tcW w:w="578" w:type="pct"/>
                  <w:gridSpan w:val="2"/>
                  <w:tcBorders>
                    <w:tl2br w:val="nil"/>
                    <w:tr2bl w:val="nil"/>
                  </w:tcBorders>
                  <w:vAlign w:val="center"/>
                </w:tcPr>
                <w:p w14:paraId="1471A861">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噪声现状值</w:t>
                  </w:r>
                </w:p>
              </w:tc>
              <w:tc>
                <w:tcPr>
                  <w:tcW w:w="614" w:type="pct"/>
                  <w:gridSpan w:val="2"/>
                  <w:tcBorders>
                    <w:tl2br w:val="nil"/>
                    <w:tr2bl w:val="nil"/>
                  </w:tcBorders>
                  <w:vAlign w:val="center"/>
                </w:tcPr>
                <w:p w14:paraId="66D283E2">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噪声标准</w:t>
                  </w:r>
                </w:p>
              </w:tc>
              <w:tc>
                <w:tcPr>
                  <w:tcW w:w="625" w:type="pct"/>
                  <w:gridSpan w:val="2"/>
                  <w:tcBorders>
                    <w:tl2br w:val="nil"/>
                    <w:tr2bl w:val="nil"/>
                  </w:tcBorders>
                  <w:vAlign w:val="center"/>
                </w:tcPr>
                <w:p w14:paraId="431765FF">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噪声贡献值</w:t>
                  </w:r>
                </w:p>
              </w:tc>
              <w:tc>
                <w:tcPr>
                  <w:tcW w:w="614" w:type="pct"/>
                  <w:gridSpan w:val="2"/>
                  <w:tcBorders>
                    <w:tl2br w:val="nil"/>
                    <w:tr2bl w:val="nil"/>
                  </w:tcBorders>
                  <w:vAlign w:val="center"/>
                </w:tcPr>
                <w:p w14:paraId="126BD981">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噪声预测值</w:t>
                  </w:r>
                </w:p>
              </w:tc>
              <w:tc>
                <w:tcPr>
                  <w:tcW w:w="613" w:type="pct"/>
                  <w:gridSpan w:val="2"/>
                  <w:tcBorders>
                    <w:tl2br w:val="nil"/>
                    <w:tr2bl w:val="nil"/>
                  </w:tcBorders>
                  <w:vAlign w:val="center"/>
                </w:tcPr>
                <w:p w14:paraId="37D087B7">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较现状增量</w:t>
                  </w:r>
                </w:p>
              </w:tc>
              <w:tc>
                <w:tcPr>
                  <w:tcW w:w="613" w:type="pct"/>
                  <w:gridSpan w:val="2"/>
                  <w:tcBorders>
                    <w:tl2br w:val="nil"/>
                    <w:tr2bl w:val="nil"/>
                  </w:tcBorders>
                  <w:vAlign w:val="center"/>
                </w:tcPr>
                <w:p w14:paraId="652BC351">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超标和达标情况</w:t>
                  </w:r>
                </w:p>
              </w:tc>
            </w:tr>
            <w:tr w14:paraId="5151E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vMerge w:val="continue"/>
                  <w:tcBorders>
                    <w:tl2br w:val="nil"/>
                    <w:tr2bl w:val="nil"/>
                  </w:tcBorders>
                  <w:shd w:val="clear" w:color="auto" w:fill="FFFFFF"/>
                  <w:vAlign w:val="center"/>
                </w:tcPr>
                <w:p w14:paraId="42BE84C7">
                  <w:pPr>
                    <w:jc w:val="center"/>
                    <w:rPr>
                      <w:rFonts w:hint="default" w:ascii="Times New Roman" w:hAnsi="Times New Roman" w:cs="Times New Roman"/>
                      <w:b/>
                      <w:color w:val="auto"/>
                      <w:szCs w:val="21"/>
                      <w:highlight w:val="none"/>
                    </w:rPr>
                  </w:pPr>
                </w:p>
              </w:tc>
              <w:tc>
                <w:tcPr>
                  <w:tcW w:w="549" w:type="pct"/>
                  <w:vMerge w:val="continue"/>
                  <w:tcBorders>
                    <w:tl2br w:val="nil"/>
                    <w:tr2bl w:val="nil"/>
                  </w:tcBorders>
                  <w:shd w:val="clear" w:color="auto" w:fill="FFFFFF"/>
                  <w:vAlign w:val="center"/>
                </w:tcPr>
                <w:p w14:paraId="711060AD">
                  <w:pPr>
                    <w:jc w:val="center"/>
                    <w:rPr>
                      <w:rFonts w:hint="default" w:ascii="Times New Roman" w:hAnsi="Times New Roman" w:cs="Times New Roman"/>
                      <w:b/>
                      <w:color w:val="auto"/>
                      <w:szCs w:val="21"/>
                      <w:highlight w:val="none"/>
                    </w:rPr>
                  </w:pPr>
                </w:p>
              </w:tc>
              <w:tc>
                <w:tcPr>
                  <w:tcW w:w="301" w:type="pct"/>
                  <w:tcBorders>
                    <w:tl2br w:val="nil"/>
                    <w:tr2bl w:val="nil"/>
                  </w:tcBorders>
                  <w:shd w:val="clear" w:color="auto" w:fill="FFFFFF"/>
                  <w:vAlign w:val="center"/>
                </w:tcPr>
                <w:p w14:paraId="657401A0">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昼间</w:t>
                  </w:r>
                </w:p>
              </w:tc>
              <w:tc>
                <w:tcPr>
                  <w:tcW w:w="261" w:type="pct"/>
                  <w:tcBorders>
                    <w:tl2br w:val="nil"/>
                    <w:tr2bl w:val="nil"/>
                  </w:tcBorders>
                  <w:shd w:val="clear" w:color="auto" w:fill="FFFFFF"/>
                  <w:vAlign w:val="center"/>
                </w:tcPr>
                <w:p w14:paraId="1C294B93">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夜间</w:t>
                  </w:r>
                </w:p>
              </w:tc>
              <w:tc>
                <w:tcPr>
                  <w:tcW w:w="268" w:type="pct"/>
                  <w:tcBorders>
                    <w:tl2br w:val="nil"/>
                    <w:tr2bl w:val="nil"/>
                  </w:tcBorders>
                  <w:shd w:val="clear" w:color="auto" w:fill="FFFFFF"/>
                  <w:vAlign w:val="center"/>
                </w:tcPr>
                <w:p w14:paraId="1DED9A0F">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昼间</w:t>
                  </w:r>
                </w:p>
              </w:tc>
              <w:tc>
                <w:tcPr>
                  <w:tcW w:w="310" w:type="pct"/>
                  <w:tcBorders>
                    <w:tl2br w:val="nil"/>
                    <w:tr2bl w:val="nil"/>
                  </w:tcBorders>
                  <w:shd w:val="clear" w:color="auto" w:fill="FFFFFF"/>
                  <w:vAlign w:val="center"/>
                </w:tcPr>
                <w:p w14:paraId="48517497">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夜间</w:t>
                  </w:r>
                </w:p>
              </w:tc>
              <w:tc>
                <w:tcPr>
                  <w:tcW w:w="305" w:type="pct"/>
                  <w:tcBorders>
                    <w:tl2br w:val="nil"/>
                    <w:tr2bl w:val="nil"/>
                  </w:tcBorders>
                  <w:shd w:val="clear" w:color="auto" w:fill="FFFFFF"/>
                  <w:vAlign w:val="center"/>
                </w:tcPr>
                <w:p w14:paraId="3DCA3800">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昼间</w:t>
                  </w:r>
                </w:p>
              </w:tc>
              <w:tc>
                <w:tcPr>
                  <w:tcW w:w="309" w:type="pct"/>
                  <w:tcBorders>
                    <w:tl2br w:val="nil"/>
                    <w:tr2bl w:val="nil"/>
                  </w:tcBorders>
                  <w:shd w:val="clear" w:color="auto" w:fill="FFFFFF"/>
                  <w:vAlign w:val="center"/>
                </w:tcPr>
                <w:p w14:paraId="1B062478">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夜间</w:t>
                  </w:r>
                </w:p>
              </w:tc>
              <w:tc>
                <w:tcPr>
                  <w:tcW w:w="312" w:type="pct"/>
                  <w:tcBorders>
                    <w:tl2br w:val="nil"/>
                    <w:tr2bl w:val="nil"/>
                  </w:tcBorders>
                  <w:shd w:val="clear" w:color="auto" w:fill="FFFFFF"/>
                  <w:vAlign w:val="center"/>
                </w:tcPr>
                <w:p w14:paraId="2F658125">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昼间</w:t>
                  </w:r>
                </w:p>
              </w:tc>
              <w:tc>
                <w:tcPr>
                  <w:tcW w:w="313" w:type="pct"/>
                  <w:tcBorders>
                    <w:tl2br w:val="nil"/>
                    <w:tr2bl w:val="nil"/>
                  </w:tcBorders>
                  <w:shd w:val="clear" w:color="auto" w:fill="FFFFFF"/>
                  <w:vAlign w:val="center"/>
                </w:tcPr>
                <w:p w14:paraId="66CEE04F">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夜间</w:t>
                  </w:r>
                </w:p>
              </w:tc>
              <w:tc>
                <w:tcPr>
                  <w:tcW w:w="305" w:type="pct"/>
                  <w:tcBorders>
                    <w:tl2br w:val="nil"/>
                    <w:tr2bl w:val="nil"/>
                  </w:tcBorders>
                  <w:shd w:val="clear" w:color="auto" w:fill="FFFFFF"/>
                  <w:vAlign w:val="center"/>
                </w:tcPr>
                <w:p w14:paraId="77633E90">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昼间</w:t>
                  </w:r>
                </w:p>
              </w:tc>
              <w:tc>
                <w:tcPr>
                  <w:tcW w:w="309" w:type="pct"/>
                  <w:tcBorders>
                    <w:tl2br w:val="nil"/>
                    <w:tr2bl w:val="nil"/>
                  </w:tcBorders>
                  <w:shd w:val="clear" w:color="auto" w:fill="FFFFFF"/>
                  <w:vAlign w:val="center"/>
                </w:tcPr>
                <w:p w14:paraId="1E325DEF">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夜间</w:t>
                  </w:r>
                </w:p>
              </w:tc>
              <w:tc>
                <w:tcPr>
                  <w:tcW w:w="306" w:type="pct"/>
                  <w:tcBorders>
                    <w:tl2br w:val="nil"/>
                    <w:tr2bl w:val="nil"/>
                  </w:tcBorders>
                  <w:shd w:val="clear" w:color="auto" w:fill="FFFFFF"/>
                  <w:vAlign w:val="center"/>
                </w:tcPr>
                <w:p w14:paraId="2CA487F8">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昼间</w:t>
                  </w:r>
                </w:p>
              </w:tc>
              <w:tc>
                <w:tcPr>
                  <w:tcW w:w="307" w:type="pct"/>
                  <w:tcBorders>
                    <w:tl2br w:val="nil"/>
                    <w:tr2bl w:val="nil"/>
                  </w:tcBorders>
                  <w:shd w:val="clear" w:color="auto" w:fill="FFFFFF"/>
                  <w:vAlign w:val="center"/>
                </w:tcPr>
                <w:p w14:paraId="13F67B98">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夜间</w:t>
                  </w:r>
                </w:p>
              </w:tc>
              <w:tc>
                <w:tcPr>
                  <w:tcW w:w="306" w:type="pct"/>
                  <w:tcBorders>
                    <w:tl2br w:val="nil"/>
                    <w:tr2bl w:val="nil"/>
                  </w:tcBorders>
                  <w:shd w:val="clear" w:color="auto" w:fill="FFFFFF"/>
                  <w:vAlign w:val="center"/>
                </w:tcPr>
                <w:p w14:paraId="3B7FA06C">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昼间</w:t>
                  </w:r>
                </w:p>
              </w:tc>
              <w:tc>
                <w:tcPr>
                  <w:tcW w:w="307" w:type="pct"/>
                  <w:tcBorders>
                    <w:tl2br w:val="nil"/>
                    <w:tr2bl w:val="nil"/>
                  </w:tcBorders>
                  <w:shd w:val="clear" w:color="auto" w:fill="FFFFFF"/>
                  <w:vAlign w:val="center"/>
                </w:tcPr>
                <w:p w14:paraId="155912ED">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夜间</w:t>
                  </w:r>
                </w:p>
              </w:tc>
            </w:tr>
            <w:tr w14:paraId="0C908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tcBorders>
                    <w:tl2br w:val="nil"/>
                    <w:tr2bl w:val="nil"/>
                  </w:tcBorders>
                  <w:shd w:val="clear" w:color="auto" w:fill="FFFFFF"/>
                  <w:vAlign w:val="center"/>
                </w:tcPr>
                <w:p w14:paraId="16423E35">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p>
              </w:tc>
              <w:tc>
                <w:tcPr>
                  <w:tcW w:w="549" w:type="pct"/>
                  <w:tcBorders>
                    <w:tl2br w:val="nil"/>
                    <w:tr2bl w:val="nil"/>
                  </w:tcBorders>
                  <w:shd w:val="clear" w:color="auto" w:fill="FFFFFF"/>
                  <w:vAlign w:val="center"/>
                </w:tcPr>
                <w:p w14:paraId="0910A5DC">
                  <w:pPr>
                    <w:jc w:val="center"/>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bidi="ar"/>
                    </w:rPr>
                    <w:t>马尔康市公安局防暴大队</w:t>
                  </w:r>
                </w:p>
              </w:tc>
              <w:tc>
                <w:tcPr>
                  <w:tcW w:w="301" w:type="pct"/>
                  <w:tcBorders>
                    <w:tl2br w:val="nil"/>
                    <w:tr2bl w:val="nil"/>
                  </w:tcBorders>
                  <w:shd w:val="clear" w:color="auto" w:fill="auto"/>
                  <w:vAlign w:val="center"/>
                </w:tcPr>
                <w:p w14:paraId="77079620">
                  <w:pPr>
                    <w:autoSpaceDE w:val="0"/>
                    <w:autoSpaceDN w:val="0"/>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rPr>
                    <w:t>52</w:t>
                  </w:r>
                </w:p>
              </w:tc>
              <w:tc>
                <w:tcPr>
                  <w:tcW w:w="261" w:type="pct"/>
                  <w:tcBorders>
                    <w:tl2br w:val="nil"/>
                    <w:tr2bl w:val="nil"/>
                  </w:tcBorders>
                  <w:shd w:val="clear" w:color="auto" w:fill="auto"/>
                  <w:vAlign w:val="center"/>
                </w:tcPr>
                <w:p w14:paraId="35763B09">
                  <w:pPr>
                    <w:autoSpaceDE w:val="0"/>
                    <w:autoSpaceDN w:val="0"/>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45</w:t>
                  </w:r>
                </w:p>
              </w:tc>
              <w:tc>
                <w:tcPr>
                  <w:tcW w:w="268" w:type="pct"/>
                  <w:tcBorders>
                    <w:tl2br w:val="nil"/>
                    <w:tr2bl w:val="nil"/>
                  </w:tcBorders>
                  <w:shd w:val="clear" w:color="auto" w:fill="auto"/>
                  <w:vAlign w:val="center"/>
                </w:tcPr>
                <w:p w14:paraId="1B073D69">
                  <w:pPr>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52</w:t>
                  </w:r>
                </w:p>
              </w:tc>
              <w:tc>
                <w:tcPr>
                  <w:tcW w:w="310" w:type="pct"/>
                  <w:tcBorders>
                    <w:tl2br w:val="nil"/>
                    <w:tr2bl w:val="nil"/>
                  </w:tcBorders>
                  <w:shd w:val="clear" w:color="auto" w:fill="auto"/>
                  <w:vAlign w:val="center"/>
                </w:tcPr>
                <w:p w14:paraId="0C8910AC">
                  <w:pPr>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45</w:t>
                  </w:r>
                </w:p>
              </w:tc>
              <w:tc>
                <w:tcPr>
                  <w:tcW w:w="305" w:type="pct"/>
                  <w:tcBorders>
                    <w:tl2br w:val="nil"/>
                    <w:tr2bl w:val="nil"/>
                  </w:tcBorders>
                  <w:shd w:val="clear" w:color="auto" w:fill="auto"/>
                  <w:vAlign w:val="center"/>
                </w:tcPr>
                <w:p w14:paraId="73479498">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60</w:t>
                  </w:r>
                </w:p>
              </w:tc>
              <w:tc>
                <w:tcPr>
                  <w:tcW w:w="309" w:type="pct"/>
                  <w:tcBorders>
                    <w:tl2br w:val="nil"/>
                    <w:tr2bl w:val="nil"/>
                  </w:tcBorders>
                  <w:shd w:val="clear" w:color="auto" w:fill="auto"/>
                  <w:vAlign w:val="center"/>
                </w:tcPr>
                <w:p w14:paraId="56B20BF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50</w:t>
                  </w:r>
                </w:p>
              </w:tc>
              <w:tc>
                <w:tcPr>
                  <w:tcW w:w="312" w:type="pct"/>
                  <w:tcBorders>
                    <w:tl2br w:val="nil"/>
                    <w:tr2bl w:val="nil"/>
                  </w:tcBorders>
                  <w:shd w:val="clear" w:color="auto" w:fill="auto"/>
                  <w:vAlign w:val="center"/>
                </w:tcPr>
                <w:p w14:paraId="35D25E7B">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40.4</w:t>
                  </w:r>
                </w:p>
              </w:tc>
              <w:tc>
                <w:tcPr>
                  <w:tcW w:w="313" w:type="pct"/>
                  <w:tcBorders>
                    <w:tl2br w:val="nil"/>
                    <w:tr2bl w:val="nil"/>
                  </w:tcBorders>
                  <w:shd w:val="clear" w:color="auto" w:fill="auto"/>
                  <w:vAlign w:val="center"/>
                </w:tcPr>
                <w:p w14:paraId="1CFA0010">
                  <w:pPr>
                    <w:keepNext w:val="0"/>
                    <w:keepLines w:val="0"/>
                    <w:widowControl/>
                    <w:suppressLineNumbers w:val="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2"/>
                      <w:szCs w:val="22"/>
                      <w:u w:val="none"/>
                      <w:lang w:val="en-US" w:eastAsia="zh-CN" w:bidi="ar"/>
                    </w:rPr>
                    <w:t>33.9</w:t>
                  </w:r>
                </w:p>
              </w:tc>
              <w:tc>
                <w:tcPr>
                  <w:tcW w:w="305" w:type="pct"/>
                  <w:tcBorders>
                    <w:tl2br w:val="nil"/>
                    <w:tr2bl w:val="nil"/>
                  </w:tcBorders>
                  <w:shd w:val="clear" w:color="auto" w:fill="auto"/>
                  <w:vAlign w:val="center"/>
                </w:tcPr>
                <w:p w14:paraId="14450593">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52.3</w:t>
                  </w:r>
                </w:p>
              </w:tc>
              <w:tc>
                <w:tcPr>
                  <w:tcW w:w="309" w:type="pct"/>
                  <w:tcBorders>
                    <w:tl2br w:val="nil"/>
                    <w:tr2bl w:val="nil"/>
                  </w:tcBorders>
                  <w:shd w:val="clear" w:color="auto" w:fill="auto"/>
                  <w:vAlign w:val="center"/>
                </w:tcPr>
                <w:p w14:paraId="27986CB4">
                  <w:pPr>
                    <w:keepNext w:val="0"/>
                    <w:keepLines w:val="0"/>
                    <w:widowControl/>
                    <w:suppressLineNumbers w:val="0"/>
                    <w:jc w:val="center"/>
                    <w:textAlignment w:val="center"/>
                    <w:rPr>
                      <w:rFonts w:hint="default" w:ascii="Times New Roman" w:hAnsi="Times New Roman" w:cs="Times New Roman"/>
                      <w:bCs/>
                      <w:color w:val="auto"/>
                      <w:szCs w:val="21"/>
                      <w:highlight w:val="none"/>
                    </w:rPr>
                  </w:pPr>
                  <w:r>
                    <w:rPr>
                      <w:rFonts w:hint="default" w:ascii="Times New Roman" w:hAnsi="Times New Roman" w:eastAsia="宋体" w:cs="Times New Roman"/>
                      <w:i w:val="0"/>
                      <w:iCs w:val="0"/>
                      <w:color w:val="auto"/>
                      <w:kern w:val="0"/>
                      <w:sz w:val="22"/>
                      <w:szCs w:val="22"/>
                      <w:u w:val="none"/>
                      <w:lang w:val="en-US" w:eastAsia="zh-CN" w:bidi="ar"/>
                    </w:rPr>
                    <w:t>45.3</w:t>
                  </w:r>
                </w:p>
              </w:tc>
              <w:tc>
                <w:tcPr>
                  <w:tcW w:w="306" w:type="pct"/>
                  <w:tcBorders>
                    <w:tl2br w:val="nil"/>
                    <w:tr2bl w:val="nil"/>
                  </w:tcBorders>
                  <w:shd w:val="clear" w:color="auto" w:fill="auto"/>
                  <w:vAlign w:val="center"/>
                </w:tcPr>
                <w:p w14:paraId="46BEDAD1">
                  <w:pPr>
                    <w:keepNext w:val="0"/>
                    <w:keepLines w:val="0"/>
                    <w:widowControl/>
                    <w:suppressLineNumbers w:val="0"/>
                    <w:jc w:val="center"/>
                    <w:textAlignment w:val="center"/>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w:t>
                  </w:r>
                </w:p>
              </w:tc>
              <w:tc>
                <w:tcPr>
                  <w:tcW w:w="307" w:type="pct"/>
                  <w:tcBorders>
                    <w:tl2br w:val="nil"/>
                    <w:tr2bl w:val="nil"/>
                  </w:tcBorders>
                  <w:shd w:val="clear" w:color="auto" w:fill="auto"/>
                  <w:vAlign w:val="center"/>
                </w:tcPr>
                <w:p w14:paraId="00064B83">
                  <w:pPr>
                    <w:keepNext w:val="0"/>
                    <w:keepLines w:val="0"/>
                    <w:widowControl/>
                    <w:suppressLineNumbers w:val="0"/>
                    <w:jc w:val="center"/>
                    <w:textAlignment w:val="center"/>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w:t>
                  </w:r>
                </w:p>
              </w:tc>
              <w:tc>
                <w:tcPr>
                  <w:tcW w:w="306" w:type="pct"/>
                  <w:tcBorders>
                    <w:tl2br w:val="nil"/>
                    <w:tr2bl w:val="nil"/>
                  </w:tcBorders>
                  <w:shd w:val="clear" w:color="auto" w:fill="auto"/>
                  <w:vAlign w:val="center"/>
                </w:tcPr>
                <w:p w14:paraId="0B3DF7AB">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w:t>
                  </w:r>
                </w:p>
              </w:tc>
              <w:tc>
                <w:tcPr>
                  <w:tcW w:w="307" w:type="pct"/>
                  <w:tcBorders>
                    <w:tl2br w:val="nil"/>
                    <w:tr2bl w:val="nil"/>
                  </w:tcBorders>
                  <w:shd w:val="clear" w:color="auto" w:fill="auto"/>
                  <w:vAlign w:val="center"/>
                </w:tcPr>
                <w:p w14:paraId="56479295">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w:t>
                  </w:r>
                </w:p>
              </w:tc>
            </w:tr>
            <w:tr w14:paraId="30B86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tcBorders>
                    <w:tl2br w:val="nil"/>
                    <w:tr2bl w:val="nil"/>
                  </w:tcBorders>
                  <w:shd w:val="clear" w:color="auto" w:fill="FFFFFF"/>
                  <w:vAlign w:val="center"/>
                </w:tcPr>
                <w:p w14:paraId="62773EB2">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w:t>
                  </w:r>
                </w:p>
              </w:tc>
              <w:tc>
                <w:tcPr>
                  <w:tcW w:w="549" w:type="pct"/>
                  <w:tcBorders>
                    <w:tl2br w:val="nil"/>
                    <w:tr2bl w:val="nil"/>
                  </w:tcBorders>
                  <w:shd w:val="clear" w:color="auto" w:fill="FFFFFF"/>
                  <w:vAlign w:val="center"/>
                </w:tcPr>
                <w:p w14:paraId="57D4E949">
                  <w:pPr>
                    <w:jc w:val="center"/>
                    <w:rPr>
                      <w:rFonts w:hint="default" w:ascii="Times New Roman" w:hAnsi="Times New Roman" w:cs="Times New Roman"/>
                      <w:color w:val="auto"/>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马尔康市本真林业工作站</w:t>
                  </w:r>
                </w:p>
              </w:tc>
              <w:tc>
                <w:tcPr>
                  <w:tcW w:w="301" w:type="pct"/>
                  <w:tcBorders>
                    <w:tl2br w:val="nil"/>
                    <w:tr2bl w:val="nil"/>
                  </w:tcBorders>
                  <w:shd w:val="clear" w:color="auto" w:fill="auto"/>
                  <w:vAlign w:val="center"/>
                </w:tcPr>
                <w:p w14:paraId="4DDCAC7C">
                  <w:pPr>
                    <w:autoSpaceDE w:val="0"/>
                    <w:autoSpaceDN w:val="0"/>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rPr>
                    <w:t>51</w:t>
                  </w:r>
                </w:p>
              </w:tc>
              <w:tc>
                <w:tcPr>
                  <w:tcW w:w="261" w:type="pct"/>
                  <w:tcBorders>
                    <w:tl2br w:val="nil"/>
                    <w:tr2bl w:val="nil"/>
                  </w:tcBorders>
                  <w:shd w:val="clear" w:color="auto" w:fill="auto"/>
                  <w:vAlign w:val="center"/>
                </w:tcPr>
                <w:p w14:paraId="0FFC5A6E">
                  <w:pPr>
                    <w:autoSpaceDE w:val="0"/>
                    <w:autoSpaceDN w:val="0"/>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45</w:t>
                  </w:r>
                </w:p>
              </w:tc>
              <w:tc>
                <w:tcPr>
                  <w:tcW w:w="268" w:type="pct"/>
                  <w:tcBorders>
                    <w:tl2br w:val="nil"/>
                    <w:tr2bl w:val="nil"/>
                  </w:tcBorders>
                  <w:shd w:val="clear" w:color="auto" w:fill="auto"/>
                  <w:vAlign w:val="center"/>
                </w:tcPr>
                <w:p w14:paraId="530D90AE">
                  <w:pPr>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5</w:t>
                  </w:r>
                  <w:r>
                    <w:rPr>
                      <w:rFonts w:hint="eastAsia" w:ascii="Times New Roman" w:hAnsi="Times New Roman" w:cs="Times New Roman"/>
                      <w:color w:val="auto"/>
                      <w:szCs w:val="21"/>
                      <w:highlight w:val="none"/>
                      <w:lang w:val="en-US" w:eastAsia="zh-CN"/>
                    </w:rPr>
                    <w:t>1</w:t>
                  </w:r>
                </w:p>
              </w:tc>
              <w:tc>
                <w:tcPr>
                  <w:tcW w:w="310" w:type="pct"/>
                  <w:tcBorders>
                    <w:tl2br w:val="nil"/>
                    <w:tr2bl w:val="nil"/>
                  </w:tcBorders>
                  <w:shd w:val="clear" w:color="auto" w:fill="auto"/>
                  <w:vAlign w:val="center"/>
                </w:tcPr>
                <w:p w14:paraId="4EBDBC54">
                  <w:pPr>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45</w:t>
                  </w:r>
                </w:p>
              </w:tc>
              <w:tc>
                <w:tcPr>
                  <w:tcW w:w="305" w:type="pct"/>
                  <w:tcBorders>
                    <w:tl2br w:val="nil"/>
                    <w:tr2bl w:val="nil"/>
                  </w:tcBorders>
                  <w:shd w:val="clear" w:color="auto" w:fill="auto"/>
                  <w:vAlign w:val="center"/>
                </w:tcPr>
                <w:p w14:paraId="06854356">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60</w:t>
                  </w:r>
                </w:p>
              </w:tc>
              <w:tc>
                <w:tcPr>
                  <w:tcW w:w="309" w:type="pct"/>
                  <w:tcBorders>
                    <w:tl2br w:val="nil"/>
                    <w:tr2bl w:val="nil"/>
                  </w:tcBorders>
                  <w:shd w:val="clear" w:color="auto" w:fill="auto"/>
                  <w:vAlign w:val="center"/>
                </w:tcPr>
                <w:p w14:paraId="684921D6">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50</w:t>
                  </w:r>
                </w:p>
              </w:tc>
              <w:tc>
                <w:tcPr>
                  <w:tcW w:w="312" w:type="pct"/>
                  <w:tcBorders>
                    <w:tl2br w:val="nil"/>
                    <w:tr2bl w:val="nil"/>
                  </w:tcBorders>
                  <w:shd w:val="clear" w:color="auto" w:fill="auto"/>
                  <w:vAlign w:val="center"/>
                </w:tcPr>
                <w:p w14:paraId="47F53812">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33.0</w:t>
                  </w:r>
                </w:p>
              </w:tc>
              <w:tc>
                <w:tcPr>
                  <w:tcW w:w="313" w:type="pct"/>
                  <w:tcBorders>
                    <w:tl2br w:val="nil"/>
                    <w:tr2bl w:val="nil"/>
                  </w:tcBorders>
                  <w:shd w:val="clear" w:color="auto" w:fill="auto"/>
                  <w:vAlign w:val="center"/>
                </w:tcPr>
                <w:p w14:paraId="1C04EBDE">
                  <w:pPr>
                    <w:keepNext w:val="0"/>
                    <w:keepLines w:val="0"/>
                    <w:widowControl/>
                    <w:suppressLineNumbers w:val="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2"/>
                      <w:szCs w:val="22"/>
                      <w:u w:val="none"/>
                      <w:lang w:val="en-US" w:eastAsia="zh-CN" w:bidi="ar"/>
                    </w:rPr>
                    <w:t>26.5</w:t>
                  </w:r>
                </w:p>
              </w:tc>
              <w:tc>
                <w:tcPr>
                  <w:tcW w:w="305" w:type="pct"/>
                  <w:tcBorders>
                    <w:tl2br w:val="nil"/>
                    <w:tr2bl w:val="nil"/>
                  </w:tcBorders>
                  <w:shd w:val="clear" w:color="auto" w:fill="auto"/>
                  <w:vAlign w:val="center"/>
                </w:tcPr>
                <w:p w14:paraId="1B0911D9">
                  <w:pPr>
                    <w:keepNext w:val="0"/>
                    <w:keepLines w:val="0"/>
                    <w:widowControl/>
                    <w:suppressLineNumbers w:val="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hint="eastAsia"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.1</w:t>
                  </w:r>
                </w:p>
              </w:tc>
              <w:tc>
                <w:tcPr>
                  <w:tcW w:w="309" w:type="pct"/>
                  <w:tcBorders>
                    <w:tl2br w:val="nil"/>
                    <w:tr2bl w:val="nil"/>
                  </w:tcBorders>
                  <w:shd w:val="clear" w:color="auto" w:fill="auto"/>
                  <w:vAlign w:val="center"/>
                </w:tcPr>
                <w:p w14:paraId="1536564D">
                  <w:pPr>
                    <w:keepNext w:val="0"/>
                    <w:keepLines w:val="0"/>
                    <w:widowControl/>
                    <w:suppressLineNumbers w:val="0"/>
                    <w:jc w:val="center"/>
                    <w:textAlignment w:val="center"/>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45.1</w:t>
                  </w:r>
                </w:p>
              </w:tc>
              <w:tc>
                <w:tcPr>
                  <w:tcW w:w="306" w:type="pct"/>
                  <w:tcBorders>
                    <w:tl2br w:val="nil"/>
                    <w:tr2bl w:val="nil"/>
                  </w:tcBorders>
                  <w:shd w:val="clear" w:color="auto" w:fill="auto"/>
                  <w:vAlign w:val="center"/>
                </w:tcPr>
                <w:p w14:paraId="32F6586F">
                  <w:pPr>
                    <w:keepNext w:val="0"/>
                    <w:keepLines w:val="0"/>
                    <w:widowControl/>
                    <w:suppressLineNumbers w:val="0"/>
                    <w:jc w:val="center"/>
                    <w:textAlignment w:val="center"/>
                    <w:rPr>
                      <w:rFonts w:hint="eastAsia" w:ascii="Times New Roman" w:hAnsi="Times New Roman" w:cs="Times New Roman" w:eastAsiaTheme="minorEastAsia"/>
                      <w:bCs/>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w:t>
                  </w:r>
                </w:p>
              </w:tc>
              <w:tc>
                <w:tcPr>
                  <w:tcW w:w="307" w:type="pct"/>
                  <w:tcBorders>
                    <w:tl2br w:val="nil"/>
                    <w:tr2bl w:val="nil"/>
                  </w:tcBorders>
                  <w:shd w:val="clear" w:color="auto" w:fill="auto"/>
                  <w:vAlign w:val="center"/>
                </w:tcPr>
                <w:p w14:paraId="2D545CA7">
                  <w:pPr>
                    <w:keepNext w:val="0"/>
                    <w:keepLines w:val="0"/>
                    <w:widowControl/>
                    <w:suppressLineNumbers w:val="0"/>
                    <w:jc w:val="center"/>
                    <w:textAlignment w:val="center"/>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w:t>
                  </w:r>
                </w:p>
              </w:tc>
              <w:tc>
                <w:tcPr>
                  <w:tcW w:w="306" w:type="pct"/>
                  <w:tcBorders>
                    <w:tl2br w:val="nil"/>
                    <w:tr2bl w:val="nil"/>
                  </w:tcBorders>
                  <w:shd w:val="clear" w:color="auto" w:fill="auto"/>
                  <w:vAlign w:val="center"/>
                </w:tcPr>
                <w:p w14:paraId="5015E3C7">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w:t>
                  </w:r>
                </w:p>
              </w:tc>
              <w:tc>
                <w:tcPr>
                  <w:tcW w:w="307" w:type="pct"/>
                  <w:tcBorders>
                    <w:tl2br w:val="nil"/>
                    <w:tr2bl w:val="nil"/>
                  </w:tcBorders>
                  <w:shd w:val="clear" w:color="auto" w:fill="auto"/>
                  <w:vAlign w:val="center"/>
                </w:tcPr>
                <w:p w14:paraId="0AF54A55">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w:t>
                  </w:r>
                </w:p>
              </w:tc>
            </w:tr>
            <w:tr w14:paraId="18C98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tcBorders>
                    <w:tl2br w:val="nil"/>
                    <w:tr2bl w:val="nil"/>
                  </w:tcBorders>
                  <w:shd w:val="clear" w:color="auto" w:fill="FFFFFF"/>
                  <w:vAlign w:val="center"/>
                </w:tcPr>
                <w:p w14:paraId="70C21CA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549" w:type="pct"/>
                  <w:tcBorders>
                    <w:tl2br w:val="nil"/>
                    <w:tr2bl w:val="nil"/>
                  </w:tcBorders>
                  <w:shd w:val="clear" w:color="auto" w:fill="FFFFFF"/>
                  <w:vAlign w:val="center"/>
                </w:tcPr>
                <w:p w14:paraId="57A6E16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马尔康市公安局交警大队</w:t>
                  </w:r>
                </w:p>
              </w:tc>
              <w:tc>
                <w:tcPr>
                  <w:tcW w:w="301" w:type="pct"/>
                  <w:tcBorders>
                    <w:tl2br w:val="nil"/>
                    <w:tr2bl w:val="nil"/>
                  </w:tcBorders>
                  <w:shd w:val="clear" w:color="auto" w:fill="auto"/>
                  <w:vAlign w:val="center"/>
                </w:tcPr>
                <w:p w14:paraId="2D50A1F7">
                  <w:pPr>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rPr>
                    <w:t>52</w:t>
                  </w:r>
                </w:p>
              </w:tc>
              <w:tc>
                <w:tcPr>
                  <w:tcW w:w="261" w:type="pct"/>
                  <w:tcBorders>
                    <w:tl2br w:val="nil"/>
                    <w:tr2bl w:val="nil"/>
                  </w:tcBorders>
                  <w:shd w:val="clear" w:color="auto" w:fill="auto"/>
                  <w:vAlign w:val="center"/>
                </w:tcPr>
                <w:p w14:paraId="48E57DDD">
                  <w:pPr>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45</w:t>
                  </w:r>
                </w:p>
              </w:tc>
              <w:tc>
                <w:tcPr>
                  <w:tcW w:w="268" w:type="pct"/>
                  <w:tcBorders>
                    <w:tl2br w:val="nil"/>
                    <w:tr2bl w:val="nil"/>
                  </w:tcBorders>
                  <w:shd w:val="clear" w:color="auto" w:fill="auto"/>
                  <w:vAlign w:val="center"/>
                </w:tcPr>
                <w:p w14:paraId="004717E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52</w:t>
                  </w:r>
                </w:p>
              </w:tc>
              <w:tc>
                <w:tcPr>
                  <w:tcW w:w="310" w:type="pct"/>
                  <w:tcBorders>
                    <w:tl2br w:val="nil"/>
                    <w:tr2bl w:val="nil"/>
                  </w:tcBorders>
                  <w:shd w:val="clear" w:color="auto" w:fill="auto"/>
                  <w:vAlign w:val="center"/>
                </w:tcPr>
                <w:p w14:paraId="0D2D016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45</w:t>
                  </w:r>
                </w:p>
              </w:tc>
              <w:tc>
                <w:tcPr>
                  <w:tcW w:w="305" w:type="pct"/>
                  <w:tcBorders>
                    <w:tl2br w:val="nil"/>
                    <w:tr2bl w:val="nil"/>
                  </w:tcBorders>
                  <w:shd w:val="clear" w:color="auto" w:fill="auto"/>
                  <w:vAlign w:val="center"/>
                </w:tcPr>
                <w:p w14:paraId="7C71D716">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60</w:t>
                  </w:r>
                </w:p>
              </w:tc>
              <w:tc>
                <w:tcPr>
                  <w:tcW w:w="309" w:type="pct"/>
                  <w:tcBorders>
                    <w:tl2br w:val="nil"/>
                    <w:tr2bl w:val="nil"/>
                  </w:tcBorders>
                  <w:shd w:val="clear" w:color="auto" w:fill="auto"/>
                  <w:vAlign w:val="center"/>
                </w:tcPr>
                <w:p w14:paraId="13CAF0C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50</w:t>
                  </w:r>
                </w:p>
              </w:tc>
              <w:tc>
                <w:tcPr>
                  <w:tcW w:w="312" w:type="pct"/>
                  <w:tcBorders>
                    <w:tl2br w:val="nil"/>
                    <w:tr2bl w:val="nil"/>
                  </w:tcBorders>
                  <w:shd w:val="clear" w:color="auto" w:fill="auto"/>
                  <w:vAlign w:val="center"/>
                </w:tcPr>
                <w:p w14:paraId="75D68413">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40.6</w:t>
                  </w:r>
                </w:p>
              </w:tc>
              <w:tc>
                <w:tcPr>
                  <w:tcW w:w="313" w:type="pct"/>
                  <w:tcBorders>
                    <w:tl2br w:val="nil"/>
                    <w:tr2bl w:val="nil"/>
                  </w:tcBorders>
                  <w:shd w:val="clear" w:color="auto" w:fill="auto"/>
                  <w:vAlign w:val="center"/>
                </w:tcPr>
                <w:p w14:paraId="0D2871D0">
                  <w:pPr>
                    <w:keepNext w:val="0"/>
                    <w:keepLines w:val="0"/>
                    <w:widowControl/>
                    <w:suppressLineNumbers w:val="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2"/>
                      <w:szCs w:val="22"/>
                      <w:u w:val="none"/>
                      <w:lang w:val="en-US" w:eastAsia="zh-CN" w:bidi="ar"/>
                    </w:rPr>
                    <w:t>38.5</w:t>
                  </w:r>
                </w:p>
              </w:tc>
              <w:tc>
                <w:tcPr>
                  <w:tcW w:w="305" w:type="pct"/>
                  <w:tcBorders>
                    <w:tl2br w:val="nil"/>
                    <w:tr2bl w:val="nil"/>
                  </w:tcBorders>
                  <w:shd w:val="clear" w:color="auto" w:fill="auto"/>
                  <w:vAlign w:val="center"/>
                </w:tcPr>
                <w:p w14:paraId="69791362">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52.3</w:t>
                  </w:r>
                </w:p>
              </w:tc>
              <w:tc>
                <w:tcPr>
                  <w:tcW w:w="309" w:type="pct"/>
                  <w:tcBorders>
                    <w:tl2br w:val="nil"/>
                    <w:tr2bl w:val="nil"/>
                  </w:tcBorders>
                  <w:shd w:val="clear" w:color="auto" w:fill="auto"/>
                  <w:vAlign w:val="center"/>
                </w:tcPr>
                <w:p w14:paraId="0469253E">
                  <w:pPr>
                    <w:keepNext w:val="0"/>
                    <w:keepLines w:val="0"/>
                    <w:widowControl/>
                    <w:suppressLineNumbers w:val="0"/>
                    <w:jc w:val="center"/>
                    <w:textAlignment w:val="center"/>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45.9</w:t>
                  </w:r>
                </w:p>
              </w:tc>
              <w:tc>
                <w:tcPr>
                  <w:tcW w:w="306" w:type="pct"/>
                  <w:tcBorders>
                    <w:tl2br w:val="nil"/>
                    <w:tr2bl w:val="nil"/>
                  </w:tcBorders>
                  <w:shd w:val="clear" w:color="auto" w:fill="auto"/>
                  <w:vAlign w:val="center"/>
                </w:tcPr>
                <w:p w14:paraId="21CB15D8">
                  <w:pPr>
                    <w:keepNext w:val="0"/>
                    <w:keepLines w:val="0"/>
                    <w:widowControl/>
                    <w:suppressLineNumbers w:val="0"/>
                    <w:jc w:val="center"/>
                    <w:textAlignment w:val="center"/>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w:t>
                  </w:r>
                </w:p>
              </w:tc>
              <w:tc>
                <w:tcPr>
                  <w:tcW w:w="307" w:type="pct"/>
                  <w:tcBorders>
                    <w:tl2br w:val="nil"/>
                    <w:tr2bl w:val="nil"/>
                  </w:tcBorders>
                  <w:shd w:val="clear" w:color="auto" w:fill="auto"/>
                  <w:vAlign w:val="center"/>
                </w:tcPr>
                <w:p w14:paraId="4F8CDA45">
                  <w:pPr>
                    <w:keepNext w:val="0"/>
                    <w:keepLines w:val="0"/>
                    <w:widowControl/>
                    <w:suppressLineNumbers w:val="0"/>
                    <w:jc w:val="center"/>
                    <w:textAlignment w:val="center"/>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0.9</w:t>
                  </w:r>
                </w:p>
              </w:tc>
              <w:tc>
                <w:tcPr>
                  <w:tcW w:w="306" w:type="pct"/>
                  <w:tcBorders>
                    <w:tl2br w:val="nil"/>
                    <w:tr2bl w:val="nil"/>
                  </w:tcBorders>
                  <w:shd w:val="clear" w:color="auto" w:fill="auto"/>
                  <w:vAlign w:val="center"/>
                </w:tcPr>
                <w:p w14:paraId="5050827D">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w:t>
                  </w:r>
                </w:p>
              </w:tc>
              <w:tc>
                <w:tcPr>
                  <w:tcW w:w="307" w:type="pct"/>
                  <w:tcBorders>
                    <w:tl2br w:val="nil"/>
                    <w:tr2bl w:val="nil"/>
                  </w:tcBorders>
                  <w:shd w:val="clear" w:color="auto" w:fill="auto"/>
                  <w:vAlign w:val="center"/>
                </w:tcPr>
                <w:p w14:paraId="3B8BE64D">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w:t>
                  </w:r>
                </w:p>
              </w:tc>
            </w:tr>
            <w:tr w14:paraId="25A63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tcBorders>
                    <w:tl2br w:val="nil"/>
                    <w:tr2bl w:val="nil"/>
                  </w:tcBorders>
                  <w:shd w:val="clear" w:color="auto" w:fill="FFFFFF"/>
                  <w:vAlign w:val="center"/>
                </w:tcPr>
                <w:p w14:paraId="6EA8DB7B">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w:t>
                  </w:r>
                </w:p>
              </w:tc>
              <w:tc>
                <w:tcPr>
                  <w:tcW w:w="549" w:type="pct"/>
                  <w:tcBorders>
                    <w:tl2br w:val="nil"/>
                    <w:tr2bl w:val="nil"/>
                  </w:tcBorders>
                  <w:shd w:val="clear" w:color="auto" w:fill="FFFFFF"/>
                  <w:vAlign w:val="center"/>
                </w:tcPr>
                <w:p w14:paraId="283642E8">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嘉绒印象小区</w:t>
                  </w:r>
                </w:p>
              </w:tc>
              <w:tc>
                <w:tcPr>
                  <w:tcW w:w="301" w:type="pct"/>
                  <w:tcBorders>
                    <w:tl2br w:val="nil"/>
                    <w:tr2bl w:val="nil"/>
                  </w:tcBorders>
                  <w:shd w:val="clear" w:color="auto" w:fill="auto"/>
                  <w:vAlign w:val="center"/>
                </w:tcPr>
                <w:p w14:paraId="5CC6DE8C">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rPr>
                    <w:t>52</w:t>
                  </w:r>
                </w:p>
              </w:tc>
              <w:tc>
                <w:tcPr>
                  <w:tcW w:w="261" w:type="pct"/>
                  <w:tcBorders>
                    <w:tl2br w:val="nil"/>
                    <w:tr2bl w:val="nil"/>
                  </w:tcBorders>
                  <w:shd w:val="clear" w:color="auto" w:fill="auto"/>
                  <w:vAlign w:val="center"/>
                </w:tcPr>
                <w:p w14:paraId="3DD4C509">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45</w:t>
                  </w:r>
                </w:p>
              </w:tc>
              <w:tc>
                <w:tcPr>
                  <w:tcW w:w="268" w:type="pct"/>
                  <w:tcBorders>
                    <w:tl2br w:val="nil"/>
                    <w:tr2bl w:val="nil"/>
                  </w:tcBorders>
                  <w:shd w:val="clear" w:color="auto" w:fill="auto"/>
                  <w:vAlign w:val="center"/>
                </w:tcPr>
                <w:p w14:paraId="62F9A376">
                  <w:pPr>
                    <w:jc w:val="center"/>
                    <w:rPr>
                      <w:rFonts w:hint="default" w:ascii="Times New Roman" w:hAnsi="Times New Roman" w:cs="Times New Roman"/>
                      <w:color w:val="auto"/>
                    </w:rPr>
                  </w:pPr>
                  <w:r>
                    <w:rPr>
                      <w:rFonts w:hint="default" w:ascii="Times New Roman" w:hAnsi="Times New Roman" w:cs="Times New Roman"/>
                      <w:color w:val="auto"/>
                      <w:lang w:val="en-US" w:eastAsia="zh-CN"/>
                    </w:rPr>
                    <w:t>51</w:t>
                  </w:r>
                </w:p>
              </w:tc>
              <w:tc>
                <w:tcPr>
                  <w:tcW w:w="310" w:type="pct"/>
                  <w:tcBorders>
                    <w:tl2br w:val="nil"/>
                    <w:tr2bl w:val="nil"/>
                  </w:tcBorders>
                  <w:shd w:val="clear" w:color="auto" w:fill="auto"/>
                  <w:vAlign w:val="center"/>
                </w:tcPr>
                <w:p w14:paraId="2A8C50E0">
                  <w:pPr>
                    <w:jc w:val="center"/>
                    <w:rPr>
                      <w:rFonts w:hint="default" w:ascii="Times New Roman" w:hAnsi="Times New Roman" w:cs="Times New Roman"/>
                      <w:color w:val="auto"/>
                    </w:rPr>
                  </w:pPr>
                  <w:r>
                    <w:rPr>
                      <w:rFonts w:hint="default" w:ascii="Times New Roman" w:hAnsi="Times New Roman" w:cs="Times New Roman"/>
                      <w:color w:val="auto"/>
                      <w:lang w:val="en-US" w:eastAsia="zh-CN"/>
                    </w:rPr>
                    <w:t>45</w:t>
                  </w:r>
                </w:p>
              </w:tc>
              <w:tc>
                <w:tcPr>
                  <w:tcW w:w="305" w:type="pct"/>
                  <w:tcBorders>
                    <w:tl2br w:val="nil"/>
                    <w:tr2bl w:val="nil"/>
                  </w:tcBorders>
                  <w:shd w:val="clear" w:color="auto" w:fill="auto"/>
                  <w:vAlign w:val="center"/>
                </w:tcPr>
                <w:p w14:paraId="5E006A6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309" w:type="pct"/>
                  <w:tcBorders>
                    <w:tl2br w:val="nil"/>
                    <w:tr2bl w:val="nil"/>
                  </w:tcBorders>
                  <w:shd w:val="clear" w:color="auto" w:fill="auto"/>
                  <w:vAlign w:val="center"/>
                </w:tcPr>
                <w:p w14:paraId="4A5B71B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w:t>
                  </w:r>
                </w:p>
              </w:tc>
              <w:tc>
                <w:tcPr>
                  <w:tcW w:w="312" w:type="pct"/>
                  <w:tcBorders>
                    <w:tl2br w:val="nil"/>
                    <w:tr2bl w:val="nil"/>
                  </w:tcBorders>
                  <w:shd w:val="clear" w:color="auto" w:fill="auto"/>
                  <w:vAlign w:val="center"/>
                </w:tcPr>
                <w:p w14:paraId="22AF01AD">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33.1</w:t>
                  </w:r>
                </w:p>
              </w:tc>
              <w:tc>
                <w:tcPr>
                  <w:tcW w:w="313" w:type="pct"/>
                  <w:tcBorders>
                    <w:tl2br w:val="nil"/>
                    <w:tr2bl w:val="nil"/>
                  </w:tcBorders>
                  <w:shd w:val="clear" w:color="auto" w:fill="auto"/>
                  <w:vAlign w:val="center"/>
                </w:tcPr>
                <w:p w14:paraId="2D882DCD">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30.9</w:t>
                  </w:r>
                </w:p>
              </w:tc>
              <w:tc>
                <w:tcPr>
                  <w:tcW w:w="305" w:type="pct"/>
                  <w:tcBorders>
                    <w:tl2br w:val="nil"/>
                    <w:tr2bl w:val="nil"/>
                  </w:tcBorders>
                  <w:shd w:val="clear" w:color="auto" w:fill="auto"/>
                  <w:vAlign w:val="center"/>
                </w:tcPr>
                <w:p w14:paraId="4C14B06E">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52.1</w:t>
                  </w:r>
                </w:p>
              </w:tc>
              <w:tc>
                <w:tcPr>
                  <w:tcW w:w="309" w:type="pct"/>
                  <w:tcBorders>
                    <w:tl2br w:val="nil"/>
                    <w:tr2bl w:val="nil"/>
                  </w:tcBorders>
                  <w:shd w:val="clear" w:color="auto" w:fill="auto"/>
                  <w:vAlign w:val="center"/>
                </w:tcPr>
                <w:p w14:paraId="46726DB6">
                  <w:pPr>
                    <w:keepNext w:val="0"/>
                    <w:keepLines w:val="0"/>
                    <w:widowControl/>
                    <w:suppressLineNumbers w:val="0"/>
                    <w:jc w:val="center"/>
                    <w:textAlignment w:val="center"/>
                    <w:rPr>
                      <w:rFonts w:hint="default" w:ascii="Times New Roman" w:hAnsi="Times New Roman" w:cs="Times New Roman" w:eastAsiaTheme="minorEastAsia"/>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45.2</w:t>
                  </w:r>
                </w:p>
              </w:tc>
              <w:tc>
                <w:tcPr>
                  <w:tcW w:w="306" w:type="pct"/>
                  <w:tcBorders>
                    <w:tl2br w:val="nil"/>
                    <w:tr2bl w:val="nil"/>
                  </w:tcBorders>
                  <w:shd w:val="clear" w:color="auto" w:fill="auto"/>
                  <w:vAlign w:val="center"/>
                </w:tcPr>
                <w:p w14:paraId="40A3B3D3">
                  <w:pPr>
                    <w:keepNext w:val="0"/>
                    <w:keepLines w:val="0"/>
                    <w:widowControl/>
                    <w:suppressLineNumbers w:val="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1.1</w:t>
                  </w:r>
                </w:p>
              </w:tc>
              <w:tc>
                <w:tcPr>
                  <w:tcW w:w="307" w:type="pct"/>
                  <w:tcBorders>
                    <w:tl2br w:val="nil"/>
                    <w:tr2bl w:val="nil"/>
                  </w:tcBorders>
                  <w:shd w:val="clear" w:color="auto" w:fill="auto"/>
                  <w:vAlign w:val="center"/>
                </w:tcPr>
                <w:p w14:paraId="70F560CC">
                  <w:pPr>
                    <w:keepNext w:val="0"/>
                    <w:keepLines w:val="0"/>
                    <w:widowControl/>
                    <w:suppressLineNumbers w:val="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w:t>
                  </w:r>
                </w:p>
              </w:tc>
              <w:tc>
                <w:tcPr>
                  <w:tcW w:w="306" w:type="pct"/>
                  <w:tcBorders>
                    <w:tl2br w:val="nil"/>
                    <w:tr2bl w:val="nil"/>
                  </w:tcBorders>
                  <w:shd w:val="clear" w:color="auto" w:fill="auto"/>
                  <w:vAlign w:val="center"/>
                </w:tcPr>
                <w:p w14:paraId="0CC68685">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w:t>
                  </w:r>
                </w:p>
              </w:tc>
              <w:tc>
                <w:tcPr>
                  <w:tcW w:w="307" w:type="pct"/>
                  <w:tcBorders>
                    <w:tl2br w:val="nil"/>
                    <w:tr2bl w:val="nil"/>
                  </w:tcBorders>
                  <w:shd w:val="clear" w:color="auto" w:fill="auto"/>
                  <w:vAlign w:val="center"/>
                </w:tcPr>
                <w:p w14:paraId="16A58147">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w:t>
                  </w:r>
                </w:p>
              </w:tc>
            </w:tr>
            <w:tr w14:paraId="7169C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tcBorders>
                    <w:tl2br w:val="nil"/>
                    <w:tr2bl w:val="nil"/>
                  </w:tcBorders>
                  <w:shd w:val="clear" w:color="auto" w:fill="FFFFFF"/>
                  <w:vAlign w:val="center"/>
                </w:tcPr>
                <w:p w14:paraId="67DB10A4">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w:t>
                  </w:r>
                </w:p>
              </w:tc>
              <w:tc>
                <w:tcPr>
                  <w:tcW w:w="549" w:type="pct"/>
                  <w:tcBorders>
                    <w:tl2br w:val="nil"/>
                    <w:tr2bl w:val="nil"/>
                  </w:tcBorders>
                  <w:shd w:val="clear" w:color="auto" w:fill="FFFFFF"/>
                  <w:vAlign w:val="center"/>
                </w:tcPr>
                <w:p w14:paraId="7E38043B">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马尔康市水务局</w:t>
                  </w:r>
                </w:p>
              </w:tc>
              <w:tc>
                <w:tcPr>
                  <w:tcW w:w="301" w:type="pct"/>
                  <w:tcBorders>
                    <w:tl2br w:val="nil"/>
                    <w:tr2bl w:val="nil"/>
                  </w:tcBorders>
                  <w:shd w:val="clear" w:color="auto" w:fill="auto"/>
                  <w:vAlign w:val="center"/>
                </w:tcPr>
                <w:p w14:paraId="52A1A7D1">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rPr>
                    <w:t>52</w:t>
                  </w:r>
                </w:p>
              </w:tc>
              <w:tc>
                <w:tcPr>
                  <w:tcW w:w="261" w:type="pct"/>
                  <w:tcBorders>
                    <w:tl2br w:val="nil"/>
                    <w:tr2bl w:val="nil"/>
                  </w:tcBorders>
                  <w:shd w:val="clear" w:color="auto" w:fill="auto"/>
                  <w:vAlign w:val="center"/>
                </w:tcPr>
                <w:p w14:paraId="34D5C0D5">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45</w:t>
                  </w:r>
                </w:p>
              </w:tc>
              <w:tc>
                <w:tcPr>
                  <w:tcW w:w="268" w:type="pct"/>
                  <w:tcBorders>
                    <w:tl2br w:val="nil"/>
                    <w:tr2bl w:val="nil"/>
                  </w:tcBorders>
                  <w:shd w:val="clear" w:color="auto" w:fill="auto"/>
                  <w:vAlign w:val="center"/>
                </w:tcPr>
                <w:p w14:paraId="521E43D2">
                  <w:pPr>
                    <w:jc w:val="center"/>
                    <w:rPr>
                      <w:rFonts w:hint="default" w:ascii="Times New Roman" w:hAnsi="Times New Roman" w:cs="Times New Roman"/>
                      <w:color w:val="auto"/>
                    </w:rPr>
                  </w:pPr>
                  <w:r>
                    <w:rPr>
                      <w:rFonts w:hint="default" w:ascii="Times New Roman" w:hAnsi="Times New Roman" w:cs="Times New Roman"/>
                      <w:color w:val="auto"/>
                      <w:lang w:val="en-US" w:eastAsia="zh-CN"/>
                    </w:rPr>
                    <w:t>51</w:t>
                  </w:r>
                </w:p>
              </w:tc>
              <w:tc>
                <w:tcPr>
                  <w:tcW w:w="310" w:type="pct"/>
                  <w:tcBorders>
                    <w:tl2br w:val="nil"/>
                    <w:tr2bl w:val="nil"/>
                  </w:tcBorders>
                  <w:shd w:val="clear" w:color="auto" w:fill="auto"/>
                  <w:vAlign w:val="center"/>
                </w:tcPr>
                <w:p w14:paraId="5222A197">
                  <w:pPr>
                    <w:jc w:val="center"/>
                    <w:rPr>
                      <w:rFonts w:hint="default" w:ascii="Times New Roman" w:hAnsi="Times New Roman" w:cs="Times New Roman"/>
                      <w:color w:val="auto"/>
                    </w:rPr>
                  </w:pPr>
                  <w:r>
                    <w:rPr>
                      <w:rFonts w:hint="default" w:ascii="Times New Roman" w:hAnsi="Times New Roman" w:cs="Times New Roman"/>
                      <w:color w:val="auto"/>
                      <w:lang w:val="en-US" w:eastAsia="zh-CN"/>
                    </w:rPr>
                    <w:t>45</w:t>
                  </w:r>
                </w:p>
              </w:tc>
              <w:tc>
                <w:tcPr>
                  <w:tcW w:w="305" w:type="pct"/>
                  <w:tcBorders>
                    <w:tl2br w:val="nil"/>
                    <w:tr2bl w:val="nil"/>
                  </w:tcBorders>
                  <w:shd w:val="clear" w:color="auto" w:fill="auto"/>
                  <w:vAlign w:val="center"/>
                </w:tcPr>
                <w:p w14:paraId="38CEF43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309" w:type="pct"/>
                  <w:tcBorders>
                    <w:tl2br w:val="nil"/>
                    <w:tr2bl w:val="nil"/>
                  </w:tcBorders>
                  <w:shd w:val="clear" w:color="auto" w:fill="auto"/>
                  <w:vAlign w:val="center"/>
                </w:tcPr>
                <w:p w14:paraId="71C4201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w:t>
                  </w:r>
                </w:p>
              </w:tc>
              <w:tc>
                <w:tcPr>
                  <w:tcW w:w="312" w:type="pct"/>
                  <w:tcBorders>
                    <w:tl2br w:val="nil"/>
                    <w:tr2bl w:val="nil"/>
                  </w:tcBorders>
                  <w:shd w:val="clear" w:color="auto" w:fill="auto"/>
                  <w:vAlign w:val="center"/>
                </w:tcPr>
                <w:p w14:paraId="2947F515">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26.6</w:t>
                  </w:r>
                </w:p>
              </w:tc>
              <w:tc>
                <w:tcPr>
                  <w:tcW w:w="313" w:type="pct"/>
                  <w:tcBorders>
                    <w:tl2br w:val="nil"/>
                    <w:tr2bl w:val="nil"/>
                  </w:tcBorders>
                  <w:shd w:val="clear" w:color="auto" w:fill="auto"/>
                  <w:vAlign w:val="center"/>
                </w:tcPr>
                <w:p w14:paraId="769AA054">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20.2</w:t>
                  </w:r>
                </w:p>
              </w:tc>
              <w:tc>
                <w:tcPr>
                  <w:tcW w:w="305" w:type="pct"/>
                  <w:tcBorders>
                    <w:tl2br w:val="nil"/>
                    <w:tr2bl w:val="nil"/>
                  </w:tcBorders>
                  <w:shd w:val="clear" w:color="auto" w:fill="auto"/>
                  <w:vAlign w:val="center"/>
                </w:tcPr>
                <w:p w14:paraId="0CE8614D">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52.0</w:t>
                  </w:r>
                </w:p>
              </w:tc>
              <w:tc>
                <w:tcPr>
                  <w:tcW w:w="309" w:type="pct"/>
                  <w:tcBorders>
                    <w:tl2br w:val="nil"/>
                    <w:tr2bl w:val="nil"/>
                  </w:tcBorders>
                  <w:shd w:val="clear" w:color="auto" w:fill="auto"/>
                  <w:vAlign w:val="center"/>
                </w:tcPr>
                <w:p w14:paraId="6BEE2926">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45.0</w:t>
                  </w:r>
                </w:p>
              </w:tc>
              <w:tc>
                <w:tcPr>
                  <w:tcW w:w="306" w:type="pct"/>
                  <w:tcBorders>
                    <w:tl2br w:val="nil"/>
                    <w:tr2bl w:val="nil"/>
                  </w:tcBorders>
                  <w:shd w:val="clear" w:color="auto" w:fill="auto"/>
                  <w:vAlign w:val="center"/>
                </w:tcPr>
                <w:p w14:paraId="141A0039">
                  <w:pPr>
                    <w:keepNext w:val="0"/>
                    <w:keepLines w:val="0"/>
                    <w:widowControl/>
                    <w:suppressLineNumbers w:val="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07" w:type="pct"/>
                  <w:tcBorders>
                    <w:tl2br w:val="nil"/>
                    <w:tr2bl w:val="nil"/>
                  </w:tcBorders>
                  <w:shd w:val="clear" w:color="auto" w:fill="auto"/>
                  <w:vAlign w:val="center"/>
                </w:tcPr>
                <w:p w14:paraId="13B00ED7">
                  <w:pPr>
                    <w:keepNext w:val="0"/>
                    <w:keepLines w:val="0"/>
                    <w:widowControl/>
                    <w:suppressLineNumbers w:val="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306" w:type="pct"/>
                  <w:tcBorders>
                    <w:tl2br w:val="nil"/>
                    <w:tr2bl w:val="nil"/>
                  </w:tcBorders>
                  <w:shd w:val="clear" w:color="auto" w:fill="auto"/>
                  <w:vAlign w:val="center"/>
                </w:tcPr>
                <w:p w14:paraId="35ECD2A0">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w:t>
                  </w:r>
                </w:p>
              </w:tc>
              <w:tc>
                <w:tcPr>
                  <w:tcW w:w="307" w:type="pct"/>
                  <w:tcBorders>
                    <w:tl2br w:val="nil"/>
                    <w:tr2bl w:val="nil"/>
                  </w:tcBorders>
                  <w:shd w:val="clear" w:color="auto" w:fill="auto"/>
                  <w:vAlign w:val="center"/>
                </w:tcPr>
                <w:p w14:paraId="1D576967">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w:t>
                  </w:r>
                </w:p>
              </w:tc>
            </w:tr>
          </w:tbl>
          <w:p w14:paraId="41853E3B">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由预测结果可知，本项目营运期厂界四周预测点噪声排放值均满足《工业企业厂界环境噪声排放标准》（GB12348-2008）中</w:t>
            </w:r>
            <w:r>
              <w:rPr>
                <w:rFonts w:hint="eastAsia" w:ascii="Times New Roman" w:hAnsi="Times New Roman" w:cs="Times New Roman"/>
                <w:color w:val="auto"/>
                <w:sz w:val="24"/>
                <w:szCs w:val="24"/>
                <w:highlight w:val="none"/>
              </w:rPr>
              <w:t>2</w:t>
            </w:r>
            <w:r>
              <w:rPr>
                <w:rFonts w:ascii="Times New Roman" w:hAnsi="Times New Roman" w:cs="Times New Roman"/>
                <w:color w:val="auto"/>
                <w:sz w:val="24"/>
                <w:szCs w:val="24"/>
                <w:highlight w:val="none"/>
              </w:rPr>
              <w:t>类声环境功能区类别对应的标准限值</w:t>
            </w:r>
            <w:r>
              <w:rPr>
                <w:rFonts w:hint="eastAsia" w:ascii="Times New Roman" w:hAnsi="Times New Roman" w:cs="Times New Roman"/>
                <w:color w:val="auto"/>
                <w:sz w:val="24"/>
                <w:szCs w:val="24"/>
                <w:highlight w:val="none"/>
              </w:rPr>
              <w:t>要求</w:t>
            </w:r>
            <w:r>
              <w:rPr>
                <w:rFonts w:ascii="Times New Roman" w:hAnsi="Times New Roman" w:cs="Times New Roman"/>
                <w:color w:val="auto"/>
                <w:sz w:val="24"/>
                <w:szCs w:val="24"/>
                <w:highlight w:val="none"/>
              </w:rPr>
              <w:t>，可实现达标排放</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各声环境保护目标噪声值预测值均能满足《声环境质量标准》（GB3096-2008）2类标准</w:t>
            </w:r>
            <w:r>
              <w:rPr>
                <w:rFonts w:hint="eastAsia" w:ascii="Times New Roman" w:hAnsi="Times New Roman" w:cs="Times New Roman"/>
                <w:color w:val="auto"/>
                <w:sz w:val="24"/>
                <w:szCs w:val="24"/>
                <w:highlight w:val="none"/>
              </w:rPr>
              <w:t>。</w:t>
            </w:r>
          </w:p>
          <w:p w14:paraId="349ADEDB">
            <w:pPr>
              <w:spacing w:line="360" w:lineRule="auto"/>
              <w:ind w:firstLine="480" w:firstLineChars="200"/>
              <w:rPr>
                <w:rFonts w:hint="eastAsia" w:ascii="Times New Roman" w:hAnsi="Times New Roman" w:cs="Times New Roman"/>
                <w:b w:val="0"/>
                <w:bCs w:val="0"/>
                <w:color w:val="auto"/>
                <w:sz w:val="24"/>
                <w:szCs w:val="24"/>
                <w:highlight w:val="none"/>
                <w:lang w:eastAsia="zh-CN"/>
              </w:rPr>
            </w:pPr>
            <w:r>
              <w:rPr>
                <w:rFonts w:ascii="Times New Roman" w:hAnsi="Times New Roman" w:cs="Times New Roman"/>
                <w:color w:val="auto"/>
                <w:sz w:val="24"/>
                <w:szCs w:val="24"/>
                <w:highlight w:val="none"/>
              </w:rPr>
              <w:t>综上，</w:t>
            </w:r>
            <w:r>
              <w:rPr>
                <w:rFonts w:hint="eastAsia" w:ascii="Times New Roman" w:hAnsi="Times New Roman" w:cs="Times New Roman"/>
                <w:color w:val="auto"/>
                <w:sz w:val="24"/>
                <w:szCs w:val="24"/>
                <w:highlight w:val="none"/>
              </w:rPr>
              <w:t>只要建设单位严格采取环评所提出的相关治理措施，项目扩建后能做到厂界达标，对</w:t>
            </w:r>
            <w:r>
              <w:rPr>
                <w:rFonts w:ascii="Times New Roman" w:hAnsi="Times New Roman" w:cs="Times New Roman"/>
                <w:color w:val="auto"/>
                <w:sz w:val="24"/>
                <w:szCs w:val="24"/>
                <w:highlight w:val="none"/>
              </w:rPr>
              <w:t>项目所在区域声环境</w:t>
            </w:r>
            <w:r>
              <w:rPr>
                <w:rFonts w:hint="eastAsia" w:ascii="Times New Roman" w:hAnsi="Times New Roman" w:cs="Times New Roman"/>
                <w:color w:val="auto"/>
                <w:sz w:val="24"/>
                <w:szCs w:val="24"/>
                <w:highlight w:val="none"/>
              </w:rPr>
              <w:t>保护目标影响较小。</w:t>
            </w:r>
          </w:p>
          <w:p w14:paraId="2D5B2263">
            <w:pPr>
              <w:spacing w:line="360" w:lineRule="auto"/>
              <w:ind w:firstLine="482" w:firstLineChars="200"/>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3</w:t>
            </w: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rPr>
              <w:t>监测要求</w:t>
            </w:r>
          </w:p>
          <w:p w14:paraId="6A2A18D5">
            <w:pPr>
              <w:spacing w:line="360" w:lineRule="auto"/>
              <w:ind w:firstLine="480" w:firstLineChars="200"/>
              <w:rPr>
                <w:color w:val="auto"/>
                <w:sz w:val="24"/>
                <w:szCs w:val="24"/>
                <w:highlight w:val="none"/>
              </w:rPr>
            </w:pPr>
            <w:r>
              <w:rPr>
                <w:rFonts w:hint="eastAsia"/>
                <w:color w:val="auto"/>
                <w:sz w:val="24"/>
                <w:szCs w:val="24"/>
                <w:highlight w:val="none"/>
              </w:rPr>
              <w:t>本次环评根据《排污单位自行监测技术指南</w:t>
            </w:r>
            <w:r>
              <w:rPr>
                <w:color w:val="auto"/>
                <w:sz w:val="24"/>
                <w:szCs w:val="24"/>
                <w:highlight w:val="none"/>
              </w:rPr>
              <w:t xml:space="preserve"> </w:t>
            </w:r>
            <w:r>
              <w:rPr>
                <w:rFonts w:hint="eastAsia"/>
                <w:color w:val="auto"/>
                <w:sz w:val="24"/>
                <w:szCs w:val="24"/>
                <w:highlight w:val="none"/>
              </w:rPr>
              <w:t>总则》（</w:t>
            </w:r>
            <w:r>
              <w:rPr>
                <w:rFonts w:hint="eastAsia" w:ascii="Times New Roman" w:hAnsi="Times New Roman"/>
                <w:color w:val="auto"/>
                <w:sz w:val="24"/>
                <w:szCs w:val="24"/>
                <w:highlight w:val="none"/>
              </w:rPr>
              <w:t>HJ819</w:t>
            </w:r>
            <w:r>
              <w:rPr>
                <w:rFonts w:hint="eastAsia"/>
                <w:color w:val="auto"/>
                <w:sz w:val="24"/>
                <w:szCs w:val="24"/>
                <w:highlight w:val="none"/>
              </w:rPr>
              <w:t>-</w:t>
            </w:r>
            <w:r>
              <w:rPr>
                <w:rFonts w:hint="eastAsia" w:ascii="Times New Roman" w:hAnsi="Times New Roman"/>
                <w:color w:val="auto"/>
                <w:sz w:val="24"/>
                <w:szCs w:val="24"/>
                <w:highlight w:val="none"/>
              </w:rPr>
              <w:t>2017</w:t>
            </w:r>
            <w:r>
              <w:rPr>
                <w:rFonts w:hint="eastAsia"/>
                <w:color w:val="auto"/>
                <w:sz w:val="24"/>
                <w:szCs w:val="24"/>
                <w:highlight w:val="none"/>
              </w:rPr>
              <w:t>）提出项目生产运行阶段的污染源监测计划，详见下表。</w:t>
            </w:r>
          </w:p>
          <w:p w14:paraId="2B377630">
            <w:pPr>
              <w:pStyle w:val="117"/>
              <w:bidi w:val="0"/>
              <w:rPr>
                <w:color w:val="auto"/>
              </w:rPr>
            </w:pPr>
            <w:r>
              <w:rPr>
                <w:rFonts w:hint="eastAsia"/>
                <w:color w:val="auto"/>
              </w:rPr>
              <w:t>噪声监测方案</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120"/>
              <w:gridCol w:w="1540"/>
              <w:gridCol w:w="5005"/>
            </w:tblGrid>
            <w:tr w14:paraId="44942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tcBorders>
                    <w:tl2br w:val="nil"/>
                    <w:tr2bl w:val="nil"/>
                  </w:tcBorders>
                  <w:vAlign w:val="center"/>
                </w:tcPr>
                <w:p w14:paraId="44A1F52F">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监测点位</w:t>
                  </w:r>
                </w:p>
              </w:tc>
              <w:tc>
                <w:tcPr>
                  <w:tcW w:w="635" w:type="pct"/>
                  <w:tcBorders>
                    <w:tl2br w:val="nil"/>
                    <w:tr2bl w:val="nil"/>
                  </w:tcBorders>
                  <w:vAlign w:val="center"/>
                </w:tcPr>
                <w:p w14:paraId="24E6EB39">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监测指标</w:t>
                  </w:r>
                </w:p>
              </w:tc>
              <w:tc>
                <w:tcPr>
                  <w:tcW w:w="873" w:type="pct"/>
                  <w:tcBorders>
                    <w:tl2br w:val="nil"/>
                    <w:tr2bl w:val="nil"/>
                  </w:tcBorders>
                  <w:vAlign w:val="center"/>
                </w:tcPr>
                <w:p w14:paraId="30F73222">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监测频次</w:t>
                  </w:r>
                </w:p>
              </w:tc>
              <w:tc>
                <w:tcPr>
                  <w:tcW w:w="2838" w:type="pct"/>
                  <w:tcBorders>
                    <w:tl2br w:val="nil"/>
                    <w:tr2bl w:val="nil"/>
                  </w:tcBorders>
                </w:tcPr>
                <w:p w14:paraId="2E6F6AC5">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执行排放标准</w:t>
                  </w:r>
                </w:p>
              </w:tc>
            </w:tr>
            <w:tr w14:paraId="4CB0A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tcBorders>
                    <w:tl2br w:val="nil"/>
                    <w:tr2bl w:val="nil"/>
                  </w:tcBorders>
                  <w:vAlign w:val="center"/>
                </w:tcPr>
                <w:p w14:paraId="6FF598EC">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厂界四周</w:t>
                  </w:r>
                </w:p>
              </w:tc>
              <w:tc>
                <w:tcPr>
                  <w:tcW w:w="635" w:type="pct"/>
                  <w:tcBorders>
                    <w:tl2br w:val="nil"/>
                    <w:tr2bl w:val="nil"/>
                  </w:tcBorders>
                  <w:vAlign w:val="center"/>
                </w:tcPr>
                <w:p w14:paraId="0D020040">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厂界噪声</w:t>
                  </w:r>
                </w:p>
              </w:tc>
              <w:tc>
                <w:tcPr>
                  <w:tcW w:w="873" w:type="pct"/>
                  <w:tcBorders>
                    <w:tl2br w:val="nil"/>
                    <w:tr2bl w:val="nil"/>
                  </w:tcBorders>
                  <w:vAlign w:val="center"/>
                </w:tcPr>
                <w:p w14:paraId="34F7875E">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rPr>
                    <w:t>1次</w:t>
                  </w:r>
                  <w:r>
                    <w:rPr>
                      <w:rFonts w:hint="eastAsia" w:ascii="Times New Roman" w:hAnsi="Times New Roman" w:cs="Times New Roman"/>
                      <w:color w:val="auto"/>
                      <w:szCs w:val="21"/>
                      <w:highlight w:val="none"/>
                      <w:lang w:val="en-US" w:eastAsia="zh-CN"/>
                    </w:rPr>
                    <w:t>/季度</w:t>
                  </w:r>
                </w:p>
              </w:tc>
              <w:tc>
                <w:tcPr>
                  <w:tcW w:w="2838" w:type="pct"/>
                  <w:tcBorders>
                    <w:tl2br w:val="nil"/>
                    <w:tr2bl w:val="nil"/>
                  </w:tcBorders>
                  <w:vAlign w:val="center"/>
                </w:tcPr>
                <w:p w14:paraId="5C84856F">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《工业企业厂界环境噪声排放标准》（GB12348-2008）</w:t>
                  </w:r>
                  <w:r>
                    <w:rPr>
                      <w:rFonts w:hint="eastAsia" w:ascii="Times New Roman" w:hAnsi="Times New Roman" w:cs="Times New Roman"/>
                      <w:color w:val="auto"/>
                      <w:szCs w:val="21"/>
                      <w:highlight w:val="none"/>
                    </w:rPr>
                    <w:t>2</w:t>
                  </w:r>
                  <w:r>
                    <w:rPr>
                      <w:rFonts w:ascii="Times New Roman" w:hAnsi="Times New Roman" w:cs="Times New Roman"/>
                      <w:color w:val="auto"/>
                      <w:szCs w:val="21"/>
                      <w:highlight w:val="none"/>
                    </w:rPr>
                    <w:t>类声环境功能区类别对应的标准限值</w:t>
                  </w:r>
                </w:p>
              </w:tc>
            </w:tr>
          </w:tbl>
          <w:p w14:paraId="5E0AFCFD">
            <w:pPr>
              <w:spacing w:line="360" w:lineRule="auto"/>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四、运营期</w:t>
            </w:r>
            <w:r>
              <w:rPr>
                <w:rFonts w:hint="eastAsia" w:ascii="Times New Roman" w:hAnsi="Times New Roman" w:cs="Times New Roman"/>
                <w:b/>
                <w:color w:val="auto"/>
                <w:sz w:val="24"/>
                <w:szCs w:val="24"/>
                <w:highlight w:val="none"/>
              </w:rPr>
              <w:t>固体废物环境影响和保护措施</w:t>
            </w:r>
          </w:p>
          <w:p w14:paraId="4CDE3178">
            <w:pPr>
              <w:spacing w:line="360" w:lineRule="auto"/>
              <w:ind w:firstLine="482" w:firstLineChars="200"/>
              <w:rPr>
                <w:rFonts w:hint="default" w:eastAsiaTheme="minorEastAsia"/>
                <w:b/>
                <w:color w:val="auto"/>
                <w:sz w:val="24"/>
                <w:szCs w:val="24"/>
                <w:highlight w:val="none"/>
                <w:lang w:val="en-US" w:eastAsia="zh-CN"/>
              </w:rPr>
            </w:pPr>
            <w:r>
              <w:rPr>
                <w:rFonts w:hint="eastAsia"/>
                <w:b/>
                <w:color w:val="auto"/>
                <w:sz w:val="24"/>
                <w:szCs w:val="24"/>
                <w:highlight w:val="none"/>
              </w:rPr>
              <w:t>（一）产生</w:t>
            </w:r>
            <w:r>
              <w:rPr>
                <w:rFonts w:hint="eastAsia"/>
                <w:b/>
                <w:color w:val="auto"/>
                <w:sz w:val="24"/>
                <w:szCs w:val="24"/>
                <w:highlight w:val="none"/>
                <w:lang w:val="en-US" w:eastAsia="zh-CN"/>
              </w:rPr>
              <w:t>及处置措施</w:t>
            </w:r>
          </w:p>
          <w:p w14:paraId="579F95F5">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实验室运营期产生的固体废物包括危险废物和一般固废两类。</w:t>
            </w:r>
          </w:p>
          <w:p w14:paraId="06059EA4">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lang w:val="en-US" w:eastAsia="zh-CN"/>
              </w:rPr>
              <w:t>1</w:t>
            </w: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rPr>
              <w:t>一般固废</w:t>
            </w:r>
          </w:p>
          <w:p w14:paraId="3F777ADF">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本项目一般固废包括</w:t>
            </w:r>
            <w:r>
              <w:rPr>
                <w:rFonts w:hint="eastAsia" w:ascii="Times New Roman" w:hAnsi="Times New Roman" w:cs="Times New Roman"/>
                <w:color w:val="auto"/>
                <w:sz w:val="24"/>
                <w:szCs w:val="24"/>
                <w:highlight w:val="none"/>
                <w:lang w:val="en-US" w:eastAsia="zh-CN"/>
              </w:rPr>
              <w:t>实验室固体废物</w:t>
            </w:r>
            <w:r>
              <w:rPr>
                <w:rFonts w:hint="eastAsia" w:ascii="Times New Roman" w:hAnsi="Times New Roman" w:cs="Times New Roman"/>
                <w:color w:val="auto"/>
                <w:sz w:val="24"/>
                <w:szCs w:val="24"/>
                <w:highlight w:val="none"/>
              </w:rPr>
              <w:t>。</w:t>
            </w:r>
          </w:p>
          <w:p w14:paraId="3DBFA369">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①</w:t>
            </w:r>
            <w:r>
              <w:rPr>
                <w:rFonts w:hint="default" w:ascii="Times New Roman" w:hAnsi="Times New Roman" w:eastAsia="宋体" w:cs="Times New Roman"/>
                <w:b/>
                <w:bCs/>
                <w:color w:val="auto"/>
                <w:sz w:val="24"/>
                <w:szCs w:val="24"/>
                <w:highlight w:val="none"/>
                <w:lang w:val="en-US" w:eastAsia="zh-CN"/>
              </w:rPr>
              <w:t>实验室固体废物</w:t>
            </w:r>
          </w:p>
          <w:p w14:paraId="62EA94B8">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color w:val="auto"/>
                <w:sz w:val="24"/>
                <w:lang w:val="en-US" w:eastAsia="zh-CN"/>
              </w:rPr>
              <w:t>实验室固体废物包括</w:t>
            </w:r>
            <w:r>
              <w:rPr>
                <w:rFonts w:hint="default" w:ascii="Times New Roman" w:hAnsi="Times New Roman" w:cs="Times New Roman"/>
                <w:color w:val="auto"/>
                <w:sz w:val="24"/>
              </w:rPr>
              <w:t>化学实验室未沾染危险化学品废旧玻璃瓶、量筒等；物理实验产生的废旧玻璃、纸张、电线等；生物实验产生植物根、茎、叶等，产生量约</w:t>
            </w:r>
            <w:r>
              <w:rPr>
                <w:rFonts w:hint="eastAsia" w:ascii="Times New Roman" w:hAnsi="Times New Roman" w:cs="Times New Roman"/>
                <w:color w:val="auto"/>
                <w:sz w:val="24"/>
                <w:lang w:val="en-US" w:eastAsia="zh-CN"/>
              </w:rPr>
              <w:t>0.05</w:t>
            </w:r>
            <w:r>
              <w:rPr>
                <w:rFonts w:hint="default" w:ascii="Times New Roman" w:hAnsi="Times New Roman" w:cs="Times New Roman"/>
                <w:color w:val="auto"/>
                <w:sz w:val="24"/>
              </w:rPr>
              <w:t>t/a，统一收集后，与生活垃圾一起交由环卫部门处置。根据</w:t>
            </w:r>
            <w:r>
              <w:rPr>
                <w:rFonts w:hint="default" w:ascii="Times New Roman" w:hAnsi="Times New Roman" w:cs="Times New Roman"/>
                <w:bCs/>
                <w:color w:val="auto"/>
                <w:sz w:val="24"/>
              </w:rPr>
              <w:t>《固体废物分类与代码目录》（公告2024年第4号）</w:t>
            </w:r>
            <w:r>
              <w:rPr>
                <w:rFonts w:hint="default" w:ascii="Times New Roman" w:hAnsi="Times New Roman" w:cs="Times New Roman"/>
                <w:color w:val="auto"/>
                <w:sz w:val="24"/>
              </w:rPr>
              <w:t>，属于</w:t>
            </w:r>
            <w:r>
              <w:rPr>
                <w:rFonts w:hint="default" w:ascii="Times New Roman" w:hAnsi="Times New Roman" w:cs="Times New Roman"/>
                <w:bCs/>
                <w:color w:val="auto"/>
                <w:sz w:val="24"/>
              </w:rPr>
              <w:t>“SW92 实验室固体废物”，废物代码为900-001-S92</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经垃圾桶收集后，由环卫部门定期清运</w:t>
            </w:r>
            <w:r>
              <w:rPr>
                <w:rFonts w:hint="default" w:ascii="Times New Roman" w:hAnsi="Times New Roman" w:cs="Times New Roman"/>
                <w:color w:val="auto"/>
                <w:sz w:val="24"/>
              </w:rPr>
              <w:t>。</w:t>
            </w:r>
          </w:p>
          <w:p w14:paraId="72C71E81">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综上所述</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本项目营运期一般固体废物产生情况如下表所示</w:t>
            </w:r>
            <w:r>
              <w:rPr>
                <w:rFonts w:hint="eastAsia" w:ascii="Times New Roman" w:hAnsi="Times New Roman" w:cs="Times New Roman"/>
                <w:color w:val="auto"/>
                <w:sz w:val="24"/>
                <w:szCs w:val="24"/>
                <w:highlight w:val="none"/>
              </w:rPr>
              <w:t>。</w:t>
            </w:r>
          </w:p>
          <w:p w14:paraId="384FE1EA">
            <w:pPr>
              <w:pStyle w:val="117"/>
              <w:bidi w:val="0"/>
              <w:rPr>
                <w:color w:val="auto"/>
              </w:rPr>
            </w:pPr>
            <w:r>
              <w:rPr>
                <w:color w:val="auto"/>
              </w:rPr>
              <w:t>本项目一般固废产生情况一览表</w:t>
            </w:r>
          </w:p>
          <w:tbl>
            <w:tblPr>
              <w:tblStyle w:val="41"/>
              <w:tblW w:w="49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2732"/>
              <w:gridCol w:w="1795"/>
              <w:gridCol w:w="1423"/>
              <w:gridCol w:w="1513"/>
            </w:tblGrid>
            <w:tr w14:paraId="7F70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tcBorders>
                    <w:top w:val="single" w:color="auto" w:sz="12" w:space="0"/>
                  </w:tcBorders>
                  <w:vAlign w:val="center"/>
                </w:tcPr>
                <w:p w14:paraId="001F2B7C">
                  <w:pPr>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固废类别</w:t>
                  </w:r>
                </w:p>
              </w:tc>
              <w:tc>
                <w:tcPr>
                  <w:tcW w:w="1563" w:type="pct"/>
                  <w:tcBorders>
                    <w:top w:val="single" w:color="auto" w:sz="12" w:space="0"/>
                  </w:tcBorders>
                  <w:vAlign w:val="center"/>
                </w:tcPr>
                <w:p w14:paraId="33E06664">
                  <w:pPr>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名称</w:t>
                  </w:r>
                </w:p>
              </w:tc>
              <w:tc>
                <w:tcPr>
                  <w:tcW w:w="1027" w:type="pct"/>
                  <w:tcBorders>
                    <w:top w:val="single" w:color="auto" w:sz="12" w:space="0"/>
                  </w:tcBorders>
                  <w:vAlign w:val="center"/>
                </w:tcPr>
                <w:p w14:paraId="3CEAEDA6">
                  <w:pPr>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一般固废代码</w:t>
                  </w:r>
                </w:p>
              </w:tc>
              <w:tc>
                <w:tcPr>
                  <w:tcW w:w="814" w:type="pct"/>
                  <w:tcBorders>
                    <w:top w:val="single" w:color="auto" w:sz="12" w:space="0"/>
                  </w:tcBorders>
                  <w:vAlign w:val="center"/>
                </w:tcPr>
                <w:p w14:paraId="29FD2842">
                  <w:pPr>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核算方法</w:t>
                  </w:r>
                </w:p>
              </w:tc>
              <w:tc>
                <w:tcPr>
                  <w:tcW w:w="865" w:type="pct"/>
                  <w:tcBorders>
                    <w:top w:val="single" w:color="auto" w:sz="12" w:space="0"/>
                    <w:right w:val="nil"/>
                  </w:tcBorders>
                  <w:vAlign w:val="center"/>
                </w:tcPr>
                <w:p w14:paraId="6C1B9274">
                  <w:pPr>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产生量（</w:t>
                  </w:r>
                  <w:r>
                    <w:rPr>
                      <w:rFonts w:hint="eastAsia" w:ascii="Times New Roman" w:hAnsi="Times New Roman" w:cs="Times New Roman"/>
                      <w:b/>
                      <w:bCs/>
                      <w:color w:val="auto"/>
                      <w:szCs w:val="21"/>
                      <w:highlight w:val="none"/>
                      <w:lang w:val="en-US" w:eastAsia="zh-CN"/>
                    </w:rPr>
                    <w:t>t</w:t>
                  </w:r>
                  <w:r>
                    <w:rPr>
                      <w:rFonts w:hint="eastAsia" w:ascii="Times New Roman" w:hAnsi="Times New Roman" w:cs="Times New Roman"/>
                      <w:b/>
                      <w:bCs/>
                      <w:color w:val="auto"/>
                      <w:szCs w:val="21"/>
                      <w:highlight w:val="none"/>
                    </w:rPr>
                    <w:t>/</w:t>
                  </w:r>
                  <w:r>
                    <w:rPr>
                      <w:rFonts w:hint="eastAsia" w:ascii="Times New Roman" w:hAnsi="Times New Roman" w:cs="Times New Roman"/>
                      <w:b/>
                      <w:bCs/>
                      <w:color w:val="auto"/>
                      <w:szCs w:val="21"/>
                      <w:highlight w:val="none"/>
                      <w:lang w:val="en-US" w:eastAsia="zh-CN"/>
                    </w:rPr>
                    <w:t>a</w:t>
                  </w:r>
                  <w:r>
                    <w:rPr>
                      <w:rFonts w:hint="eastAsia" w:ascii="Times New Roman" w:hAnsi="Times New Roman" w:cs="Times New Roman"/>
                      <w:b/>
                      <w:bCs/>
                      <w:color w:val="auto"/>
                      <w:szCs w:val="21"/>
                      <w:highlight w:val="none"/>
                    </w:rPr>
                    <w:t>）</w:t>
                  </w:r>
                </w:p>
              </w:tc>
            </w:tr>
            <w:tr w14:paraId="4367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tcBorders>
                    <w:left w:val="nil"/>
                  </w:tcBorders>
                  <w:vAlign w:val="center"/>
                </w:tcPr>
                <w:p w14:paraId="5B828FC8">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一般固废</w:t>
                  </w:r>
                </w:p>
              </w:tc>
              <w:tc>
                <w:tcPr>
                  <w:tcW w:w="1563" w:type="pct"/>
                  <w:vAlign w:val="center"/>
                </w:tcPr>
                <w:p w14:paraId="51D6D3B5">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实验室固体废物</w:t>
                  </w:r>
                </w:p>
              </w:tc>
              <w:tc>
                <w:tcPr>
                  <w:tcW w:w="1027" w:type="pct"/>
                  <w:vAlign w:val="center"/>
                </w:tcPr>
                <w:p w14:paraId="55B5FC40">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SW92 900-001-S92</w:t>
                  </w:r>
                </w:p>
              </w:tc>
              <w:tc>
                <w:tcPr>
                  <w:tcW w:w="814" w:type="pct"/>
                  <w:vAlign w:val="center"/>
                </w:tcPr>
                <w:p w14:paraId="69A4D233">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类比法</w:t>
                  </w:r>
                </w:p>
              </w:tc>
              <w:tc>
                <w:tcPr>
                  <w:tcW w:w="865" w:type="pct"/>
                  <w:tcBorders>
                    <w:right w:val="nil"/>
                  </w:tcBorders>
                  <w:vAlign w:val="center"/>
                </w:tcPr>
                <w:p w14:paraId="75010C04">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0.05</w:t>
                  </w:r>
                </w:p>
              </w:tc>
            </w:tr>
          </w:tbl>
          <w:p w14:paraId="3E5D4BC8">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lang w:val="en-US" w:eastAsia="zh-CN"/>
              </w:rPr>
              <w:t>2</w:t>
            </w: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rPr>
              <w:t>危险废物</w:t>
            </w:r>
          </w:p>
          <w:p w14:paraId="6D2F9867">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本项目危险废物包括</w:t>
            </w:r>
            <w:r>
              <w:rPr>
                <w:rFonts w:hint="eastAsia" w:ascii="Times New Roman" w:hAnsi="Times New Roman" w:cs="Times New Roman"/>
                <w:color w:val="auto"/>
                <w:sz w:val="24"/>
                <w:szCs w:val="24"/>
                <w:highlight w:val="none"/>
                <w:lang w:val="en-US" w:eastAsia="zh-CN"/>
              </w:rPr>
              <w:t>实验废液、化学品废包装容器</w:t>
            </w:r>
            <w:r>
              <w:rPr>
                <w:rFonts w:hint="eastAsia" w:ascii="Times New Roman" w:hAnsi="Times New Roman" w:cs="Times New Roman"/>
                <w:color w:val="auto"/>
                <w:sz w:val="24"/>
                <w:szCs w:val="24"/>
                <w:highlight w:val="none"/>
              </w:rPr>
              <w:t>。</w:t>
            </w:r>
          </w:p>
          <w:p w14:paraId="729FCDB2">
            <w:pPr>
              <w:spacing w:line="360" w:lineRule="auto"/>
              <w:ind w:firstLine="482" w:firstLineChars="200"/>
              <w:rPr>
                <w:rFonts w:hint="default" w:eastAsiaTheme="minorEastAsia"/>
                <w:b/>
                <w:bCs/>
                <w:color w:val="auto"/>
                <w:sz w:val="24"/>
                <w:szCs w:val="24"/>
                <w:highlight w:val="none"/>
                <w:lang w:val="en-US" w:eastAsia="zh-CN"/>
              </w:rPr>
            </w:pPr>
            <w:r>
              <w:rPr>
                <w:rFonts w:hint="eastAsia"/>
                <w:b/>
                <w:bCs/>
                <w:color w:val="auto"/>
                <w:sz w:val="24"/>
                <w:szCs w:val="24"/>
                <w:highlight w:val="none"/>
              </w:rPr>
              <w:t>①</w:t>
            </w:r>
            <w:r>
              <w:rPr>
                <w:rFonts w:hint="eastAsia"/>
                <w:b/>
                <w:bCs/>
                <w:color w:val="auto"/>
                <w:sz w:val="24"/>
                <w:szCs w:val="24"/>
                <w:highlight w:val="none"/>
                <w:lang w:val="en-US" w:eastAsia="zh-CN"/>
              </w:rPr>
              <w:t>实验废液</w:t>
            </w:r>
          </w:p>
          <w:p w14:paraId="7671E569">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包括一般液态失效试剂（废酸、废碱）、样品分析残液等，对于此类实验室废液应单独收集，严禁稀释外排或直接倾倒。该液体与实验器具第一次清洗废水一起收集，项目预计产生实验室废液量为</w:t>
            </w:r>
            <w:r>
              <w:rPr>
                <w:rFonts w:hint="eastAsia" w:ascii="Times New Roman" w:hAnsi="Times New Roman" w:cs="Times New Roman"/>
                <w:color w:val="auto"/>
                <w:sz w:val="24"/>
                <w:szCs w:val="24"/>
                <w:highlight w:val="none"/>
                <w:lang w:val="en-US" w:eastAsia="zh-CN"/>
              </w:rPr>
              <w:t>3.0134</w:t>
            </w:r>
            <w:r>
              <w:rPr>
                <w:rFonts w:hint="default" w:ascii="Times New Roman" w:hAnsi="Times New Roman" w:cs="Times New Roman" w:eastAsiaTheme="minorEastAsia"/>
                <w:color w:val="auto"/>
                <w:sz w:val="24"/>
                <w:szCs w:val="24"/>
                <w:highlight w:val="none"/>
                <w:lang w:val="en-US" w:eastAsia="zh-CN"/>
              </w:rPr>
              <w:t>t/a，该类废水属于《国家危险废物名录》（202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lang w:val="en-US" w:eastAsia="zh-CN"/>
              </w:rPr>
              <w:t>年版）废物类别HW49，废物代码900-047-49。</w:t>
            </w:r>
            <w:r>
              <w:rPr>
                <w:rFonts w:hint="eastAsia" w:ascii="Times New Roman" w:hAnsi="Times New Roman" w:cs="Times New Roman"/>
                <w:color w:val="auto"/>
                <w:sz w:val="24"/>
                <w:szCs w:val="24"/>
                <w:highlight w:val="none"/>
                <w:lang w:val="en-US" w:eastAsia="zh-CN"/>
              </w:rPr>
              <w:t>该类危险废物由带盖桶收集后暂存在危废暂存间内，定期由有危废资质单位运输处置。</w:t>
            </w:r>
          </w:p>
          <w:p w14:paraId="38B29F74">
            <w:pPr>
              <w:spacing w:line="360" w:lineRule="auto"/>
              <w:ind w:firstLine="482" w:firstLineChars="200"/>
              <w:rPr>
                <w:rFonts w:hint="default" w:ascii="Times New Roman" w:hAnsi="Times New Roman" w:cs="Times New Roman" w:eastAsiaTheme="minorEastAsia"/>
                <w:b/>
                <w:bCs/>
                <w:color w:val="auto"/>
                <w:sz w:val="24"/>
                <w:szCs w:val="24"/>
                <w:highlight w:val="none"/>
                <w:lang w:val="en-US" w:eastAsia="zh-CN"/>
              </w:rPr>
            </w:pPr>
            <w:r>
              <w:rPr>
                <w:rFonts w:ascii="Times New Roman" w:hAnsi="Times New Roman" w:cs="Times New Roman"/>
                <w:b/>
                <w:bCs/>
                <w:color w:val="auto"/>
                <w:sz w:val="24"/>
                <w:szCs w:val="24"/>
                <w:highlight w:val="none"/>
              </w:rPr>
              <w:t>②</w:t>
            </w:r>
            <w:r>
              <w:rPr>
                <w:rFonts w:hint="eastAsia" w:ascii="Times New Roman" w:hAnsi="Times New Roman" w:cs="Times New Roman"/>
                <w:b/>
                <w:bCs/>
                <w:color w:val="auto"/>
                <w:sz w:val="24"/>
                <w:szCs w:val="24"/>
                <w:highlight w:val="none"/>
                <w:lang w:val="en-US" w:eastAsia="zh-CN"/>
              </w:rPr>
              <w:t>化学品废包装容器</w:t>
            </w:r>
          </w:p>
          <w:p w14:paraId="45420065">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项目实验室中沾有危险化学品的容器，产生量约为0.1t/a。属于《国家危险废物名录》（202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lang w:val="en-US" w:eastAsia="zh-CN"/>
              </w:rPr>
              <w:t>年版）废物类别HW49，废物代码900-047-49。</w:t>
            </w:r>
            <w:r>
              <w:rPr>
                <w:rFonts w:hint="eastAsia" w:ascii="Times New Roman" w:hAnsi="Times New Roman" w:cs="Times New Roman"/>
                <w:color w:val="auto"/>
                <w:sz w:val="24"/>
                <w:szCs w:val="24"/>
                <w:highlight w:val="none"/>
                <w:lang w:val="en-US" w:eastAsia="zh-CN"/>
              </w:rPr>
              <w:t>该类危险废物收集后暂存在危废暂存间内，定期由有危废资质单位运输处置。</w:t>
            </w:r>
          </w:p>
          <w:p w14:paraId="77A73D9F">
            <w:pPr>
              <w:autoSpaceDE w:val="0"/>
              <w:autoSpaceDN w:val="0"/>
              <w:adjustRightInd w:val="0"/>
              <w:spacing w:line="360" w:lineRule="auto"/>
              <w:ind w:firstLine="480" w:firstLineChars="200"/>
              <w:rPr>
                <w:color w:val="auto"/>
                <w:sz w:val="24"/>
                <w:szCs w:val="24"/>
                <w:highlight w:val="none"/>
              </w:rPr>
            </w:pPr>
            <w:r>
              <w:rPr>
                <w:rFonts w:ascii="Times New Roman" w:hAnsi="Times New Roman" w:cs="Times New Roman"/>
                <w:color w:val="auto"/>
                <w:sz w:val="24"/>
                <w:szCs w:val="24"/>
                <w:highlight w:val="none"/>
              </w:rPr>
              <w:t>综上所</w:t>
            </w:r>
            <w:r>
              <w:rPr>
                <w:color w:val="auto"/>
                <w:sz w:val="24"/>
                <w:szCs w:val="24"/>
                <w:highlight w:val="none"/>
              </w:rPr>
              <w:t>述</w:t>
            </w:r>
            <w:r>
              <w:rPr>
                <w:rFonts w:hint="eastAsia"/>
                <w:color w:val="auto"/>
                <w:sz w:val="24"/>
                <w:szCs w:val="24"/>
                <w:highlight w:val="none"/>
              </w:rPr>
              <w:t>，</w:t>
            </w:r>
            <w:r>
              <w:rPr>
                <w:color w:val="auto"/>
                <w:sz w:val="24"/>
                <w:szCs w:val="24"/>
                <w:highlight w:val="none"/>
              </w:rPr>
              <w:t>本项目营运期危险废物产生情况如下表所示</w:t>
            </w:r>
            <w:r>
              <w:rPr>
                <w:rFonts w:hint="eastAsia"/>
                <w:color w:val="auto"/>
                <w:sz w:val="24"/>
                <w:szCs w:val="24"/>
                <w:highlight w:val="none"/>
              </w:rPr>
              <w:t>。</w:t>
            </w:r>
          </w:p>
          <w:p w14:paraId="3AF9DA09">
            <w:pPr>
              <w:pStyle w:val="117"/>
              <w:bidi w:val="0"/>
              <w:rPr>
                <w:color w:val="auto"/>
              </w:rPr>
            </w:pPr>
            <w:r>
              <w:rPr>
                <w:color w:val="auto"/>
              </w:rPr>
              <w:t>本项目危险废物产生情况一览表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1978"/>
              <w:gridCol w:w="1002"/>
              <w:gridCol w:w="1595"/>
              <w:gridCol w:w="706"/>
              <w:gridCol w:w="1168"/>
              <w:gridCol w:w="944"/>
            </w:tblGrid>
            <w:tr w14:paraId="40877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7" w:type="pct"/>
                  <w:vMerge w:val="restart"/>
                  <w:tcBorders>
                    <w:tl2br w:val="nil"/>
                    <w:tr2bl w:val="nil"/>
                  </w:tcBorders>
                  <w:vAlign w:val="center"/>
                </w:tcPr>
                <w:p w14:paraId="26455F1E">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产生源</w:t>
                  </w:r>
                </w:p>
              </w:tc>
              <w:tc>
                <w:tcPr>
                  <w:tcW w:w="1121" w:type="pct"/>
                  <w:vMerge w:val="restart"/>
                  <w:tcBorders>
                    <w:tl2br w:val="nil"/>
                    <w:tr2bl w:val="nil"/>
                  </w:tcBorders>
                  <w:vAlign w:val="center"/>
                </w:tcPr>
                <w:p w14:paraId="5AD1B0B6">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固体废物名称</w:t>
                  </w:r>
                </w:p>
              </w:tc>
              <w:tc>
                <w:tcPr>
                  <w:tcW w:w="1472" w:type="pct"/>
                  <w:gridSpan w:val="2"/>
                  <w:vMerge w:val="restart"/>
                  <w:tcBorders>
                    <w:tl2br w:val="nil"/>
                    <w:tr2bl w:val="nil"/>
                  </w:tcBorders>
                  <w:vAlign w:val="center"/>
                </w:tcPr>
                <w:p w14:paraId="015B5A75">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编号及代码</w:t>
                  </w:r>
                </w:p>
              </w:tc>
              <w:tc>
                <w:tcPr>
                  <w:tcW w:w="400" w:type="pct"/>
                  <w:vMerge w:val="restart"/>
                  <w:tcBorders>
                    <w:tl2br w:val="nil"/>
                    <w:tr2bl w:val="nil"/>
                  </w:tcBorders>
                  <w:vAlign w:val="center"/>
                </w:tcPr>
                <w:p w14:paraId="7E442A7F">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固废属性</w:t>
                  </w:r>
                </w:p>
              </w:tc>
              <w:tc>
                <w:tcPr>
                  <w:tcW w:w="1197" w:type="pct"/>
                  <w:gridSpan w:val="2"/>
                  <w:tcBorders>
                    <w:tl2br w:val="nil"/>
                    <w:tr2bl w:val="nil"/>
                  </w:tcBorders>
                  <w:vAlign w:val="center"/>
                </w:tcPr>
                <w:p w14:paraId="72283B54">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产生量</w:t>
                  </w:r>
                </w:p>
              </w:tc>
            </w:tr>
            <w:tr w14:paraId="3A0A9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7" w:type="pct"/>
                  <w:vMerge w:val="continue"/>
                  <w:tcBorders>
                    <w:tl2br w:val="nil"/>
                    <w:tr2bl w:val="nil"/>
                  </w:tcBorders>
                  <w:vAlign w:val="center"/>
                </w:tcPr>
                <w:p w14:paraId="681412E1">
                  <w:pPr>
                    <w:jc w:val="center"/>
                    <w:rPr>
                      <w:rFonts w:ascii="Times New Roman" w:hAnsi="Times New Roman" w:cs="Times New Roman"/>
                      <w:b/>
                      <w:bCs/>
                      <w:color w:val="auto"/>
                      <w:szCs w:val="21"/>
                      <w:highlight w:val="none"/>
                    </w:rPr>
                  </w:pPr>
                </w:p>
              </w:tc>
              <w:tc>
                <w:tcPr>
                  <w:tcW w:w="1121" w:type="pct"/>
                  <w:vMerge w:val="continue"/>
                  <w:tcBorders>
                    <w:tl2br w:val="nil"/>
                    <w:tr2bl w:val="nil"/>
                  </w:tcBorders>
                  <w:vAlign w:val="center"/>
                </w:tcPr>
                <w:p w14:paraId="1DA26837">
                  <w:pPr>
                    <w:jc w:val="center"/>
                    <w:rPr>
                      <w:rFonts w:ascii="Times New Roman" w:hAnsi="Times New Roman" w:cs="Times New Roman"/>
                      <w:b/>
                      <w:bCs/>
                      <w:color w:val="auto"/>
                      <w:szCs w:val="21"/>
                      <w:highlight w:val="none"/>
                    </w:rPr>
                  </w:pPr>
                </w:p>
              </w:tc>
              <w:tc>
                <w:tcPr>
                  <w:tcW w:w="1472" w:type="pct"/>
                  <w:gridSpan w:val="2"/>
                  <w:vMerge w:val="continue"/>
                  <w:tcBorders>
                    <w:tl2br w:val="nil"/>
                    <w:tr2bl w:val="nil"/>
                  </w:tcBorders>
                  <w:vAlign w:val="center"/>
                </w:tcPr>
                <w:p w14:paraId="13D2A55A">
                  <w:pPr>
                    <w:jc w:val="center"/>
                    <w:rPr>
                      <w:rFonts w:ascii="Times New Roman" w:hAnsi="Times New Roman" w:cs="Times New Roman"/>
                      <w:b/>
                      <w:bCs/>
                      <w:color w:val="auto"/>
                      <w:szCs w:val="21"/>
                      <w:highlight w:val="none"/>
                    </w:rPr>
                  </w:pPr>
                </w:p>
              </w:tc>
              <w:tc>
                <w:tcPr>
                  <w:tcW w:w="400" w:type="pct"/>
                  <w:vMerge w:val="continue"/>
                  <w:tcBorders>
                    <w:tl2br w:val="nil"/>
                    <w:tr2bl w:val="nil"/>
                  </w:tcBorders>
                  <w:vAlign w:val="center"/>
                </w:tcPr>
                <w:p w14:paraId="7BE64FED">
                  <w:pPr>
                    <w:jc w:val="center"/>
                    <w:rPr>
                      <w:rFonts w:ascii="Times New Roman" w:hAnsi="Times New Roman" w:cs="Times New Roman"/>
                      <w:b/>
                      <w:bCs/>
                      <w:color w:val="auto"/>
                      <w:szCs w:val="21"/>
                      <w:highlight w:val="none"/>
                    </w:rPr>
                  </w:pPr>
                </w:p>
              </w:tc>
              <w:tc>
                <w:tcPr>
                  <w:tcW w:w="662" w:type="pct"/>
                  <w:tcBorders>
                    <w:tl2br w:val="nil"/>
                    <w:tr2bl w:val="nil"/>
                  </w:tcBorders>
                  <w:vAlign w:val="center"/>
                </w:tcPr>
                <w:p w14:paraId="288E9C63">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核算方法</w:t>
                  </w:r>
                </w:p>
              </w:tc>
              <w:tc>
                <w:tcPr>
                  <w:tcW w:w="535" w:type="pct"/>
                  <w:tcBorders>
                    <w:tl2br w:val="nil"/>
                    <w:tr2bl w:val="nil"/>
                  </w:tcBorders>
                  <w:vAlign w:val="center"/>
                </w:tcPr>
                <w:p w14:paraId="38969BD2">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t/a</w:t>
                  </w:r>
                </w:p>
              </w:tc>
            </w:tr>
            <w:tr w14:paraId="10C8D0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7" w:type="pct"/>
                  <w:vMerge w:val="restart"/>
                  <w:tcBorders>
                    <w:tl2br w:val="nil"/>
                    <w:tr2bl w:val="nil"/>
                  </w:tcBorders>
                  <w:vAlign w:val="center"/>
                </w:tcPr>
                <w:p w14:paraId="352A5D74">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sz w:val="21"/>
                      <w:szCs w:val="21"/>
                      <w:lang w:val="en-US" w:eastAsia="zh-CN"/>
                    </w:rPr>
                    <w:t>化学实验室</w:t>
                  </w:r>
                </w:p>
              </w:tc>
              <w:tc>
                <w:tcPr>
                  <w:tcW w:w="1121" w:type="pct"/>
                  <w:tcBorders>
                    <w:tl2br w:val="nil"/>
                    <w:tr2bl w:val="nil"/>
                  </w:tcBorders>
                  <w:vAlign w:val="center"/>
                </w:tcPr>
                <w:p w14:paraId="3A46B077">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sz w:val="21"/>
                      <w:szCs w:val="21"/>
                      <w:lang w:val="en-US" w:eastAsia="zh-CN"/>
                    </w:rPr>
                    <w:t>实验废液</w:t>
                  </w:r>
                </w:p>
              </w:tc>
              <w:tc>
                <w:tcPr>
                  <w:tcW w:w="568" w:type="pct"/>
                  <w:tcBorders>
                    <w:tl2br w:val="nil"/>
                    <w:tr2bl w:val="nil"/>
                  </w:tcBorders>
                  <w:vAlign w:val="center"/>
                </w:tcPr>
                <w:p w14:paraId="66740C3E">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HW49</w:t>
                  </w:r>
                </w:p>
              </w:tc>
              <w:tc>
                <w:tcPr>
                  <w:tcW w:w="904" w:type="pct"/>
                  <w:tcBorders>
                    <w:tl2br w:val="nil"/>
                    <w:tr2bl w:val="nil"/>
                  </w:tcBorders>
                  <w:vAlign w:val="center"/>
                </w:tcPr>
                <w:p w14:paraId="6DC68EAD">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900-047-049</w:t>
                  </w:r>
                </w:p>
              </w:tc>
              <w:tc>
                <w:tcPr>
                  <w:tcW w:w="400" w:type="pct"/>
                  <w:vMerge w:val="restart"/>
                  <w:tcBorders>
                    <w:tl2br w:val="nil"/>
                    <w:tr2bl w:val="nil"/>
                  </w:tcBorders>
                  <w:vAlign w:val="center"/>
                </w:tcPr>
                <w:p w14:paraId="3CDEDFAE">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危险废物</w:t>
                  </w:r>
                </w:p>
              </w:tc>
              <w:tc>
                <w:tcPr>
                  <w:tcW w:w="662" w:type="pct"/>
                  <w:tcBorders>
                    <w:tl2br w:val="nil"/>
                    <w:tr2bl w:val="nil"/>
                  </w:tcBorders>
                  <w:vAlign w:val="center"/>
                </w:tcPr>
                <w:p w14:paraId="262CB1ED">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系数法</w:t>
                  </w:r>
                </w:p>
              </w:tc>
              <w:tc>
                <w:tcPr>
                  <w:tcW w:w="535" w:type="pct"/>
                  <w:tcBorders>
                    <w:tl2br w:val="nil"/>
                    <w:tr2bl w:val="nil"/>
                  </w:tcBorders>
                  <w:vAlign w:val="center"/>
                </w:tcPr>
                <w:p w14:paraId="7FA7FE2C">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3.0134</w:t>
                  </w:r>
                </w:p>
              </w:tc>
            </w:tr>
            <w:tr w14:paraId="18373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07" w:type="pct"/>
                  <w:vMerge w:val="continue"/>
                  <w:tcBorders>
                    <w:tl2br w:val="nil"/>
                    <w:tr2bl w:val="nil"/>
                  </w:tcBorders>
                  <w:vAlign w:val="center"/>
                </w:tcPr>
                <w:p w14:paraId="0EEB8AF8">
                  <w:pPr>
                    <w:jc w:val="center"/>
                    <w:rPr>
                      <w:rFonts w:ascii="Times New Roman" w:hAnsi="Times New Roman" w:cs="Times New Roman"/>
                      <w:color w:val="auto"/>
                      <w:szCs w:val="21"/>
                      <w:highlight w:val="none"/>
                    </w:rPr>
                  </w:pPr>
                </w:p>
              </w:tc>
              <w:tc>
                <w:tcPr>
                  <w:tcW w:w="1121" w:type="pct"/>
                  <w:tcBorders>
                    <w:tl2br w:val="nil"/>
                    <w:tr2bl w:val="nil"/>
                  </w:tcBorders>
                  <w:vAlign w:val="center"/>
                </w:tcPr>
                <w:p w14:paraId="3351AD95">
                  <w:pPr>
                    <w:jc w:val="center"/>
                    <w:rPr>
                      <w:rFonts w:ascii="Times New Roman" w:hAnsi="Times New Roman" w:cs="Times New Roman"/>
                      <w:color w:val="auto"/>
                      <w:szCs w:val="21"/>
                      <w:highlight w:val="none"/>
                    </w:rPr>
                  </w:pPr>
                  <w:r>
                    <w:rPr>
                      <w:rFonts w:hint="default" w:ascii="Times New Roman" w:hAnsi="Times New Roman" w:eastAsia="宋体" w:cs="Times New Roman"/>
                      <w:color w:val="auto"/>
                      <w:szCs w:val="21"/>
                      <w:lang w:val="en-US" w:eastAsia="zh-CN"/>
                    </w:rPr>
                    <w:t>化学品废包装容器</w:t>
                  </w:r>
                </w:p>
              </w:tc>
              <w:tc>
                <w:tcPr>
                  <w:tcW w:w="568" w:type="pct"/>
                  <w:tcBorders>
                    <w:tl2br w:val="nil"/>
                    <w:tr2bl w:val="nil"/>
                  </w:tcBorders>
                  <w:vAlign w:val="center"/>
                </w:tcPr>
                <w:p w14:paraId="031C7911">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HW49</w:t>
                  </w:r>
                </w:p>
              </w:tc>
              <w:tc>
                <w:tcPr>
                  <w:tcW w:w="904" w:type="pct"/>
                  <w:tcBorders>
                    <w:tl2br w:val="nil"/>
                    <w:tr2bl w:val="nil"/>
                  </w:tcBorders>
                  <w:vAlign w:val="center"/>
                </w:tcPr>
                <w:p w14:paraId="1D40DEF2">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900-047-049</w:t>
                  </w:r>
                </w:p>
              </w:tc>
              <w:tc>
                <w:tcPr>
                  <w:tcW w:w="400" w:type="pct"/>
                  <w:vMerge w:val="continue"/>
                  <w:tcBorders>
                    <w:tl2br w:val="nil"/>
                    <w:tr2bl w:val="nil"/>
                  </w:tcBorders>
                  <w:vAlign w:val="center"/>
                </w:tcPr>
                <w:p w14:paraId="7B6B1861">
                  <w:pPr>
                    <w:jc w:val="center"/>
                    <w:rPr>
                      <w:rFonts w:ascii="Times New Roman" w:hAnsi="Times New Roman" w:cs="Times New Roman"/>
                      <w:color w:val="auto"/>
                      <w:szCs w:val="21"/>
                      <w:highlight w:val="none"/>
                    </w:rPr>
                  </w:pPr>
                </w:p>
              </w:tc>
              <w:tc>
                <w:tcPr>
                  <w:tcW w:w="662" w:type="pct"/>
                  <w:tcBorders>
                    <w:tl2br w:val="nil"/>
                    <w:tr2bl w:val="nil"/>
                  </w:tcBorders>
                  <w:vAlign w:val="center"/>
                </w:tcPr>
                <w:p w14:paraId="0E89A859">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类比法</w:t>
                  </w:r>
                </w:p>
              </w:tc>
              <w:tc>
                <w:tcPr>
                  <w:tcW w:w="535" w:type="pct"/>
                  <w:tcBorders>
                    <w:tl2br w:val="nil"/>
                    <w:tr2bl w:val="nil"/>
                  </w:tcBorders>
                  <w:vAlign w:val="center"/>
                </w:tcPr>
                <w:p w14:paraId="0EC17771">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0.1</w:t>
                  </w:r>
                </w:p>
              </w:tc>
            </w:tr>
          </w:tbl>
          <w:p w14:paraId="638A8C13">
            <w:pPr>
              <w:autoSpaceDE w:val="0"/>
              <w:autoSpaceDN w:val="0"/>
              <w:adjustRightIn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本项目危险废物处置情况详见下表所示。</w:t>
            </w:r>
          </w:p>
          <w:p w14:paraId="2D92DE92">
            <w:pPr>
              <w:pStyle w:val="117"/>
              <w:bidi w:val="0"/>
              <w:rPr>
                <w:color w:val="auto"/>
              </w:rPr>
            </w:pPr>
            <w:r>
              <w:rPr>
                <w:color w:val="auto"/>
              </w:rPr>
              <w:t>营运期危险废物处置情况一览表</w:t>
            </w:r>
          </w:p>
          <w:tbl>
            <w:tblPr>
              <w:tblStyle w:val="40"/>
              <w:tblW w:w="492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978"/>
              <w:gridCol w:w="769"/>
              <w:gridCol w:w="849"/>
              <w:gridCol w:w="1049"/>
              <w:gridCol w:w="2707"/>
            </w:tblGrid>
            <w:tr w14:paraId="58EDA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70" w:type="pct"/>
                  <w:vMerge w:val="restart"/>
                  <w:tcBorders>
                    <w:tl2br w:val="nil"/>
                    <w:tr2bl w:val="nil"/>
                  </w:tcBorders>
                  <w:vAlign w:val="center"/>
                </w:tcPr>
                <w:p w14:paraId="02BE7E5F">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产生源</w:t>
                  </w:r>
                </w:p>
              </w:tc>
              <w:tc>
                <w:tcPr>
                  <w:tcW w:w="1137" w:type="pct"/>
                  <w:vMerge w:val="restart"/>
                  <w:tcBorders>
                    <w:tl2br w:val="nil"/>
                    <w:tr2bl w:val="nil"/>
                  </w:tcBorders>
                  <w:vAlign w:val="center"/>
                </w:tcPr>
                <w:p w14:paraId="50F7576B">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固体废物名称</w:t>
                  </w:r>
                </w:p>
              </w:tc>
              <w:tc>
                <w:tcPr>
                  <w:tcW w:w="442" w:type="pct"/>
                  <w:vMerge w:val="restart"/>
                  <w:tcBorders>
                    <w:tl2br w:val="nil"/>
                    <w:tr2bl w:val="nil"/>
                  </w:tcBorders>
                  <w:vAlign w:val="center"/>
                </w:tcPr>
                <w:p w14:paraId="2F511E1D">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固废属性</w:t>
                  </w:r>
                </w:p>
              </w:tc>
              <w:tc>
                <w:tcPr>
                  <w:tcW w:w="1091" w:type="pct"/>
                  <w:gridSpan w:val="2"/>
                  <w:tcBorders>
                    <w:tl2br w:val="nil"/>
                    <w:tr2bl w:val="nil"/>
                  </w:tcBorders>
                  <w:vAlign w:val="center"/>
                </w:tcPr>
                <w:p w14:paraId="6D476763">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处置措施</w:t>
                  </w:r>
                </w:p>
              </w:tc>
              <w:tc>
                <w:tcPr>
                  <w:tcW w:w="1556" w:type="pct"/>
                  <w:vMerge w:val="restart"/>
                  <w:tcBorders>
                    <w:tl2br w:val="nil"/>
                    <w:tr2bl w:val="nil"/>
                  </w:tcBorders>
                  <w:vAlign w:val="center"/>
                </w:tcPr>
                <w:p w14:paraId="02C08ADA">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最终去向</w:t>
                  </w:r>
                </w:p>
              </w:tc>
            </w:tr>
            <w:tr w14:paraId="46AEC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tblHeader/>
                <w:jc w:val="center"/>
              </w:trPr>
              <w:tc>
                <w:tcPr>
                  <w:tcW w:w="770" w:type="pct"/>
                  <w:vMerge w:val="continue"/>
                  <w:tcBorders>
                    <w:tl2br w:val="nil"/>
                    <w:tr2bl w:val="nil"/>
                  </w:tcBorders>
                  <w:vAlign w:val="center"/>
                </w:tcPr>
                <w:p w14:paraId="72CAFF6A">
                  <w:pPr>
                    <w:jc w:val="center"/>
                    <w:rPr>
                      <w:rFonts w:ascii="Times New Roman" w:hAnsi="Times New Roman" w:cs="Times New Roman"/>
                      <w:b/>
                      <w:color w:val="auto"/>
                      <w:szCs w:val="21"/>
                      <w:highlight w:val="none"/>
                    </w:rPr>
                  </w:pPr>
                </w:p>
              </w:tc>
              <w:tc>
                <w:tcPr>
                  <w:tcW w:w="1137" w:type="pct"/>
                  <w:vMerge w:val="continue"/>
                  <w:tcBorders>
                    <w:tl2br w:val="nil"/>
                    <w:tr2bl w:val="nil"/>
                  </w:tcBorders>
                  <w:vAlign w:val="center"/>
                </w:tcPr>
                <w:p w14:paraId="401588DC">
                  <w:pPr>
                    <w:jc w:val="center"/>
                    <w:rPr>
                      <w:rFonts w:ascii="Times New Roman" w:hAnsi="Times New Roman" w:cs="Times New Roman"/>
                      <w:b/>
                      <w:color w:val="auto"/>
                      <w:szCs w:val="21"/>
                      <w:highlight w:val="none"/>
                    </w:rPr>
                  </w:pPr>
                </w:p>
              </w:tc>
              <w:tc>
                <w:tcPr>
                  <w:tcW w:w="442" w:type="pct"/>
                  <w:vMerge w:val="continue"/>
                  <w:tcBorders>
                    <w:tl2br w:val="nil"/>
                    <w:tr2bl w:val="nil"/>
                  </w:tcBorders>
                  <w:vAlign w:val="center"/>
                </w:tcPr>
                <w:p w14:paraId="77329585">
                  <w:pPr>
                    <w:jc w:val="center"/>
                    <w:rPr>
                      <w:rFonts w:ascii="Times New Roman" w:hAnsi="Times New Roman" w:cs="Times New Roman"/>
                      <w:b/>
                      <w:color w:val="auto"/>
                      <w:szCs w:val="21"/>
                      <w:highlight w:val="none"/>
                    </w:rPr>
                  </w:pPr>
                </w:p>
              </w:tc>
              <w:tc>
                <w:tcPr>
                  <w:tcW w:w="488" w:type="pct"/>
                  <w:tcBorders>
                    <w:tl2br w:val="nil"/>
                    <w:tr2bl w:val="nil"/>
                  </w:tcBorders>
                  <w:vAlign w:val="center"/>
                </w:tcPr>
                <w:p w14:paraId="4AC970D6">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工艺</w:t>
                  </w:r>
                </w:p>
              </w:tc>
              <w:tc>
                <w:tcPr>
                  <w:tcW w:w="603" w:type="pct"/>
                  <w:tcBorders>
                    <w:tl2br w:val="nil"/>
                    <w:tr2bl w:val="nil"/>
                  </w:tcBorders>
                  <w:vAlign w:val="center"/>
                </w:tcPr>
                <w:p w14:paraId="3A9FC606">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处置量（t</w:t>
                  </w:r>
                  <w:r>
                    <w:rPr>
                      <w:rFonts w:hint="eastAsia" w:ascii="Times New Roman" w:hAnsi="Times New Roman" w:cs="Times New Roman"/>
                      <w:b/>
                      <w:color w:val="auto"/>
                      <w:szCs w:val="21"/>
                      <w:highlight w:val="none"/>
                    </w:rPr>
                    <w:t>/a</w:t>
                  </w:r>
                  <w:r>
                    <w:rPr>
                      <w:rFonts w:ascii="Times New Roman" w:hAnsi="Times New Roman" w:cs="Times New Roman"/>
                      <w:b/>
                      <w:color w:val="auto"/>
                      <w:szCs w:val="21"/>
                      <w:highlight w:val="none"/>
                    </w:rPr>
                    <w:t>）</w:t>
                  </w:r>
                </w:p>
              </w:tc>
              <w:tc>
                <w:tcPr>
                  <w:tcW w:w="1556" w:type="pct"/>
                  <w:vMerge w:val="continue"/>
                  <w:tcBorders>
                    <w:tl2br w:val="nil"/>
                    <w:tr2bl w:val="nil"/>
                  </w:tcBorders>
                  <w:vAlign w:val="center"/>
                </w:tcPr>
                <w:p w14:paraId="3A761EDB">
                  <w:pPr>
                    <w:jc w:val="center"/>
                    <w:rPr>
                      <w:rFonts w:ascii="Times New Roman" w:hAnsi="Times New Roman" w:cs="Times New Roman"/>
                      <w:color w:val="auto"/>
                      <w:szCs w:val="21"/>
                      <w:highlight w:val="none"/>
                    </w:rPr>
                  </w:pPr>
                </w:p>
              </w:tc>
            </w:tr>
            <w:tr w14:paraId="1DDBA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70" w:type="pct"/>
                  <w:vMerge w:val="restart"/>
                  <w:tcBorders>
                    <w:tl2br w:val="nil"/>
                    <w:tr2bl w:val="nil"/>
                  </w:tcBorders>
                  <w:vAlign w:val="center"/>
                </w:tcPr>
                <w:p w14:paraId="5BF78F4D">
                  <w:pPr>
                    <w:jc w:val="center"/>
                    <w:rPr>
                      <w:rFonts w:hint="eastAsia" w:ascii="Times New Roman" w:hAnsi="Times New Roman" w:cs="Times New Roman" w:eastAsiaTheme="minorEastAsia"/>
                      <w:color w:val="auto"/>
                      <w:szCs w:val="21"/>
                      <w:highlight w:val="none"/>
                      <w:lang w:eastAsia="zh-CN"/>
                    </w:rPr>
                  </w:pPr>
                  <w:r>
                    <w:rPr>
                      <w:rFonts w:hint="eastAsia" w:ascii="Times New Roman" w:hAnsi="Times New Roman" w:cs="Times New Roman"/>
                      <w:color w:val="auto"/>
                      <w:szCs w:val="21"/>
                      <w:highlight w:val="none"/>
                      <w:lang w:val="en-US" w:eastAsia="zh-CN"/>
                    </w:rPr>
                    <w:t>化学实验室</w:t>
                  </w:r>
                </w:p>
              </w:tc>
              <w:tc>
                <w:tcPr>
                  <w:tcW w:w="1137" w:type="pct"/>
                  <w:tcBorders>
                    <w:tl2br w:val="nil"/>
                    <w:tr2bl w:val="nil"/>
                  </w:tcBorders>
                  <w:vAlign w:val="center"/>
                </w:tcPr>
                <w:p w14:paraId="196BD3A5">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sz w:val="21"/>
                      <w:szCs w:val="21"/>
                      <w:lang w:val="en-US" w:eastAsia="zh-CN"/>
                    </w:rPr>
                    <w:t>实验废液</w:t>
                  </w:r>
                </w:p>
              </w:tc>
              <w:tc>
                <w:tcPr>
                  <w:tcW w:w="442" w:type="pct"/>
                  <w:vMerge w:val="restart"/>
                  <w:tcBorders>
                    <w:tl2br w:val="nil"/>
                    <w:tr2bl w:val="nil"/>
                  </w:tcBorders>
                  <w:vAlign w:val="center"/>
                </w:tcPr>
                <w:p w14:paraId="07E27E7D">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危险固废</w:t>
                  </w:r>
                </w:p>
              </w:tc>
              <w:tc>
                <w:tcPr>
                  <w:tcW w:w="488" w:type="pct"/>
                  <w:vMerge w:val="restart"/>
                  <w:tcBorders>
                    <w:tl2br w:val="nil"/>
                    <w:tr2bl w:val="nil"/>
                  </w:tcBorders>
                  <w:vAlign w:val="center"/>
                </w:tcPr>
                <w:p w14:paraId="4504DFEE">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委托</w:t>
                  </w:r>
                </w:p>
                <w:p w14:paraId="1334FBC5">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处置</w:t>
                  </w:r>
                </w:p>
              </w:tc>
              <w:tc>
                <w:tcPr>
                  <w:tcW w:w="603" w:type="pct"/>
                  <w:tcBorders>
                    <w:tl2br w:val="nil"/>
                    <w:tr2bl w:val="nil"/>
                  </w:tcBorders>
                  <w:vAlign w:val="center"/>
                </w:tcPr>
                <w:p w14:paraId="18937CEB">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3.0134</w:t>
                  </w:r>
                </w:p>
              </w:tc>
              <w:tc>
                <w:tcPr>
                  <w:tcW w:w="1556" w:type="pct"/>
                  <w:vMerge w:val="restart"/>
                  <w:tcBorders>
                    <w:tl2br w:val="nil"/>
                    <w:tr2bl w:val="nil"/>
                  </w:tcBorders>
                  <w:vAlign w:val="center"/>
                </w:tcPr>
                <w:p w14:paraId="3365312C">
                  <w:pPr>
                    <w:wordWrap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该类危险废物收集后暂存在危废暂存间内，定期由有危废资质单位运输处置。</w:t>
                  </w:r>
                </w:p>
              </w:tc>
            </w:tr>
            <w:tr w14:paraId="34391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tcBorders>
                    <w:tl2br w:val="nil"/>
                    <w:tr2bl w:val="nil"/>
                  </w:tcBorders>
                  <w:vAlign w:val="center"/>
                </w:tcPr>
                <w:p w14:paraId="49822781">
                  <w:pPr>
                    <w:jc w:val="center"/>
                    <w:rPr>
                      <w:rFonts w:ascii="Times New Roman" w:hAnsi="Times New Roman" w:cs="Times New Roman"/>
                      <w:color w:val="auto"/>
                      <w:szCs w:val="21"/>
                      <w:highlight w:val="none"/>
                    </w:rPr>
                  </w:pPr>
                </w:p>
              </w:tc>
              <w:tc>
                <w:tcPr>
                  <w:tcW w:w="1137" w:type="pct"/>
                  <w:tcBorders>
                    <w:tl2br w:val="nil"/>
                    <w:tr2bl w:val="nil"/>
                  </w:tcBorders>
                  <w:vAlign w:val="center"/>
                </w:tcPr>
                <w:p w14:paraId="2886DF9D">
                  <w:pPr>
                    <w:jc w:val="center"/>
                    <w:rPr>
                      <w:rFonts w:ascii="Times New Roman" w:hAnsi="Times New Roman" w:cs="Times New Roman"/>
                      <w:color w:val="auto"/>
                      <w:szCs w:val="21"/>
                      <w:highlight w:val="none"/>
                    </w:rPr>
                  </w:pPr>
                  <w:r>
                    <w:rPr>
                      <w:rFonts w:hint="default" w:ascii="Times New Roman" w:hAnsi="Times New Roman" w:eastAsia="宋体" w:cs="Times New Roman"/>
                      <w:color w:val="auto"/>
                      <w:szCs w:val="21"/>
                      <w:lang w:val="en-US" w:eastAsia="zh-CN"/>
                    </w:rPr>
                    <w:t>化学品废包装容器</w:t>
                  </w:r>
                </w:p>
              </w:tc>
              <w:tc>
                <w:tcPr>
                  <w:tcW w:w="442" w:type="pct"/>
                  <w:vMerge w:val="continue"/>
                  <w:tcBorders>
                    <w:tl2br w:val="nil"/>
                    <w:tr2bl w:val="nil"/>
                  </w:tcBorders>
                  <w:vAlign w:val="center"/>
                </w:tcPr>
                <w:p w14:paraId="528346A0">
                  <w:pPr>
                    <w:jc w:val="center"/>
                    <w:rPr>
                      <w:rFonts w:ascii="Times New Roman" w:hAnsi="Times New Roman" w:cs="Times New Roman"/>
                      <w:color w:val="auto"/>
                      <w:szCs w:val="21"/>
                      <w:highlight w:val="none"/>
                    </w:rPr>
                  </w:pPr>
                </w:p>
              </w:tc>
              <w:tc>
                <w:tcPr>
                  <w:tcW w:w="488" w:type="pct"/>
                  <w:vMerge w:val="continue"/>
                  <w:tcBorders>
                    <w:tl2br w:val="nil"/>
                    <w:tr2bl w:val="nil"/>
                  </w:tcBorders>
                  <w:vAlign w:val="center"/>
                </w:tcPr>
                <w:p w14:paraId="01CC84BB">
                  <w:pPr>
                    <w:jc w:val="center"/>
                    <w:rPr>
                      <w:rFonts w:ascii="Times New Roman" w:hAnsi="Times New Roman" w:cs="Times New Roman"/>
                      <w:color w:val="auto"/>
                      <w:szCs w:val="21"/>
                      <w:highlight w:val="none"/>
                    </w:rPr>
                  </w:pPr>
                </w:p>
              </w:tc>
              <w:tc>
                <w:tcPr>
                  <w:tcW w:w="603" w:type="pct"/>
                  <w:tcBorders>
                    <w:tl2br w:val="nil"/>
                    <w:tr2bl w:val="nil"/>
                  </w:tcBorders>
                  <w:vAlign w:val="center"/>
                </w:tcPr>
                <w:p w14:paraId="0036C060">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0.1</w:t>
                  </w:r>
                </w:p>
              </w:tc>
              <w:tc>
                <w:tcPr>
                  <w:tcW w:w="1556" w:type="pct"/>
                  <w:vMerge w:val="continue"/>
                  <w:tcBorders>
                    <w:tl2br w:val="nil"/>
                    <w:tr2bl w:val="nil"/>
                  </w:tcBorders>
                  <w:vAlign w:val="center"/>
                </w:tcPr>
                <w:p w14:paraId="0C735CD3">
                  <w:pPr>
                    <w:jc w:val="center"/>
                    <w:rPr>
                      <w:rFonts w:ascii="Times New Roman" w:hAnsi="Times New Roman" w:cs="Times New Roman"/>
                      <w:color w:val="auto"/>
                      <w:szCs w:val="21"/>
                      <w:highlight w:val="none"/>
                    </w:rPr>
                  </w:pPr>
                </w:p>
              </w:tc>
            </w:tr>
          </w:tbl>
          <w:p w14:paraId="4A436BC1">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（2）固体废物环境影响分析</w:t>
            </w:r>
          </w:p>
          <w:p w14:paraId="1FA5E057">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1）危险废物贮存、转移过程环境影响分析</w:t>
            </w:r>
          </w:p>
          <w:p w14:paraId="2FA95995">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1 \* GB3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color w:val="auto"/>
              </w:rPr>
              <w:t>①</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污染影响途径分析</w:t>
            </w:r>
          </w:p>
          <w:p w14:paraId="4A0E0D06">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危险废物从厂区内产生工艺环节运输到贮存场所过程中以及贮存期间，存在散落、泄漏、挥发等情形。 </w:t>
            </w:r>
          </w:p>
          <w:p w14:paraId="0E07D217">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危险废物散落、泄漏若未能及时收集处置，则有可能进入雨水系统进而污染周边地表水，或下渗进入地下污染土壤和地下水；另外，危险废物挥发则会导致周边大气环境受到一定影响。 </w:t>
            </w:r>
          </w:p>
          <w:p w14:paraId="00EA2D23">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2 \* GB3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color w:val="auto"/>
              </w:rPr>
              <w:t>②</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 xml:space="preserve">污染影响分析 </w:t>
            </w:r>
          </w:p>
          <w:p w14:paraId="1E4094CB">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根据本项目总平面布置，项目各危废产生点至</w:t>
            </w:r>
            <w:r>
              <w:rPr>
                <w:rFonts w:hint="default" w:ascii="Times New Roman" w:hAnsi="Times New Roman" w:cs="Times New Roman"/>
                <w:bCs/>
                <w:color w:val="auto"/>
                <w:sz w:val="24"/>
                <w:lang w:eastAsia="zh-CN"/>
              </w:rPr>
              <w:t>危废暂存间</w:t>
            </w:r>
            <w:r>
              <w:rPr>
                <w:rFonts w:hint="default" w:ascii="Times New Roman" w:hAnsi="Times New Roman" w:cs="Times New Roman"/>
                <w:bCs/>
                <w:color w:val="auto"/>
                <w:sz w:val="24"/>
              </w:rPr>
              <w:t xml:space="preserve">之间的转运均在厂区内完成，因此转运路线上不涉及环境敏感点。 </w:t>
            </w:r>
          </w:p>
          <w:p w14:paraId="293D1002">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项目各类危险废物在产生点及时收集后，采用专用容器分类进行包装，并转运至</w:t>
            </w:r>
            <w:r>
              <w:rPr>
                <w:rFonts w:hint="default" w:ascii="Times New Roman" w:hAnsi="Times New Roman" w:cs="Times New Roman"/>
                <w:bCs/>
                <w:color w:val="auto"/>
                <w:sz w:val="24"/>
                <w:lang w:eastAsia="zh-CN"/>
              </w:rPr>
              <w:t>危废暂存间</w:t>
            </w:r>
            <w:r>
              <w:rPr>
                <w:rFonts w:hint="default" w:ascii="Times New Roman" w:hAnsi="Times New Roman" w:cs="Times New Roman"/>
                <w:bCs/>
                <w:color w:val="auto"/>
                <w:sz w:val="24"/>
              </w:rPr>
              <w:t xml:space="preserve">；正常情况下发生危废散落、泄漏和挥发的机率不大。 </w:t>
            </w:r>
          </w:p>
          <w:p w14:paraId="1D00DDBE">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一旦发生散落、泄漏及时收集、处置，能够避免污染物对周边地表水、地下水、土壤及大气环境造成污染。 </w:t>
            </w:r>
          </w:p>
          <w:p w14:paraId="4DCA39FF">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eastAsia="zh-CN"/>
              </w:rPr>
              <w:t>危废暂存间</w:t>
            </w:r>
            <w:r>
              <w:rPr>
                <w:rFonts w:hint="default" w:ascii="Times New Roman" w:hAnsi="Times New Roman" w:cs="Times New Roman"/>
                <w:bCs/>
                <w:color w:val="auto"/>
                <w:sz w:val="24"/>
              </w:rPr>
              <w:t xml:space="preserve">地面采取必要的防渗、防腐措施后，能够避免污染物污染地下水和土壤环境。 </w:t>
            </w:r>
          </w:p>
          <w:p w14:paraId="544F9AE8">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项目各类危险废物均委托有资质的单位进行运输处置，厂外运输由有资质的运输机构负责，对运输沿线环境影响较小。 </w:t>
            </w:r>
          </w:p>
          <w:p w14:paraId="103F9594">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综上分析，针对项目各类危险废物的转移（运输）和贮存采取必要的污染防治措施后，在贮存、转移过程对外环境的污染影响能够得到较好控制，总体上影响不大。 </w:t>
            </w:r>
          </w:p>
          <w:p w14:paraId="2C71F1AD">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2）危险废物委托处置环境影响分析</w:t>
            </w:r>
          </w:p>
          <w:p w14:paraId="332A7465">
            <w:pPr>
              <w:spacing w:line="360" w:lineRule="auto"/>
              <w:ind w:firstLine="480" w:firstLineChars="200"/>
              <w:rPr>
                <w:rFonts w:hint="default" w:ascii="Times New Roman" w:hAnsi="Times New Roman" w:cs="Times New Roman"/>
                <w:bCs/>
                <w:color w:val="auto"/>
                <w:sz w:val="24"/>
              </w:rPr>
            </w:pPr>
            <w:r>
              <w:rPr>
                <w:rFonts w:hint="eastAsia" w:ascii="Times New Roman" w:hAnsi="Times New Roman" w:cs="Times New Roman"/>
                <w:bCs/>
                <w:color w:val="auto"/>
                <w:sz w:val="24"/>
                <w:lang w:val="en-US" w:eastAsia="zh-CN"/>
              </w:rPr>
              <w:t>学校</w:t>
            </w:r>
            <w:r>
              <w:rPr>
                <w:rFonts w:hint="default" w:ascii="Times New Roman" w:hAnsi="Times New Roman" w:cs="Times New Roman"/>
                <w:bCs/>
                <w:color w:val="auto"/>
                <w:sz w:val="24"/>
              </w:rPr>
              <w:t>各类危险废物拟委托有资质单位进行运输处置。</w:t>
            </w:r>
            <w:r>
              <w:rPr>
                <w:rFonts w:hint="eastAsia" w:ascii="Times New Roman" w:hAnsi="Times New Roman" w:cs="Times New Roman"/>
                <w:bCs/>
                <w:color w:val="auto"/>
                <w:sz w:val="24"/>
                <w:lang w:val="en-US" w:eastAsia="zh-CN"/>
              </w:rPr>
              <w:t>学校</w:t>
            </w:r>
            <w:r>
              <w:rPr>
                <w:rFonts w:hint="default" w:ascii="Times New Roman" w:hAnsi="Times New Roman" w:cs="Times New Roman"/>
                <w:bCs/>
                <w:color w:val="auto"/>
                <w:sz w:val="24"/>
              </w:rPr>
              <w:t xml:space="preserve">在与有资质单位签订正式危险废物委托处置协议前，应核查其核准经营的危险废物类别是否满足本项目要求，并要求资质单位提供相关能够处置本项目危废的能力证明文件。根据对相关危废处置单位处置类别和处置能力的分析，本项目各类危废能够得到妥善处置。 </w:t>
            </w:r>
          </w:p>
          <w:p w14:paraId="31FDF240">
            <w:pPr>
              <w:spacing w:line="360" w:lineRule="auto"/>
              <w:ind w:firstLine="482" w:firstLineChars="200"/>
              <w:rPr>
                <w:rFonts w:hint="default" w:ascii="Times New Roman" w:hAnsi="Times New Roman" w:cs="Times New Roman"/>
                <w:bCs/>
                <w:color w:val="auto"/>
                <w:sz w:val="24"/>
              </w:rPr>
            </w:pPr>
            <w:r>
              <w:rPr>
                <w:rFonts w:hint="default" w:ascii="Times New Roman" w:hAnsi="Times New Roman" w:cs="Times New Roman"/>
                <w:b/>
                <w:color w:val="auto"/>
                <w:sz w:val="24"/>
              </w:rPr>
              <w:t>3）一般工业固体废物环境影响分析</w:t>
            </w:r>
            <w:r>
              <w:rPr>
                <w:rFonts w:hint="default" w:ascii="Times New Roman" w:hAnsi="Times New Roman" w:cs="Times New Roman"/>
                <w:bCs/>
                <w:color w:val="auto"/>
                <w:sz w:val="24"/>
              </w:rPr>
              <w:t xml:space="preserve"> </w:t>
            </w:r>
          </w:p>
          <w:p w14:paraId="4221C568">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本项目一般固体废物</w:t>
            </w:r>
            <w:r>
              <w:rPr>
                <w:rFonts w:hint="eastAsia" w:ascii="Times New Roman" w:hAnsi="Times New Roman" w:cs="Times New Roman"/>
                <w:color w:val="auto"/>
                <w:sz w:val="24"/>
                <w:lang w:val="en-US" w:eastAsia="zh-CN"/>
              </w:rPr>
              <w:t>经垃圾桶收集后，由环卫部门定期清运</w:t>
            </w:r>
            <w:r>
              <w:rPr>
                <w:rFonts w:hint="default" w:ascii="Times New Roman" w:hAnsi="Times New Roman" w:cs="Times New Roman"/>
                <w:color w:val="auto"/>
                <w:sz w:val="24"/>
              </w:rPr>
              <w:t>。</w:t>
            </w:r>
          </w:p>
          <w:p w14:paraId="104614FE">
            <w:pPr>
              <w:spacing w:line="360" w:lineRule="auto"/>
              <w:ind w:firstLine="480" w:firstLineChars="200"/>
              <w:rPr>
                <w:rFonts w:hint="default" w:ascii="Times New Roman" w:hAnsi="Times New Roman" w:cs="Times New Roman"/>
                <w:bCs/>
                <w:color w:val="auto"/>
                <w:sz w:val="24"/>
              </w:rPr>
            </w:pPr>
            <w:r>
              <w:rPr>
                <w:rFonts w:hint="eastAsia" w:ascii="Times New Roman" w:hAnsi="Times New Roman" w:cs="Times New Roman"/>
                <w:bCs/>
                <w:color w:val="auto"/>
                <w:sz w:val="24"/>
                <w:lang w:val="en-US" w:eastAsia="zh-CN"/>
              </w:rPr>
              <w:t>因此</w:t>
            </w:r>
            <w:r>
              <w:rPr>
                <w:rFonts w:hint="default" w:ascii="Times New Roman" w:hAnsi="Times New Roman" w:cs="Times New Roman"/>
                <w:bCs/>
                <w:color w:val="auto"/>
                <w:sz w:val="24"/>
              </w:rPr>
              <w:t>，本项目产生的一般工业固体废物能够得到有效的收集处置，不会对外环境产生不良影响。</w:t>
            </w:r>
          </w:p>
          <w:p w14:paraId="67F456B0">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综上所述，本项目固体废物处置符合国家技术政策及相关的环保要求，最终均可得到有效处置，因此本项目废物处置对环境的影响可以接受。</w:t>
            </w:r>
          </w:p>
          <w:p w14:paraId="531CAFD5">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 xml:space="preserve">4.3固体废物污染防治措施 </w:t>
            </w:r>
          </w:p>
          <w:p w14:paraId="7B5E01F2">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 xml:space="preserve">4.3.1 固体废物贮存污染防治措施 </w:t>
            </w:r>
          </w:p>
          <w:p w14:paraId="6E3B1379">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 xml:space="preserve">4.3.1.1 危险废物 </w:t>
            </w:r>
          </w:p>
          <w:p w14:paraId="6A3FDA78">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（1）危险废物暂存管理</w:t>
            </w:r>
          </w:p>
          <w:p w14:paraId="45DA5044">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危险废物应分类收集储存在危废暂存间，危废间应采取防风、防雨、防晒、防渗</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防</w:t>
            </w:r>
            <w:r>
              <w:rPr>
                <w:rFonts w:hint="default" w:ascii="Times New Roman" w:hAnsi="Times New Roman" w:cs="Times New Roman"/>
                <w:color w:val="auto"/>
                <w:sz w:val="24"/>
                <w:szCs w:val="24"/>
              </w:rPr>
              <w:t>漏</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防腐</w:t>
            </w:r>
            <w:r>
              <w:rPr>
                <w:rFonts w:hint="default" w:ascii="Times New Roman" w:hAnsi="Times New Roman" w:cs="Times New Roman"/>
                <w:color w:val="auto"/>
                <w:sz w:val="24"/>
                <w:szCs w:val="24"/>
              </w:rPr>
              <w:t>的</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六</w:t>
            </w:r>
            <w:r>
              <w:rPr>
                <w:rFonts w:hint="default" w:ascii="Times New Roman" w:hAnsi="Times New Roman" w:cs="Times New Roman"/>
                <w:color w:val="auto"/>
                <w:sz w:val="24"/>
                <w:szCs w:val="24"/>
              </w:rPr>
              <w:t>防”措施，按照</w:t>
            </w:r>
            <w:r>
              <w:rPr>
                <w:rFonts w:hint="default" w:ascii="Times New Roman" w:hAnsi="Times New Roman" w:cs="Times New Roman"/>
                <w:bCs/>
                <w:color w:val="auto"/>
                <w:sz w:val="24"/>
              </w:rPr>
              <w:t>《危险废物识别标志设置技术规范》（HJ 1276-2022）</w:t>
            </w:r>
            <w:r>
              <w:rPr>
                <w:rFonts w:hint="default" w:ascii="Times New Roman" w:hAnsi="Times New Roman" w:cs="Times New Roman"/>
                <w:color w:val="auto"/>
                <w:sz w:val="24"/>
                <w:szCs w:val="24"/>
              </w:rPr>
              <w:t>设置警示标识，由专人负责管理。危险废物贮存必须严格按照</w:t>
            </w:r>
            <w:r>
              <w:rPr>
                <w:rFonts w:hint="default" w:ascii="Times New Roman" w:hAnsi="Times New Roman" w:cs="Times New Roman"/>
                <w:bCs/>
                <w:color w:val="auto"/>
                <w:sz w:val="24"/>
              </w:rPr>
              <w:t>《危险废物贮存污染控制标准》（GB18597-2023）</w:t>
            </w:r>
            <w:r>
              <w:rPr>
                <w:rFonts w:hint="default" w:ascii="Times New Roman" w:hAnsi="Times New Roman" w:cs="Times New Roman"/>
                <w:color w:val="auto"/>
                <w:sz w:val="24"/>
                <w:szCs w:val="24"/>
              </w:rPr>
              <w:t>要求执行：</w:t>
            </w:r>
          </w:p>
          <w:p w14:paraId="4E7DFF0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①使用符合标准的容器盛装危险废物。</w:t>
            </w:r>
          </w:p>
          <w:p w14:paraId="0C05562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②装载危险废物的容器及材质要满足相应的强度要求。</w:t>
            </w:r>
          </w:p>
          <w:p w14:paraId="79C6EB9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③装载危险废物的容器必须完好无损。</w:t>
            </w:r>
          </w:p>
          <w:p w14:paraId="180DC388">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④盛装危险废物的容器材质和衬里要与危险废物相容（不相互反应）。</w:t>
            </w:r>
          </w:p>
          <w:p w14:paraId="514B930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⑤液体危险废物可注入开孔直径不超过70mm并有放气孔的桶中。</w:t>
            </w:r>
          </w:p>
          <w:p w14:paraId="245945B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同时，本环评要求各类危险废物应进行分类收集，并贴上相应的标签，指定专人负责管理，落实责任制。</w:t>
            </w:r>
          </w:p>
          <w:p w14:paraId="6715AFED">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（2）危险废物收集和管理</w:t>
            </w:r>
          </w:p>
          <w:p w14:paraId="6F718BDE">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危险废物应根据其成分，采用符合国家标准的专门容器分类收集。装运危险废物的容器应根据危险废物的不同特性而设计，不易破损、变形、老化，能有效防止渗漏、扩散。装有危险废物的容器必须贴有标签，在标签上详细表明危险废物的名称、质量、成分、特性以及发生泄漏、扩散、污染事故时的应急措施和补救方法。盛装危险废物的容器装置可以是不锈钢桶或塑料桶等，但必须符合以下要求： </w:t>
            </w:r>
          </w:p>
          <w:p w14:paraId="22429F02">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①要有符合要求的包装容器、运输工具、收集人员的个人防护设备。 </w:t>
            </w:r>
          </w:p>
          <w:p w14:paraId="7909F1BD">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②危险废物收集容器应在醒目位置贴有危险废物标签，在收集场所醒目的地方设置危险废物警告标识。 </w:t>
            </w:r>
          </w:p>
          <w:p w14:paraId="5CECBB01">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③危险废物标签应表明下述信息：主要化学成分或商品名称、数量、物理形态、危险类别、安全措施以及危险废物产生车间的名称、联系人、联系电话，以及发生泄漏、扩散、污染事故时的应急措施（注明紧急电话）。</w:t>
            </w:r>
          </w:p>
          <w:p w14:paraId="008C7325">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④液体和半固体的危险废物应使用密闭防渗漏的容器盛装，固态危险废物应采用防扬散的包装或容器盛装。 </w:t>
            </w:r>
          </w:p>
          <w:p w14:paraId="0F132FDF">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⑤危险废物应按规定或下列方式分类分别包装：易燃性液体，易燃性固体，可燃性液体，腐蚀性物质（酸、碱等），特殊毒性物质，氧化物，有机过氧物。</w:t>
            </w:r>
          </w:p>
          <w:p w14:paraId="09613140">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w:t>
            </w:r>
            <w:r>
              <w:rPr>
                <w:rFonts w:hint="default" w:ascii="Times New Roman" w:hAnsi="Times New Roman" w:cs="Times New Roman"/>
                <w:b/>
                <w:color w:val="auto"/>
                <w:sz w:val="24"/>
                <w:lang w:val="en-US" w:eastAsia="zh-CN"/>
              </w:rPr>
              <w:t>3</w:t>
            </w:r>
            <w:r>
              <w:rPr>
                <w:rFonts w:hint="default" w:ascii="Times New Roman" w:hAnsi="Times New Roman" w:cs="Times New Roman"/>
                <w:b/>
                <w:color w:val="auto"/>
                <w:sz w:val="24"/>
              </w:rPr>
              <w:t>）危废暂存间选址可行性</w:t>
            </w:r>
          </w:p>
          <w:p w14:paraId="60AAB5EA">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本项目在</w:t>
            </w:r>
            <w:r>
              <w:rPr>
                <w:rFonts w:hint="eastAsia" w:ascii="Times New Roman" w:hAnsi="Times New Roman" w:cs="Times New Roman"/>
                <w:bCs/>
                <w:color w:val="auto"/>
                <w:sz w:val="24"/>
                <w:lang w:val="en-US" w:eastAsia="zh-CN"/>
              </w:rPr>
              <w:t>实验楼2楼化学准备室内</w:t>
            </w:r>
            <w:r>
              <w:rPr>
                <w:rFonts w:hint="default" w:ascii="Times New Roman" w:hAnsi="Times New Roman" w:cs="Times New Roman"/>
                <w:bCs/>
                <w:color w:val="auto"/>
                <w:sz w:val="24"/>
              </w:rPr>
              <w:t>设置1间危废暂存间，</w:t>
            </w:r>
            <w:r>
              <w:rPr>
                <w:rFonts w:hint="default" w:ascii="Times New Roman" w:hAnsi="Times New Roman" w:cs="Times New Roman"/>
                <w:bCs/>
                <w:color w:val="auto"/>
                <w:sz w:val="24"/>
                <w:highlight w:val="none"/>
              </w:rPr>
              <w:t>建筑面积约</w:t>
            </w:r>
            <w:r>
              <w:rPr>
                <w:rFonts w:hint="eastAsia"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rPr>
              <w:t>将产生的危险废物分类收集后集中收运至危废暂存间。</w:t>
            </w:r>
          </w:p>
          <w:p w14:paraId="753D1BD1">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根据对照《危险废物贮存污染控制标准》（GB18597-2023），危险废物贮存场所应满足以下要求：</w:t>
            </w:r>
          </w:p>
          <w:p w14:paraId="503B9400">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①贮存场应设置径流疏导系统，保证能防止当地重现期不小于25年的暴雨流入贮存区域，并采取措施防止雨水冲淋危险废物，避免增加渗滤液量。</w:t>
            </w:r>
          </w:p>
          <w:p w14:paraId="761F5A2D">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②贮存场可整体或分区设计液体导流和收集设施，收集设施容积应保证在最不利条件下可以容纳对应贮存区域产生的渗滤液、废水等液态物质。</w:t>
            </w:r>
          </w:p>
          <w:p w14:paraId="08F6F711">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③贮存场应采取防止危险废物扬散、流失的措施。</w:t>
            </w:r>
          </w:p>
          <w:p w14:paraId="6B2B86BA">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bCs w:val="0"/>
                <w:color w:val="auto"/>
                <w:sz w:val="24"/>
                <w:u w:val="single"/>
              </w:rPr>
              <w:t>本项目在</w:t>
            </w:r>
            <w:r>
              <w:rPr>
                <w:rFonts w:hint="eastAsia" w:ascii="Times New Roman" w:hAnsi="Times New Roman" w:cs="Times New Roman"/>
                <w:b/>
                <w:bCs w:val="0"/>
                <w:color w:val="auto"/>
                <w:sz w:val="24"/>
                <w:u w:val="single"/>
                <w:lang w:val="en-US" w:eastAsia="zh-CN"/>
              </w:rPr>
              <w:t>实验楼2楼化学准备室内</w:t>
            </w:r>
            <w:r>
              <w:rPr>
                <w:rFonts w:hint="default" w:ascii="Times New Roman" w:hAnsi="Times New Roman" w:cs="Times New Roman"/>
                <w:b/>
                <w:bCs w:val="0"/>
                <w:color w:val="auto"/>
                <w:sz w:val="24"/>
                <w:u w:val="single"/>
              </w:rPr>
              <w:t>设置1间危废暂存间，</w:t>
            </w:r>
            <w:r>
              <w:rPr>
                <w:rFonts w:hint="default" w:ascii="Times New Roman" w:hAnsi="Times New Roman" w:cs="Times New Roman"/>
                <w:b/>
                <w:bCs w:val="0"/>
                <w:color w:val="auto"/>
                <w:sz w:val="24"/>
                <w:highlight w:val="none"/>
                <w:u w:val="single"/>
              </w:rPr>
              <w:t>建筑面积约</w:t>
            </w:r>
            <w:r>
              <w:rPr>
                <w:rFonts w:hint="eastAsia" w:ascii="Times New Roman" w:hAnsi="Times New Roman" w:cs="Times New Roman"/>
                <w:b/>
                <w:bCs w:val="0"/>
                <w:color w:val="auto"/>
                <w:sz w:val="24"/>
                <w:highlight w:val="none"/>
                <w:u w:val="single"/>
                <w:lang w:val="en-US" w:eastAsia="zh-CN"/>
              </w:rPr>
              <w:t>2</w:t>
            </w:r>
            <w:r>
              <w:rPr>
                <w:rFonts w:hint="default" w:ascii="Times New Roman" w:hAnsi="Times New Roman" w:cs="Times New Roman"/>
                <w:b/>
                <w:bCs w:val="0"/>
                <w:color w:val="auto"/>
                <w:sz w:val="24"/>
                <w:highlight w:val="none"/>
                <w:u w:val="single"/>
              </w:rPr>
              <w:t>m</w:t>
            </w:r>
            <w:r>
              <w:rPr>
                <w:rFonts w:hint="default" w:ascii="Times New Roman" w:hAnsi="Times New Roman" w:cs="Times New Roman"/>
                <w:b/>
                <w:bCs w:val="0"/>
                <w:color w:val="auto"/>
                <w:sz w:val="24"/>
                <w:highlight w:val="none"/>
                <w:u w:val="single"/>
                <w:vertAlign w:val="superscript"/>
              </w:rPr>
              <w:t>2</w:t>
            </w:r>
            <w:r>
              <w:rPr>
                <w:rFonts w:hint="default" w:ascii="Times New Roman" w:hAnsi="Times New Roman" w:cs="Times New Roman"/>
                <w:b/>
                <w:bCs w:val="0"/>
                <w:color w:val="auto"/>
                <w:sz w:val="24"/>
                <w:highlight w:val="none"/>
                <w:u w:val="single"/>
              </w:rPr>
              <w:t>，</w:t>
            </w:r>
            <w:r>
              <w:rPr>
                <w:rFonts w:hint="default" w:ascii="Times New Roman" w:hAnsi="Times New Roman" w:cs="Times New Roman"/>
                <w:b/>
                <w:bCs/>
                <w:color w:val="auto"/>
                <w:sz w:val="24"/>
                <w:u w:val="single"/>
              </w:rPr>
              <w:t>地面采用抗渗混凝土、高密度聚乙烯膜、钠基膨润土防水毯或其他防渗性能等效的材料进行重点防渗，确保</w:t>
            </w:r>
            <w:r>
              <w:rPr>
                <w:rFonts w:hint="default" w:ascii="Times New Roman" w:hAnsi="Times New Roman" w:cs="Times New Roman"/>
                <w:b/>
                <w:color w:val="auto"/>
                <w:sz w:val="24"/>
                <w:u w:val="single"/>
              </w:rPr>
              <w:t>防渗技术要求满足等效粘土防渗层Mb≥6.0m，K≤10</w:t>
            </w:r>
            <w:r>
              <w:rPr>
                <w:rFonts w:hint="default" w:ascii="Times New Roman" w:hAnsi="Times New Roman" w:cs="Times New Roman"/>
                <w:b/>
                <w:color w:val="auto"/>
                <w:sz w:val="24"/>
                <w:u w:val="single"/>
                <w:vertAlign w:val="superscript"/>
              </w:rPr>
              <w:t>-10</w:t>
            </w:r>
            <w:r>
              <w:rPr>
                <w:rFonts w:hint="default" w:ascii="Times New Roman" w:hAnsi="Times New Roman" w:cs="Times New Roman"/>
                <w:b/>
                <w:color w:val="auto"/>
                <w:sz w:val="24"/>
                <w:u w:val="single"/>
              </w:rPr>
              <w:t>cm/s的要求。</w:t>
            </w:r>
            <w:r>
              <w:rPr>
                <w:rFonts w:hint="default" w:ascii="Times New Roman" w:hAnsi="Times New Roman" w:cs="Times New Roman"/>
                <w:b/>
                <w:bCs/>
                <w:color w:val="auto"/>
                <w:sz w:val="24"/>
                <w:u w:val="single"/>
              </w:rPr>
              <w:t>危废暂存间设置警示标识，设置空桶作为备用收容设施，在进出侧设置10cm高防渗围堰，落实防风、防雨、防晒、防渗</w:t>
            </w:r>
            <w:r>
              <w:rPr>
                <w:rFonts w:hint="default" w:ascii="Times New Roman" w:hAnsi="Times New Roman" w:cs="Times New Roman"/>
                <w:b/>
                <w:bCs/>
                <w:color w:val="auto"/>
                <w:sz w:val="24"/>
                <w:u w:val="single"/>
                <w:lang w:eastAsia="zh-CN"/>
              </w:rPr>
              <w:t>、</w:t>
            </w:r>
            <w:r>
              <w:rPr>
                <w:rFonts w:hint="default" w:ascii="Times New Roman" w:hAnsi="Times New Roman" w:cs="Times New Roman"/>
                <w:b/>
                <w:bCs/>
                <w:color w:val="auto"/>
                <w:sz w:val="24"/>
                <w:u w:val="single"/>
                <w:lang w:val="en-US" w:eastAsia="zh-CN"/>
              </w:rPr>
              <w:t>防</w:t>
            </w:r>
            <w:r>
              <w:rPr>
                <w:rFonts w:hint="default" w:ascii="Times New Roman" w:hAnsi="Times New Roman" w:cs="Times New Roman"/>
                <w:b/>
                <w:bCs/>
                <w:color w:val="auto"/>
                <w:sz w:val="24"/>
                <w:u w:val="single"/>
              </w:rPr>
              <w:t>漏</w:t>
            </w:r>
            <w:r>
              <w:rPr>
                <w:rFonts w:hint="default" w:ascii="Times New Roman" w:hAnsi="Times New Roman" w:cs="Times New Roman"/>
                <w:b/>
                <w:bCs/>
                <w:color w:val="auto"/>
                <w:sz w:val="24"/>
                <w:u w:val="single"/>
                <w:lang w:eastAsia="zh-CN"/>
              </w:rPr>
              <w:t>、</w:t>
            </w:r>
            <w:r>
              <w:rPr>
                <w:rFonts w:hint="default" w:ascii="Times New Roman" w:hAnsi="Times New Roman" w:cs="Times New Roman"/>
                <w:b/>
                <w:bCs/>
                <w:color w:val="auto"/>
                <w:sz w:val="24"/>
                <w:u w:val="single"/>
                <w:lang w:val="en-US" w:eastAsia="zh-CN"/>
              </w:rPr>
              <w:t>防腐蚀</w:t>
            </w:r>
            <w:r>
              <w:rPr>
                <w:rFonts w:hint="default" w:ascii="Times New Roman" w:hAnsi="Times New Roman" w:cs="Times New Roman"/>
                <w:b/>
                <w:bCs/>
                <w:color w:val="auto"/>
                <w:sz w:val="24"/>
                <w:u w:val="single"/>
              </w:rPr>
              <w:t>的</w:t>
            </w:r>
            <w:r>
              <w:rPr>
                <w:rFonts w:hint="default" w:ascii="Times New Roman" w:hAnsi="Times New Roman" w:cs="Times New Roman"/>
                <w:b/>
                <w:bCs/>
                <w:color w:val="auto"/>
                <w:sz w:val="24"/>
                <w:u w:val="single"/>
                <w:lang w:eastAsia="zh-CN"/>
              </w:rPr>
              <w:t>“</w:t>
            </w:r>
            <w:r>
              <w:rPr>
                <w:rFonts w:hint="default" w:ascii="Times New Roman" w:hAnsi="Times New Roman" w:cs="Times New Roman"/>
                <w:b/>
                <w:bCs/>
                <w:color w:val="auto"/>
                <w:sz w:val="24"/>
                <w:u w:val="single"/>
                <w:lang w:val="en-US" w:eastAsia="zh-CN"/>
              </w:rPr>
              <w:t>六</w:t>
            </w:r>
            <w:r>
              <w:rPr>
                <w:rFonts w:hint="default" w:ascii="Times New Roman" w:hAnsi="Times New Roman" w:cs="Times New Roman"/>
                <w:b/>
                <w:bCs/>
                <w:color w:val="auto"/>
                <w:sz w:val="24"/>
                <w:u w:val="single"/>
              </w:rPr>
              <w:t>防”措施。危险废物采用专用容器进行分类收集，</w:t>
            </w:r>
            <w:r>
              <w:rPr>
                <w:rFonts w:hint="default" w:ascii="Times New Roman" w:hAnsi="Times New Roman" w:cs="Times New Roman"/>
                <w:b/>
                <w:color w:val="auto"/>
                <w:sz w:val="24"/>
                <w:u w:val="single"/>
              </w:rPr>
              <w:t>经收集后暂存于危废暂存间，定期交有资质单位运输处置，并签订危废处置协议。本项目危废暂存间采用封闭式库房，能够达到标准的基础防渗和防风、防雨、防晒要求。总体上本项目危废暂存间选址相对合理，较为可行。</w:t>
            </w:r>
          </w:p>
          <w:p w14:paraId="0D4C01F9">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w:t>
            </w:r>
            <w:r>
              <w:rPr>
                <w:rFonts w:hint="default" w:ascii="Times New Roman" w:hAnsi="Times New Roman" w:cs="Times New Roman"/>
                <w:b/>
                <w:color w:val="auto"/>
                <w:sz w:val="24"/>
                <w:szCs w:val="24"/>
                <w:lang w:val="en-US" w:eastAsia="zh-CN"/>
              </w:rPr>
              <w:t>4</w:t>
            </w:r>
            <w:r>
              <w:rPr>
                <w:rFonts w:hint="default" w:ascii="Times New Roman" w:hAnsi="Times New Roman" w:cs="Times New Roman"/>
                <w:b/>
                <w:color w:val="auto"/>
                <w:sz w:val="24"/>
                <w:szCs w:val="24"/>
              </w:rPr>
              <w:t>）危废贮存能力可行性</w:t>
            </w:r>
          </w:p>
          <w:p w14:paraId="37B7CCC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本项目危废暂存间基本情况见表4-6</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，危险废物处置措施见表4-6</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p>
          <w:p w14:paraId="50572728">
            <w:pPr>
              <w:pStyle w:val="11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危险废物贮存场所基本情况表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572"/>
              <w:gridCol w:w="978"/>
              <w:gridCol w:w="1389"/>
              <w:gridCol w:w="817"/>
              <w:gridCol w:w="679"/>
              <w:gridCol w:w="1099"/>
              <w:gridCol w:w="662"/>
              <w:gridCol w:w="771"/>
            </w:tblGrid>
            <w:tr w14:paraId="3B26EE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81" w:type="pct"/>
                  <w:tcBorders>
                    <w:tl2br w:val="nil"/>
                    <w:tr2bl w:val="nil"/>
                  </w:tcBorders>
                  <w:noWrap w:val="0"/>
                  <w:vAlign w:val="center"/>
                </w:tcPr>
                <w:p w14:paraId="22ADBF0A">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贮存场所名称</w:t>
                  </w:r>
                </w:p>
              </w:tc>
              <w:tc>
                <w:tcPr>
                  <w:tcW w:w="891" w:type="pct"/>
                  <w:tcBorders>
                    <w:tl2br w:val="nil"/>
                    <w:tr2bl w:val="nil"/>
                  </w:tcBorders>
                  <w:noWrap w:val="0"/>
                  <w:vAlign w:val="center"/>
                </w:tcPr>
                <w:p w14:paraId="4BC2A0F8">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危险废物名称</w:t>
                  </w:r>
                </w:p>
              </w:tc>
              <w:tc>
                <w:tcPr>
                  <w:tcW w:w="554" w:type="pct"/>
                  <w:tcBorders>
                    <w:tl2br w:val="nil"/>
                    <w:tr2bl w:val="nil"/>
                  </w:tcBorders>
                  <w:noWrap w:val="0"/>
                  <w:vAlign w:val="center"/>
                </w:tcPr>
                <w:p w14:paraId="3308E033">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危险废物类别</w:t>
                  </w:r>
                </w:p>
              </w:tc>
              <w:tc>
                <w:tcPr>
                  <w:tcW w:w="787" w:type="pct"/>
                  <w:tcBorders>
                    <w:tl2br w:val="nil"/>
                    <w:tr2bl w:val="nil"/>
                  </w:tcBorders>
                  <w:noWrap w:val="0"/>
                  <w:vAlign w:val="center"/>
                </w:tcPr>
                <w:p w14:paraId="6B105FF0">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危险废物</w:t>
                  </w:r>
                </w:p>
                <w:p w14:paraId="72B9EC2E">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代码</w:t>
                  </w:r>
                </w:p>
              </w:tc>
              <w:tc>
                <w:tcPr>
                  <w:tcW w:w="463" w:type="pct"/>
                  <w:tcBorders>
                    <w:tl2br w:val="nil"/>
                    <w:tr2bl w:val="nil"/>
                  </w:tcBorders>
                  <w:noWrap w:val="0"/>
                  <w:vAlign w:val="center"/>
                </w:tcPr>
                <w:p w14:paraId="649ACD35">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位置</w:t>
                  </w:r>
                </w:p>
              </w:tc>
              <w:tc>
                <w:tcPr>
                  <w:tcW w:w="385" w:type="pct"/>
                  <w:tcBorders>
                    <w:tl2br w:val="nil"/>
                    <w:tr2bl w:val="nil"/>
                  </w:tcBorders>
                  <w:noWrap w:val="0"/>
                  <w:vAlign w:val="center"/>
                </w:tcPr>
                <w:p w14:paraId="7BC714A5">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占地</w:t>
                  </w:r>
                </w:p>
                <w:p w14:paraId="1ADFFB99">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面积</w:t>
                  </w:r>
                </w:p>
              </w:tc>
              <w:tc>
                <w:tcPr>
                  <w:tcW w:w="623" w:type="pct"/>
                  <w:tcBorders>
                    <w:tl2br w:val="nil"/>
                    <w:tr2bl w:val="nil"/>
                  </w:tcBorders>
                  <w:noWrap w:val="0"/>
                  <w:vAlign w:val="center"/>
                </w:tcPr>
                <w:p w14:paraId="5E5CCBC3">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贮存方式</w:t>
                  </w:r>
                </w:p>
              </w:tc>
              <w:tc>
                <w:tcPr>
                  <w:tcW w:w="375" w:type="pct"/>
                  <w:tcBorders>
                    <w:tl2br w:val="nil"/>
                    <w:tr2bl w:val="nil"/>
                  </w:tcBorders>
                  <w:noWrap w:val="0"/>
                  <w:vAlign w:val="center"/>
                </w:tcPr>
                <w:p w14:paraId="4E937373">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贮存</w:t>
                  </w:r>
                </w:p>
                <w:p w14:paraId="3E3DF679">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能力</w:t>
                  </w:r>
                </w:p>
              </w:tc>
              <w:tc>
                <w:tcPr>
                  <w:tcW w:w="437" w:type="pct"/>
                  <w:tcBorders>
                    <w:tl2br w:val="nil"/>
                    <w:tr2bl w:val="nil"/>
                  </w:tcBorders>
                  <w:noWrap w:val="0"/>
                  <w:vAlign w:val="center"/>
                </w:tcPr>
                <w:p w14:paraId="3D2E34F4">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贮存</w:t>
                  </w:r>
                </w:p>
                <w:p w14:paraId="7562934D">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周期</w:t>
                  </w:r>
                </w:p>
              </w:tc>
            </w:tr>
            <w:tr w14:paraId="087D7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481" w:type="pct"/>
                  <w:vMerge w:val="restart"/>
                  <w:tcBorders>
                    <w:tl2br w:val="nil"/>
                    <w:tr2bl w:val="nil"/>
                  </w:tcBorders>
                  <w:noWrap w:val="0"/>
                  <w:vAlign w:val="center"/>
                </w:tcPr>
                <w:p w14:paraId="2097CF1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危废暂存间</w:t>
                  </w:r>
                </w:p>
              </w:tc>
              <w:tc>
                <w:tcPr>
                  <w:tcW w:w="891" w:type="pct"/>
                  <w:tcBorders>
                    <w:tl2br w:val="nil"/>
                    <w:tr2bl w:val="nil"/>
                  </w:tcBorders>
                  <w:noWrap w:val="0"/>
                  <w:vAlign w:val="center"/>
                </w:tcPr>
                <w:p w14:paraId="278DA595">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实验废液</w:t>
                  </w:r>
                </w:p>
              </w:tc>
              <w:tc>
                <w:tcPr>
                  <w:tcW w:w="554" w:type="pct"/>
                  <w:tcBorders>
                    <w:tl2br w:val="nil"/>
                    <w:tr2bl w:val="nil"/>
                  </w:tcBorders>
                  <w:noWrap w:val="0"/>
                  <w:vAlign w:val="center"/>
                </w:tcPr>
                <w:p w14:paraId="31B01CC1">
                  <w:pPr>
                    <w:jc w:val="center"/>
                    <w:rPr>
                      <w:rFonts w:hint="default" w:ascii="Times New Roman" w:hAnsi="Times New Roman" w:cs="Times New Roman"/>
                      <w:color w:val="auto"/>
                      <w:sz w:val="21"/>
                      <w:szCs w:val="21"/>
                    </w:rPr>
                  </w:pPr>
                  <w:r>
                    <w:rPr>
                      <w:rFonts w:hint="eastAsia" w:ascii="Times New Roman" w:hAnsi="Times New Roman" w:cs="Times New Roman"/>
                      <w:color w:val="auto"/>
                      <w:szCs w:val="21"/>
                      <w:highlight w:val="none"/>
                      <w:lang w:val="en-US" w:eastAsia="zh-CN"/>
                    </w:rPr>
                    <w:t>HW49</w:t>
                  </w:r>
                </w:p>
              </w:tc>
              <w:tc>
                <w:tcPr>
                  <w:tcW w:w="787" w:type="pct"/>
                  <w:tcBorders>
                    <w:tl2br w:val="nil"/>
                    <w:tr2bl w:val="nil"/>
                  </w:tcBorders>
                  <w:noWrap w:val="0"/>
                  <w:vAlign w:val="center"/>
                </w:tcPr>
                <w:p w14:paraId="136D8E4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highlight w:val="none"/>
                      <w:lang w:val="en-US" w:eastAsia="zh-CN"/>
                    </w:rPr>
                    <w:t>900-047-049</w:t>
                  </w:r>
                </w:p>
              </w:tc>
              <w:tc>
                <w:tcPr>
                  <w:tcW w:w="463" w:type="pct"/>
                  <w:vMerge w:val="restart"/>
                  <w:tcBorders>
                    <w:tl2br w:val="nil"/>
                    <w:tr2bl w:val="nil"/>
                  </w:tcBorders>
                  <w:noWrap w:val="0"/>
                  <w:vAlign w:val="center"/>
                </w:tcPr>
                <w:p w14:paraId="4AF24DEC">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实验楼2楼</w:t>
                  </w:r>
                </w:p>
              </w:tc>
              <w:tc>
                <w:tcPr>
                  <w:tcW w:w="385" w:type="pct"/>
                  <w:vMerge w:val="restart"/>
                  <w:tcBorders>
                    <w:tl2br w:val="nil"/>
                    <w:tr2bl w:val="nil"/>
                  </w:tcBorders>
                  <w:noWrap w:val="0"/>
                  <w:vAlign w:val="center"/>
                </w:tcPr>
                <w:p w14:paraId="6C4C7CD7">
                  <w:pPr>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623" w:type="pct"/>
                  <w:tcBorders>
                    <w:tl2br w:val="nil"/>
                    <w:tr2bl w:val="nil"/>
                  </w:tcBorders>
                  <w:noWrap w:val="0"/>
                  <w:vAlign w:val="center"/>
                </w:tcPr>
                <w:p w14:paraId="2884555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专用桶装</w:t>
                  </w:r>
                </w:p>
              </w:tc>
              <w:tc>
                <w:tcPr>
                  <w:tcW w:w="375" w:type="pct"/>
                  <w:vMerge w:val="restart"/>
                  <w:tcBorders>
                    <w:tl2br w:val="nil"/>
                    <w:tr2bl w:val="nil"/>
                  </w:tcBorders>
                  <w:noWrap w:val="0"/>
                  <w:vAlign w:val="center"/>
                </w:tcPr>
                <w:p w14:paraId="7EB9C39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满足产废需求</w:t>
                  </w:r>
                </w:p>
              </w:tc>
              <w:tc>
                <w:tcPr>
                  <w:tcW w:w="437" w:type="pct"/>
                  <w:vMerge w:val="restart"/>
                  <w:tcBorders>
                    <w:tl2br w:val="nil"/>
                    <w:tr2bl w:val="nil"/>
                  </w:tcBorders>
                  <w:noWrap w:val="0"/>
                  <w:vAlign w:val="center"/>
                </w:tcPr>
                <w:p w14:paraId="540B69A5">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一年</w:t>
                  </w:r>
                </w:p>
              </w:tc>
            </w:tr>
            <w:tr w14:paraId="56AE6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481" w:type="pct"/>
                  <w:vMerge w:val="continue"/>
                  <w:tcBorders>
                    <w:tl2br w:val="nil"/>
                    <w:tr2bl w:val="nil"/>
                  </w:tcBorders>
                  <w:noWrap w:val="0"/>
                  <w:vAlign w:val="center"/>
                </w:tcPr>
                <w:p w14:paraId="1E22D66F">
                  <w:pPr>
                    <w:jc w:val="center"/>
                    <w:rPr>
                      <w:rFonts w:hint="default" w:ascii="Times New Roman" w:hAnsi="Times New Roman" w:cs="Times New Roman"/>
                      <w:color w:val="auto"/>
                      <w:sz w:val="21"/>
                      <w:szCs w:val="21"/>
                    </w:rPr>
                  </w:pPr>
                </w:p>
              </w:tc>
              <w:tc>
                <w:tcPr>
                  <w:tcW w:w="891" w:type="pct"/>
                  <w:tcBorders>
                    <w:tl2br w:val="nil"/>
                    <w:tr2bl w:val="nil"/>
                  </w:tcBorders>
                  <w:noWrap w:val="0"/>
                  <w:vAlign w:val="center"/>
                </w:tcPr>
                <w:p w14:paraId="48B03E2F">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lang w:val="en-US" w:eastAsia="zh-CN"/>
                    </w:rPr>
                    <w:t>化学品废包装容器</w:t>
                  </w:r>
                </w:p>
              </w:tc>
              <w:tc>
                <w:tcPr>
                  <w:tcW w:w="554" w:type="pct"/>
                  <w:tcBorders>
                    <w:tl2br w:val="nil"/>
                    <w:tr2bl w:val="nil"/>
                  </w:tcBorders>
                  <w:noWrap w:val="0"/>
                  <w:vAlign w:val="center"/>
                </w:tcPr>
                <w:p w14:paraId="37A8D9F4">
                  <w:pPr>
                    <w:jc w:val="center"/>
                    <w:rPr>
                      <w:rFonts w:hint="default" w:ascii="Times New Roman" w:hAnsi="Times New Roman" w:cs="Times New Roman"/>
                      <w:color w:val="auto"/>
                      <w:sz w:val="21"/>
                      <w:szCs w:val="21"/>
                    </w:rPr>
                  </w:pPr>
                  <w:r>
                    <w:rPr>
                      <w:rFonts w:hint="eastAsia" w:ascii="Times New Roman" w:hAnsi="Times New Roman" w:cs="Times New Roman"/>
                      <w:color w:val="auto"/>
                      <w:szCs w:val="21"/>
                      <w:highlight w:val="none"/>
                      <w:lang w:val="en-US" w:eastAsia="zh-CN"/>
                    </w:rPr>
                    <w:t>HW49</w:t>
                  </w:r>
                </w:p>
              </w:tc>
              <w:tc>
                <w:tcPr>
                  <w:tcW w:w="787" w:type="pct"/>
                  <w:tcBorders>
                    <w:tl2br w:val="nil"/>
                    <w:tr2bl w:val="nil"/>
                  </w:tcBorders>
                  <w:noWrap w:val="0"/>
                  <w:vAlign w:val="center"/>
                </w:tcPr>
                <w:p w14:paraId="147A0E9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highlight w:val="none"/>
                      <w:lang w:val="en-US" w:eastAsia="zh-CN"/>
                    </w:rPr>
                    <w:t>900-047-049</w:t>
                  </w:r>
                </w:p>
              </w:tc>
              <w:tc>
                <w:tcPr>
                  <w:tcW w:w="463" w:type="pct"/>
                  <w:vMerge w:val="continue"/>
                  <w:tcBorders>
                    <w:tl2br w:val="nil"/>
                    <w:tr2bl w:val="nil"/>
                  </w:tcBorders>
                  <w:noWrap w:val="0"/>
                  <w:vAlign w:val="center"/>
                </w:tcPr>
                <w:p w14:paraId="41A62337">
                  <w:pPr>
                    <w:jc w:val="center"/>
                    <w:rPr>
                      <w:rFonts w:hint="default" w:ascii="Times New Roman" w:hAnsi="Times New Roman" w:cs="Times New Roman"/>
                      <w:color w:val="auto"/>
                      <w:sz w:val="21"/>
                      <w:szCs w:val="21"/>
                    </w:rPr>
                  </w:pPr>
                </w:p>
              </w:tc>
              <w:tc>
                <w:tcPr>
                  <w:tcW w:w="385" w:type="pct"/>
                  <w:vMerge w:val="continue"/>
                  <w:tcBorders>
                    <w:tl2br w:val="nil"/>
                    <w:tr2bl w:val="nil"/>
                  </w:tcBorders>
                  <w:noWrap w:val="0"/>
                  <w:vAlign w:val="center"/>
                </w:tcPr>
                <w:p w14:paraId="5CE8BDAB">
                  <w:pPr>
                    <w:jc w:val="center"/>
                    <w:rPr>
                      <w:rFonts w:hint="default" w:ascii="Times New Roman" w:hAnsi="Times New Roman" w:cs="Times New Roman"/>
                      <w:color w:val="auto"/>
                      <w:sz w:val="21"/>
                      <w:szCs w:val="21"/>
                    </w:rPr>
                  </w:pPr>
                </w:p>
              </w:tc>
              <w:tc>
                <w:tcPr>
                  <w:tcW w:w="623" w:type="pct"/>
                  <w:tcBorders>
                    <w:tl2br w:val="nil"/>
                    <w:tr2bl w:val="nil"/>
                  </w:tcBorders>
                  <w:noWrap w:val="0"/>
                  <w:vAlign w:val="center"/>
                </w:tcPr>
                <w:p w14:paraId="5DCACCD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专用桶装</w:t>
                  </w:r>
                </w:p>
              </w:tc>
              <w:tc>
                <w:tcPr>
                  <w:tcW w:w="375" w:type="pct"/>
                  <w:vMerge w:val="continue"/>
                  <w:tcBorders>
                    <w:tl2br w:val="nil"/>
                    <w:tr2bl w:val="nil"/>
                  </w:tcBorders>
                  <w:noWrap w:val="0"/>
                  <w:vAlign w:val="center"/>
                </w:tcPr>
                <w:p w14:paraId="00A72490">
                  <w:pPr>
                    <w:jc w:val="center"/>
                    <w:rPr>
                      <w:rFonts w:hint="default" w:ascii="Times New Roman" w:hAnsi="Times New Roman" w:cs="Times New Roman"/>
                      <w:color w:val="auto"/>
                      <w:sz w:val="21"/>
                      <w:szCs w:val="21"/>
                    </w:rPr>
                  </w:pPr>
                </w:p>
              </w:tc>
              <w:tc>
                <w:tcPr>
                  <w:tcW w:w="437" w:type="pct"/>
                  <w:vMerge w:val="continue"/>
                  <w:tcBorders>
                    <w:tl2br w:val="nil"/>
                    <w:tr2bl w:val="nil"/>
                  </w:tcBorders>
                  <w:noWrap w:val="0"/>
                  <w:vAlign w:val="center"/>
                </w:tcPr>
                <w:p w14:paraId="5C58624D">
                  <w:pPr>
                    <w:jc w:val="center"/>
                    <w:rPr>
                      <w:rFonts w:hint="default" w:ascii="Times New Roman" w:hAnsi="Times New Roman" w:cs="Times New Roman"/>
                      <w:color w:val="auto"/>
                      <w:sz w:val="21"/>
                      <w:szCs w:val="21"/>
                    </w:rPr>
                  </w:pPr>
                </w:p>
              </w:tc>
            </w:tr>
          </w:tbl>
          <w:p w14:paraId="1924AE77">
            <w:pPr>
              <w:pStyle w:val="11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危险废物治理措施一览表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9"/>
              <w:gridCol w:w="722"/>
              <w:gridCol w:w="795"/>
              <w:gridCol w:w="1225"/>
              <w:gridCol w:w="892"/>
              <w:gridCol w:w="809"/>
              <w:gridCol w:w="501"/>
              <w:gridCol w:w="650"/>
              <w:gridCol w:w="650"/>
              <w:gridCol w:w="556"/>
              <w:gridCol w:w="807"/>
              <w:gridCol w:w="720"/>
            </w:tblGrid>
            <w:tr w14:paraId="7B5B0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7" w:type="pct"/>
                  <w:tcBorders>
                    <w:tl2br w:val="nil"/>
                    <w:tr2bl w:val="nil"/>
                  </w:tcBorders>
                  <w:noWrap w:val="0"/>
                  <w:vAlign w:val="center"/>
                </w:tcPr>
                <w:p w14:paraId="162BAB96">
                  <w:pPr>
                    <w:jc w:val="center"/>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409" w:type="pct"/>
                  <w:tcBorders>
                    <w:tl2br w:val="nil"/>
                    <w:tr2bl w:val="nil"/>
                  </w:tcBorders>
                  <w:noWrap w:val="0"/>
                  <w:vAlign w:val="center"/>
                </w:tcPr>
                <w:p w14:paraId="15DBCE73">
                  <w:pPr>
                    <w:jc w:val="center"/>
                    <w:rPr>
                      <w:rFonts w:hint="default" w:ascii="Times New Roman" w:hAnsi="Times New Roman" w:cs="Times New Roman"/>
                      <w:b/>
                      <w:bCs/>
                      <w:color w:val="auto"/>
                    </w:rPr>
                  </w:pPr>
                  <w:r>
                    <w:rPr>
                      <w:rFonts w:hint="default" w:ascii="Times New Roman" w:hAnsi="Times New Roman" w:cs="Times New Roman"/>
                      <w:b/>
                      <w:bCs/>
                      <w:color w:val="auto"/>
                    </w:rPr>
                    <w:t>危险废物名称</w:t>
                  </w:r>
                </w:p>
              </w:tc>
              <w:tc>
                <w:tcPr>
                  <w:tcW w:w="450" w:type="pct"/>
                  <w:tcBorders>
                    <w:tl2br w:val="nil"/>
                    <w:tr2bl w:val="nil"/>
                  </w:tcBorders>
                  <w:noWrap w:val="0"/>
                  <w:vAlign w:val="center"/>
                </w:tcPr>
                <w:p w14:paraId="6974A333">
                  <w:pPr>
                    <w:jc w:val="center"/>
                    <w:rPr>
                      <w:rFonts w:hint="default" w:ascii="Times New Roman" w:hAnsi="Times New Roman" w:cs="Times New Roman"/>
                      <w:b/>
                      <w:bCs/>
                      <w:color w:val="auto"/>
                    </w:rPr>
                  </w:pPr>
                  <w:r>
                    <w:rPr>
                      <w:rFonts w:hint="default" w:ascii="Times New Roman" w:hAnsi="Times New Roman" w:cs="Times New Roman"/>
                      <w:b/>
                      <w:bCs/>
                      <w:color w:val="auto"/>
                    </w:rPr>
                    <w:t>危险废物类别</w:t>
                  </w:r>
                </w:p>
              </w:tc>
              <w:tc>
                <w:tcPr>
                  <w:tcW w:w="694" w:type="pct"/>
                  <w:tcBorders>
                    <w:tl2br w:val="nil"/>
                    <w:tr2bl w:val="nil"/>
                  </w:tcBorders>
                  <w:noWrap w:val="0"/>
                  <w:vAlign w:val="center"/>
                </w:tcPr>
                <w:p w14:paraId="38B6A892">
                  <w:pPr>
                    <w:jc w:val="center"/>
                    <w:rPr>
                      <w:rFonts w:hint="default" w:ascii="Times New Roman" w:hAnsi="Times New Roman" w:cs="Times New Roman"/>
                      <w:b/>
                      <w:bCs/>
                      <w:color w:val="auto"/>
                    </w:rPr>
                  </w:pPr>
                  <w:r>
                    <w:rPr>
                      <w:rFonts w:hint="default" w:ascii="Times New Roman" w:hAnsi="Times New Roman" w:cs="Times New Roman"/>
                      <w:b/>
                      <w:bCs/>
                      <w:color w:val="auto"/>
                    </w:rPr>
                    <w:t>危险废物代码</w:t>
                  </w:r>
                </w:p>
              </w:tc>
              <w:tc>
                <w:tcPr>
                  <w:tcW w:w="505" w:type="pct"/>
                  <w:tcBorders>
                    <w:tl2br w:val="nil"/>
                    <w:tr2bl w:val="nil"/>
                  </w:tcBorders>
                  <w:noWrap w:val="0"/>
                  <w:vAlign w:val="center"/>
                </w:tcPr>
                <w:p w14:paraId="37B0D849">
                  <w:pPr>
                    <w:jc w:val="center"/>
                    <w:rPr>
                      <w:rFonts w:hint="default" w:ascii="Times New Roman" w:hAnsi="Times New Roman" w:cs="Times New Roman"/>
                      <w:b/>
                      <w:bCs/>
                      <w:color w:val="auto"/>
                    </w:rPr>
                  </w:pPr>
                  <w:r>
                    <w:rPr>
                      <w:rFonts w:hint="default" w:ascii="Times New Roman" w:hAnsi="Times New Roman" w:cs="Times New Roman"/>
                      <w:b/>
                      <w:bCs/>
                      <w:color w:val="auto"/>
                    </w:rPr>
                    <w:t>产生量</w:t>
                  </w:r>
                </w:p>
                <w:p w14:paraId="76C43A86">
                  <w:pPr>
                    <w:jc w:val="center"/>
                    <w:rPr>
                      <w:rFonts w:hint="default" w:ascii="Times New Roman" w:hAnsi="Times New Roman" w:cs="Times New Roman"/>
                      <w:b/>
                      <w:bCs/>
                      <w:color w:val="auto"/>
                    </w:rPr>
                  </w:pPr>
                  <w:r>
                    <w:rPr>
                      <w:rFonts w:hint="default" w:ascii="Times New Roman" w:hAnsi="Times New Roman" w:cs="Times New Roman"/>
                      <w:b/>
                      <w:bCs/>
                      <w:color w:val="auto"/>
                    </w:rPr>
                    <w:t>（t/a）</w:t>
                  </w:r>
                </w:p>
              </w:tc>
              <w:tc>
                <w:tcPr>
                  <w:tcW w:w="458" w:type="pct"/>
                  <w:tcBorders>
                    <w:tl2br w:val="nil"/>
                    <w:tr2bl w:val="nil"/>
                  </w:tcBorders>
                  <w:noWrap w:val="0"/>
                  <w:vAlign w:val="center"/>
                </w:tcPr>
                <w:p w14:paraId="2A38C3A3">
                  <w:pPr>
                    <w:jc w:val="center"/>
                    <w:rPr>
                      <w:rFonts w:hint="default" w:ascii="Times New Roman" w:hAnsi="Times New Roman" w:cs="Times New Roman"/>
                      <w:b/>
                      <w:bCs/>
                      <w:color w:val="auto"/>
                    </w:rPr>
                  </w:pPr>
                  <w:r>
                    <w:rPr>
                      <w:rFonts w:hint="default" w:ascii="Times New Roman" w:hAnsi="Times New Roman" w:cs="Times New Roman"/>
                      <w:b/>
                      <w:bCs/>
                      <w:color w:val="auto"/>
                    </w:rPr>
                    <w:t>产生工序及装置</w:t>
                  </w:r>
                </w:p>
              </w:tc>
              <w:tc>
                <w:tcPr>
                  <w:tcW w:w="284" w:type="pct"/>
                  <w:tcBorders>
                    <w:tl2br w:val="nil"/>
                    <w:tr2bl w:val="nil"/>
                  </w:tcBorders>
                  <w:noWrap w:val="0"/>
                  <w:vAlign w:val="center"/>
                </w:tcPr>
                <w:p w14:paraId="2377F229">
                  <w:pPr>
                    <w:jc w:val="center"/>
                    <w:rPr>
                      <w:rFonts w:hint="default" w:ascii="Times New Roman" w:hAnsi="Times New Roman" w:cs="Times New Roman"/>
                      <w:b/>
                      <w:bCs/>
                      <w:color w:val="auto"/>
                    </w:rPr>
                  </w:pPr>
                  <w:r>
                    <w:rPr>
                      <w:rFonts w:hint="default" w:ascii="Times New Roman" w:hAnsi="Times New Roman" w:cs="Times New Roman"/>
                      <w:b/>
                      <w:bCs/>
                      <w:color w:val="auto"/>
                    </w:rPr>
                    <w:t>形态</w:t>
                  </w:r>
                </w:p>
              </w:tc>
              <w:tc>
                <w:tcPr>
                  <w:tcW w:w="368" w:type="pct"/>
                  <w:tcBorders>
                    <w:tl2br w:val="nil"/>
                    <w:tr2bl w:val="nil"/>
                  </w:tcBorders>
                  <w:noWrap w:val="0"/>
                  <w:vAlign w:val="center"/>
                </w:tcPr>
                <w:p w14:paraId="10BBC9B7">
                  <w:pPr>
                    <w:jc w:val="center"/>
                    <w:rPr>
                      <w:rFonts w:hint="default" w:ascii="Times New Roman" w:hAnsi="Times New Roman" w:cs="Times New Roman"/>
                      <w:b/>
                      <w:bCs/>
                      <w:color w:val="auto"/>
                    </w:rPr>
                  </w:pPr>
                  <w:r>
                    <w:rPr>
                      <w:rFonts w:hint="default" w:ascii="Times New Roman" w:hAnsi="Times New Roman" w:cs="Times New Roman"/>
                      <w:b/>
                      <w:bCs/>
                      <w:color w:val="auto"/>
                    </w:rPr>
                    <w:t>主要成分</w:t>
                  </w:r>
                </w:p>
              </w:tc>
              <w:tc>
                <w:tcPr>
                  <w:tcW w:w="368" w:type="pct"/>
                  <w:tcBorders>
                    <w:tl2br w:val="nil"/>
                    <w:tr2bl w:val="nil"/>
                  </w:tcBorders>
                  <w:noWrap w:val="0"/>
                  <w:vAlign w:val="center"/>
                </w:tcPr>
                <w:p w14:paraId="5E32398F">
                  <w:pPr>
                    <w:jc w:val="center"/>
                    <w:rPr>
                      <w:rFonts w:hint="default" w:ascii="Times New Roman" w:hAnsi="Times New Roman" w:cs="Times New Roman"/>
                      <w:b/>
                      <w:bCs/>
                      <w:color w:val="auto"/>
                    </w:rPr>
                  </w:pPr>
                  <w:r>
                    <w:rPr>
                      <w:rFonts w:hint="default" w:ascii="Times New Roman" w:hAnsi="Times New Roman" w:cs="Times New Roman"/>
                      <w:b/>
                      <w:bCs/>
                      <w:color w:val="auto"/>
                    </w:rPr>
                    <w:t>有害成分</w:t>
                  </w:r>
                </w:p>
              </w:tc>
              <w:tc>
                <w:tcPr>
                  <w:tcW w:w="315" w:type="pct"/>
                  <w:tcBorders>
                    <w:tl2br w:val="nil"/>
                    <w:tr2bl w:val="nil"/>
                  </w:tcBorders>
                  <w:noWrap w:val="0"/>
                  <w:vAlign w:val="center"/>
                </w:tcPr>
                <w:p w14:paraId="4C1DD41E">
                  <w:pPr>
                    <w:jc w:val="center"/>
                    <w:rPr>
                      <w:rFonts w:hint="default" w:ascii="Times New Roman" w:hAnsi="Times New Roman" w:cs="Times New Roman"/>
                      <w:b/>
                      <w:bCs/>
                      <w:color w:val="auto"/>
                    </w:rPr>
                  </w:pPr>
                  <w:r>
                    <w:rPr>
                      <w:rFonts w:hint="default" w:ascii="Times New Roman" w:hAnsi="Times New Roman" w:cs="Times New Roman"/>
                      <w:b/>
                      <w:bCs/>
                      <w:color w:val="auto"/>
                    </w:rPr>
                    <w:t>产废周期</w:t>
                  </w:r>
                </w:p>
              </w:tc>
              <w:tc>
                <w:tcPr>
                  <w:tcW w:w="457" w:type="pct"/>
                  <w:tcBorders>
                    <w:tl2br w:val="nil"/>
                    <w:tr2bl w:val="nil"/>
                  </w:tcBorders>
                  <w:noWrap w:val="0"/>
                  <w:vAlign w:val="center"/>
                </w:tcPr>
                <w:p w14:paraId="33553F91">
                  <w:pPr>
                    <w:jc w:val="center"/>
                    <w:rPr>
                      <w:rFonts w:hint="default" w:ascii="Times New Roman" w:hAnsi="Times New Roman" w:cs="Times New Roman"/>
                      <w:b/>
                      <w:bCs/>
                      <w:color w:val="auto"/>
                    </w:rPr>
                  </w:pPr>
                  <w:r>
                    <w:rPr>
                      <w:rFonts w:hint="default" w:ascii="Times New Roman" w:hAnsi="Times New Roman" w:cs="Times New Roman"/>
                      <w:b/>
                      <w:bCs/>
                      <w:color w:val="auto"/>
                    </w:rPr>
                    <w:t>危险特性</w:t>
                  </w:r>
                </w:p>
              </w:tc>
              <w:tc>
                <w:tcPr>
                  <w:tcW w:w="408" w:type="pct"/>
                  <w:tcBorders>
                    <w:tl2br w:val="nil"/>
                    <w:tr2bl w:val="nil"/>
                  </w:tcBorders>
                  <w:noWrap w:val="0"/>
                  <w:vAlign w:val="center"/>
                </w:tcPr>
                <w:p w14:paraId="7068D4FA">
                  <w:pPr>
                    <w:jc w:val="center"/>
                    <w:rPr>
                      <w:rFonts w:hint="default" w:ascii="Times New Roman" w:hAnsi="Times New Roman" w:cs="Times New Roman"/>
                      <w:b/>
                      <w:bCs/>
                      <w:color w:val="auto"/>
                    </w:rPr>
                  </w:pPr>
                  <w:r>
                    <w:rPr>
                      <w:rFonts w:hint="default" w:ascii="Times New Roman" w:hAnsi="Times New Roman" w:cs="Times New Roman"/>
                      <w:b/>
                      <w:bCs/>
                      <w:color w:val="auto"/>
                    </w:rPr>
                    <w:t>污染物防治措施</w:t>
                  </w:r>
                </w:p>
              </w:tc>
            </w:tr>
            <w:tr w14:paraId="2A040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0" w:type="dxa"/>
                  <w:tcBorders>
                    <w:tl2br w:val="nil"/>
                    <w:tr2bl w:val="nil"/>
                  </w:tcBorders>
                  <w:noWrap w:val="0"/>
                  <w:vAlign w:val="center"/>
                </w:tcPr>
                <w:p w14:paraId="5B8EBC88">
                  <w:pPr>
                    <w:jc w:val="center"/>
                    <w:rPr>
                      <w:rFonts w:hint="default" w:ascii="Times New Roman" w:hAnsi="Times New Roman" w:cs="Times New Roman"/>
                      <w:color w:val="auto"/>
                    </w:rPr>
                  </w:pPr>
                  <w:r>
                    <w:rPr>
                      <w:rFonts w:hint="eastAsia" w:ascii="Times New Roman" w:hAnsi="Times New Roman" w:cs="Times New Roman"/>
                      <w:color w:val="auto"/>
                      <w:szCs w:val="21"/>
                      <w:highlight w:val="none"/>
                      <w:lang w:val="en-US" w:eastAsia="zh-CN"/>
                    </w:rPr>
                    <w:t>1</w:t>
                  </w:r>
                </w:p>
              </w:tc>
              <w:tc>
                <w:tcPr>
                  <w:tcW w:w="722" w:type="dxa"/>
                  <w:tcBorders>
                    <w:tl2br w:val="nil"/>
                    <w:tr2bl w:val="nil"/>
                  </w:tcBorders>
                  <w:noWrap w:val="0"/>
                  <w:vAlign w:val="center"/>
                </w:tcPr>
                <w:p w14:paraId="065CAEA9">
                  <w:pPr>
                    <w:jc w:val="center"/>
                    <w:rPr>
                      <w:rFonts w:hint="default" w:ascii="Times New Roman" w:hAnsi="Times New Roman" w:cs="Times New Roman"/>
                      <w:color w:val="auto"/>
                    </w:rPr>
                  </w:pPr>
                  <w:r>
                    <w:rPr>
                      <w:rFonts w:hint="eastAsia" w:ascii="Times New Roman" w:hAnsi="Times New Roman" w:eastAsia="宋体" w:cs="Times New Roman"/>
                      <w:color w:val="auto"/>
                      <w:sz w:val="21"/>
                      <w:szCs w:val="21"/>
                      <w:lang w:val="en-US" w:eastAsia="zh-CN"/>
                    </w:rPr>
                    <w:t>实验废液</w:t>
                  </w:r>
                </w:p>
              </w:tc>
              <w:tc>
                <w:tcPr>
                  <w:tcW w:w="795" w:type="dxa"/>
                  <w:tcBorders>
                    <w:tl2br w:val="nil"/>
                    <w:tr2bl w:val="nil"/>
                  </w:tcBorders>
                  <w:noWrap w:val="0"/>
                  <w:vAlign w:val="center"/>
                </w:tcPr>
                <w:p w14:paraId="7CC9A320">
                  <w:pPr>
                    <w:jc w:val="center"/>
                    <w:rPr>
                      <w:rFonts w:hint="default" w:ascii="Times New Roman" w:hAnsi="Times New Roman" w:cs="Times New Roman"/>
                      <w:color w:val="auto"/>
                    </w:rPr>
                  </w:pPr>
                  <w:r>
                    <w:rPr>
                      <w:rFonts w:hint="eastAsia" w:ascii="Times New Roman" w:hAnsi="Times New Roman" w:cs="Times New Roman"/>
                      <w:color w:val="auto"/>
                      <w:szCs w:val="21"/>
                      <w:highlight w:val="none"/>
                      <w:lang w:val="en-US" w:eastAsia="zh-CN"/>
                    </w:rPr>
                    <w:t>HW49</w:t>
                  </w:r>
                </w:p>
              </w:tc>
              <w:tc>
                <w:tcPr>
                  <w:tcW w:w="1224" w:type="dxa"/>
                  <w:tcBorders>
                    <w:tl2br w:val="nil"/>
                    <w:tr2bl w:val="nil"/>
                  </w:tcBorders>
                  <w:noWrap w:val="0"/>
                  <w:vAlign w:val="center"/>
                </w:tcPr>
                <w:p w14:paraId="44AC8E64">
                  <w:pPr>
                    <w:jc w:val="center"/>
                    <w:rPr>
                      <w:rFonts w:hint="default" w:ascii="Times New Roman" w:hAnsi="Times New Roman" w:cs="Times New Roman"/>
                      <w:color w:val="auto"/>
                    </w:rPr>
                  </w:pPr>
                  <w:r>
                    <w:rPr>
                      <w:rFonts w:hint="eastAsia" w:ascii="Times New Roman" w:hAnsi="Times New Roman" w:cs="Times New Roman"/>
                      <w:color w:val="auto"/>
                      <w:szCs w:val="21"/>
                      <w:highlight w:val="none"/>
                      <w:lang w:val="en-US" w:eastAsia="zh-CN"/>
                    </w:rPr>
                    <w:t>900-047-049</w:t>
                  </w:r>
                </w:p>
              </w:tc>
              <w:tc>
                <w:tcPr>
                  <w:tcW w:w="892" w:type="dxa"/>
                  <w:tcBorders>
                    <w:tl2br w:val="nil"/>
                    <w:tr2bl w:val="nil"/>
                  </w:tcBorders>
                  <w:noWrap w:val="0"/>
                  <w:vAlign w:val="center"/>
                </w:tcPr>
                <w:p w14:paraId="2A8DAB2B">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Cs w:val="21"/>
                      <w:highlight w:val="none"/>
                      <w:lang w:val="en-US" w:eastAsia="zh-CN"/>
                    </w:rPr>
                    <w:t>3.0134</w:t>
                  </w:r>
                </w:p>
              </w:tc>
              <w:tc>
                <w:tcPr>
                  <w:tcW w:w="809" w:type="dxa"/>
                  <w:tcBorders>
                    <w:tl2br w:val="nil"/>
                    <w:tr2bl w:val="nil"/>
                  </w:tcBorders>
                  <w:noWrap w:val="0"/>
                  <w:vAlign w:val="center"/>
                </w:tcPr>
                <w:p w14:paraId="7F73743A">
                  <w:pPr>
                    <w:jc w:val="center"/>
                    <w:rPr>
                      <w:rFonts w:hint="default" w:ascii="Times New Roman" w:hAnsi="Times New Roman" w:eastAsia="宋体" w:cs="Times New Roman"/>
                      <w:color w:val="auto"/>
                      <w:lang w:eastAsia="zh-CN"/>
                    </w:rPr>
                  </w:pPr>
                  <w:r>
                    <w:rPr>
                      <w:rFonts w:hint="eastAsia" w:ascii="Times New Roman" w:hAnsi="Times New Roman" w:cs="Times New Roman"/>
                      <w:color w:val="auto"/>
                      <w:szCs w:val="21"/>
                      <w:highlight w:val="none"/>
                      <w:lang w:val="en-US" w:eastAsia="zh-CN"/>
                    </w:rPr>
                    <w:t>化学实验</w:t>
                  </w:r>
                </w:p>
              </w:tc>
              <w:tc>
                <w:tcPr>
                  <w:tcW w:w="501" w:type="dxa"/>
                  <w:tcBorders>
                    <w:tl2br w:val="nil"/>
                    <w:tr2bl w:val="nil"/>
                  </w:tcBorders>
                  <w:noWrap w:val="0"/>
                  <w:vAlign w:val="center"/>
                </w:tcPr>
                <w:p w14:paraId="16F8F319">
                  <w:pPr>
                    <w:jc w:val="center"/>
                    <w:rPr>
                      <w:rFonts w:hint="default" w:ascii="Times New Roman" w:hAnsi="Times New Roman" w:cs="Times New Roman"/>
                      <w:color w:val="auto"/>
                    </w:rPr>
                  </w:pPr>
                  <w:r>
                    <w:rPr>
                      <w:rFonts w:hint="eastAsia" w:ascii="Times New Roman" w:hAnsi="Times New Roman" w:cs="Times New Roman"/>
                      <w:color w:val="auto"/>
                      <w:szCs w:val="21"/>
                      <w:highlight w:val="none"/>
                      <w:lang w:val="en-US" w:eastAsia="zh-CN"/>
                    </w:rPr>
                    <w:t>液态</w:t>
                  </w:r>
                </w:p>
              </w:tc>
              <w:tc>
                <w:tcPr>
                  <w:tcW w:w="650" w:type="dxa"/>
                  <w:tcBorders>
                    <w:tl2br w:val="nil"/>
                    <w:tr2bl w:val="nil"/>
                  </w:tcBorders>
                  <w:noWrap w:val="0"/>
                  <w:vAlign w:val="center"/>
                </w:tcPr>
                <w:p w14:paraId="4351E29D">
                  <w:pPr>
                    <w:jc w:val="center"/>
                    <w:rPr>
                      <w:rFonts w:hint="default" w:ascii="Times New Roman" w:hAnsi="Times New Roman" w:cs="Times New Roman"/>
                      <w:color w:val="auto"/>
                    </w:rPr>
                  </w:pPr>
                  <w:r>
                    <w:rPr>
                      <w:rFonts w:hint="eastAsia" w:ascii="Times New Roman" w:hAnsi="Times New Roman" w:cs="Times New Roman"/>
                      <w:color w:val="auto"/>
                      <w:szCs w:val="21"/>
                      <w:highlight w:val="none"/>
                      <w:lang w:val="en-US" w:eastAsia="zh-CN"/>
                    </w:rPr>
                    <w:t>酸、碱</w:t>
                  </w:r>
                </w:p>
              </w:tc>
              <w:tc>
                <w:tcPr>
                  <w:tcW w:w="650" w:type="dxa"/>
                  <w:tcBorders>
                    <w:tl2br w:val="nil"/>
                    <w:tr2bl w:val="nil"/>
                  </w:tcBorders>
                  <w:noWrap w:val="0"/>
                  <w:vAlign w:val="center"/>
                </w:tcPr>
                <w:p w14:paraId="6B1DB2F2">
                  <w:pPr>
                    <w:jc w:val="center"/>
                    <w:rPr>
                      <w:rFonts w:hint="default" w:ascii="Times New Roman" w:hAnsi="Times New Roman" w:cs="Times New Roman"/>
                      <w:color w:val="auto"/>
                    </w:rPr>
                  </w:pPr>
                  <w:r>
                    <w:rPr>
                      <w:rFonts w:hint="eastAsia" w:ascii="Times New Roman" w:hAnsi="Times New Roman" w:cs="Times New Roman"/>
                      <w:color w:val="auto"/>
                      <w:szCs w:val="21"/>
                      <w:highlight w:val="none"/>
                      <w:lang w:val="en-US" w:eastAsia="zh-CN"/>
                    </w:rPr>
                    <w:t>酸、碱</w:t>
                  </w:r>
                </w:p>
              </w:tc>
              <w:tc>
                <w:tcPr>
                  <w:tcW w:w="556" w:type="dxa"/>
                  <w:tcBorders>
                    <w:tl2br w:val="nil"/>
                    <w:tr2bl w:val="nil"/>
                  </w:tcBorders>
                  <w:noWrap w:val="0"/>
                  <w:vAlign w:val="center"/>
                </w:tcPr>
                <w:p w14:paraId="4FE6DE2E">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Cs w:val="21"/>
                      <w:highlight w:val="none"/>
                      <w:lang w:val="en-US" w:eastAsia="zh-CN"/>
                    </w:rPr>
                    <w:t>化学实验时</w:t>
                  </w:r>
                </w:p>
              </w:tc>
              <w:tc>
                <w:tcPr>
                  <w:tcW w:w="807" w:type="dxa"/>
                  <w:tcBorders>
                    <w:tl2br w:val="nil"/>
                    <w:tr2bl w:val="nil"/>
                  </w:tcBorders>
                  <w:noWrap w:val="0"/>
                  <w:vAlign w:val="center"/>
                </w:tcPr>
                <w:p w14:paraId="389045E1">
                  <w:pPr>
                    <w:jc w:val="center"/>
                    <w:rPr>
                      <w:rFonts w:hint="default" w:ascii="Times New Roman" w:hAnsi="Times New Roman" w:cs="Times New Roman"/>
                      <w:color w:val="auto"/>
                    </w:rPr>
                  </w:pPr>
                  <w:r>
                    <w:rPr>
                      <w:rFonts w:hint="eastAsia" w:ascii="Times New Roman" w:hAnsi="Times New Roman" w:cs="Times New Roman"/>
                      <w:color w:val="auto"/>
                      <w:szCs w:val="21"/>
                      <w:highlight w:val="none"/>
                      <w:lang w:val="en-US" w:eastAsia="zh-CN"/>
                    </w:rPr>
                    <w:t>T/C/I/R</w:t>
                  </w:r>
                </w:p>
              </w:tc>
              <w:tc>
                <w:tcPr>
                  <w:tcW w:w="408" w:type="pct"/>
                  <w:vMerge w:val="restart"/>
                  <w:tcBorders>
                    <w:tl2br w:val="nil"/>
                    <w:tr2bl w:val="nil"/>
                  </w:tcBorders>
                  <w:noWrap w:val="0"/>
                  <w:vAlign w:val="center"/>
                </w:tcPr>
                <w:p w14:paraId="74FE165D">
                  <w:pPr>
                    <w:jc w:val="center"/>
                    <w:rPr>
                      <w:rFonts w:hint="default" w:ascii="Times New Roman" w:hAnsi="Times New Roman" w:cs="Times New Roman"/>
                      <w:color w:val="auto"/>
                    </w:rPr>
                  </w:pPr>
                  <w:r>
                    <w:rPr>
                      <w:rFonts w:hint="eastAsia" w:ascii="Times New Roman" w:hAnsi="Times New Roman" w:cs="Times New Roman"/>
                      <w:color w:val="auto"/>
                      <w:szCs w:val="21"/>
                      <w:highlight w:val="none"/>
                      <w:lang w:val="en-US" w:eastAsia="zh-CN"/>
                    </w:rPr>
                    <w:t>在危废暂存间内暂存，定期由有危废资质单位运输处置。</w:t>
                  </w:r>
                </w:p>
              </w:tc>
            </w:tr>
            <w:tr w14:paraId="6363A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0" w:type="dxa"/>
                  <w:tcBorders>
                    <w:tl2br w:val="nil"/>
                    <w:tr2bl w:val="nil"/>
                  </w:tcBorders>
                  <w:noWrap w:val="0"/>
                  <w:vAlign w:val="center"/>
                </w:tcPr>
                <w:p w14:paraId="3BBE1DDE">
                  <w:pPr>
                    <w:jc w:val="center"/>
                    <w:rPr>
                      <w:rFonts w:hint="default" w:ascii="Times New Roman" w:hAnsi="Times New Roman" w:cs="Times New Roman"/>
                      <w:color w:val="auto"/>
                    </w:rPr>
                  </w:pPr>
                  <w:r>
                    <w:rPr>
                      <w:rFonts w:hint="eastAsia" w:ascii="Times New Roman" w:hAnsi="Times New Roman" w:cs="Times New Roman"/>
                      <w:color w:val="auto"/>
                      <w:szCs w:val="21"/>
                      <w:highlight w:val="none"/>
                      <w:lang w:val="en-US" w:eastAsia="zh-CN"/>
                    </w:rPr>
                    <w:t>2</w:t>
                  </w:r>
                </w:p>
              </w:tc>
              <w:tc>
                <w:tcPr>
                  <w:tcW w:w="722" w:type="dxa"/>
                  <w:tcBorders>
                    <w:tl2br w:val="nil"/>
                    <w:tr2bl w:val="nil"/>
                  </w:tcBorders>
                  <w:noWrap w:val="0"/>
                  <w:vAlign w:val="center"/>
                </w:tcPr>
                <w:p w14:paraId="12DDB1FB">
                  <w:pPr>
                    <w:jc w:val="center"/>
                    <w:rPr>
                      <w:rFonts w:hint="default" w:ascii="Times New Roman" w:hAnsi="Times New Roman" w:cs="Times New Roman"/>
                      <w:color w:val="auto"/>
                    </w:rPr>
                  </w:pPr>
                  <w:r>
                    <w:rPr>
                      <w:rFonts w:hint="default" w:ascii="Times New Roman" w:hAnsi="Times New Roman" w:eastAsia="宋体" w:cs="Times New Roman"/>
                      <w:color w:val="auto"/>
                      <w:szCs w:val="21"/>
                      <w:lang w:val="en-US" w:eastAsia="zh-CN"/>
                    </w:rPr>
                    <w:t>化学品废包装容器</w:t>
                  </w:r>
                </w:p>
              </w:tc>
              <w:tc>
                <w:tcPr>
                  <w:tcW w:w="795" w:type="dxa"/>
                  <w:tcBorders>
                    <w:tl2br w:val="nil"/>
                    <w:tr2bl w:val="nil"/>
                  </w:tcBorders>
                  <w:noWrap w:val="0"/>
                  <w:vAlign w:val="center"/>
                </w:tcPr>
                <w:p w14:paraId="10E1CBE6">
                  <w:pPr>
                    <w:jc w:val="center"/>
                    <w:rPr>
                      <w:rFonts w:hint="default" w:ascii="Times New Roman" w:hAnsi="Times New Roman" w:cs="Times New Roman"/>
                      <w:color w:val="auto"/>
                    </w:rPr>
                  </w:pPr>
                  <w:r>
                    <w:rPr>
                      <w:rFonts w:hint="eastAsia" w:ascii="Times New Roman" w:hAnsi="Times New Roman" w:cs="Times New Roman"/>
                      <w:color w:val="auto"/>
                      <w:szCs w:val="21"/>
                      <w:highlight w:val="none"/>
                      <w:lang w:val="en-US" w:eastAsia="zh-CN"/>
                    </w:rPr>
                    <w:t>HW49</w:t>
                  </w:r>
                </w:p>
              </w:tc>
              <w:tc>
                <w:tcPr>
                  <w:tcW w:w="1224" w:type="dxa"/>
                  <w:tcBorders>
                    <w:tl2br w:val="nil"/>
                    <w:tr2bl w:val="nil"/>
                  </w:tcBorders>
                  <w:noWrap w:val="0"/>
                  <w:vAlign w:val="center"/>
                </w:tcPr>
                <w:p w14:paraId="1D471950">
                  <w:pPr>
                    <w:jc w:val="center"/>
                    <w:rPr>
                      <w:rFonts w:hint="default" w:ascii="Times New Roman" w:hAnsi="Times New Roman" w:cs="Times New Roman"/>
                      <w:color w:val="auto"/>
                    </w:rPr>
                  </w:pPr>
                  <w:r>
                    <w:rPr>
                      <w:rFonts w:hint="eastAsia" w:ascii="Times New Roman" w:hAnsi="Times New Roman" w:cs="Times New Roman"/>
                      <w:color w:val="auto"/>
                      <w:szCs w:val="21"/>
                      <w:highlight w:val="none"/>
                      <w:lang w:val="en-US" w:eastAsia="zh-CN"/>
                    </w:rPr>
                    <w:t>900-047-049</w:t>
                  </w:r>
                </w:p>
              </w:tc>
              <w:tc>
                <w:tcPr>
                  <w:tcW w:w="892" w:type="dxa"/>
                  <w:tcBorders>
                    <w:tl2br w:val="nil"/>
                    <w:tr2bl w:val="nil"/>
                  </w:tcBorders>
                  <w:noWrap w:val="0"/>
                  <w:vAlign w:val="center"/>
                </w:tcPr>
                <w:p w14:paraId="0D43C329">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Cs w:val="21"/>
                      <w:highlight w:val="none"/>
                      <w:lang w:val="en-US" w:eastAsia="zh-CN"/>
                    </w:rPr>
                    <w:t>0.1</w:t>
                  </w:r>
                </w:p>
              </w:tc>
              <w:tc>
                <w:tcPr>
                  <w:tcW w:w="809" w:type="dxa"/>
                  <w:tcBorders>
                    <w:tl2br w:val="nil"/>
                    <w:tr2bl w:val="nil"/>
                  </w:tcBorders>
                  <w:noWrap w:val="0"/>
                  <w:vAlign w:val="center"/>
                </w:tcPr>
                <w:p w14:paraId="6C2C95FD">
                  <w:pPr>
                    <w:jc w:val="center"/>
                    <w:rPr>
                      <w:rFonts w:hint="default" w:ascii="Times New Roman" w:hAnsi="Times New Roman" w:cs="Times New Roman"/>
                      <w:color w:val="auto"/>
                    </w:rPr>
                  </w:pPr>
                  <w:r>
                    <w:rPr>
                      <w:rFonts w:hint="eastAsia" w:ascii="Times New Roman" w:hAnsi="Times New Roman" w:cs="Times New Roman"/>
                      <w:color w:val="auto"/>
                      <w:szCs w:val="21"/>
                      <w:highlight w:val="none"/>
                      <w:lang w:val="en-US" w:eastAsia="zh-CN"/>
                    </w:rPr>
                    <w:t>化学试剂储存</w:t>
                  </w:r>
                </w:p>
              </w:tc>
              <w:tc>
                <w:tcPr>
                  <w:tcW w:w="501" w:type="dxa"/>
                  <w:tcBorders>
                    <w:tl2br w:val="nil"/>
                    <w:tr2bl w:val="nil"/>
                  </w:tcBorders>
                  <w:noWrap w:val="0"/>
                  <w:vAlign w:val="center"/>
                </w:tcPr>
                <w:p w14:paraId="3664D311">
                  <w:pPr>
                    <w:jc w:val="center"/>
                    <w:rPr>
                      <w:rFonts w:hint="default" w:ascii="Times New Roman" w:hAnsi="Times New Roman" w:cs="Times New Roman"/>
                      <w:color w:val="auto"/>
                    </w:rPr>
                  </w:pPr>
                  <w:r>
                    <w:rPr>
                      <w:rFonts w:hint="eastAsia" w:ascii="Times New Roman" w:hAnsi="Times New Roman" w:cs="Times New Roman"/>
                      <w:color w:val="auto"/>
                      <w:szCs w:val="21"/>
                      <w:highlight w:val="none"/>
                      <w:lang w:val="en-US" w:eastAsia="zh-CN"/>
                    </w:rPr>
                    <w:t>固态</w:t>
                  </w:r>
                </w:p>
              </w:tc>
              <w:tc>
                <w:tcPr>
                  <w:tcW w:w="650" w:type="dxa"/>
                  <w:tcBorders>
                    <w:tl2br w:val="nil"/>
                    <w:tr2bl w:val="nil"/>
                  </w:tcBorders>
                  <w:noWrap w:val="0"/>
                  <w:vAlign w:val="center"/>
                </w:tcPr>
                <w:p w14:paraId="0FE35ABE">
                  <w:pPr>
                    <w:jc w:val="center"/>
                    <w:rPr>
                      <w:rFonts w:hint="default" w:ascii="Times New Roman" w:hAnsi="Times New Roman" w:cs="Times New Roman"/>
                      <w:color w:val="auto"/>
                    </w:rPr>
                  </w:pPr>
                  <w:r>
                    <w:rPr>
                      <w:rFonts w:hint="eastAsia" w:ascii="Times New Roman" w:hAnsi="Times New Roman" w:cs="Times New Roman"/>
                      <w:color w:val="auto"/>
                      <w:szCs w:val="21"/>
                      <w:highlight w:val="none"/>
                      <w:lang w:val="en-US" w:eastAsia="zh-CN"/>
                    </w:rPr>
                    <w:t>SiO</w:t>
                  </w:r>
                  <w:r>
                    <w:rPr>
                      <w:rFonts w:hint="eastAsia" w:ascii="Times New Roman" w:hAnsi="Times New Roman" w:cs="Times New Roman"/>
                      <w:color w:val="auto"/>
                      <w:szCs w:val="21"/>
                      <w:highlight w:val="none"/>
                      <w:vertAlign w:val="subscript"/>
                      <w:lang w:val="en-US" w:eastAsia="zh-CN"/>
                    </w:rPr>
                    <w:t>2</w:t>
                  </w:r>
                </w:p>
              </w:tc>
              <w:tc>
                <w:tcPr>
                  <w:tcW w:w="650" w:type="dxa"/>
                  <w:tcBorders>
                    <w:tl2br w:val="nil"/>
                    <w:tr2bl w:val="nil"/>
                  </w:tcBorders>
                  <w:noWrap w:val="0"/>
                  <w:vAlign w:val="center"/>
                </w:tcPr>
                <w:p w14:paraId="01EA79CE">
                  <w:pPr>
                    <w:jc w:val="center"/>
                    <w:rPr>
                      <w:rFonts w:hint="default" w:ascii="Times New Roman" w:hAnsi="Times New Roman" w:cs="Times New Roman"/>
                      <w:color w:val="auto"/>
                    </w:rPr>
                  </w:pPr>
                  <w:r>
                    <w:rPr>
                      <w:rFonts w:hint="eastAsia" w:ascii="Times New Roman" w:hAnsi="Times New Roman" w:cs="Times New Roman"/>
                      <w:color w:val="auto"/>
                      <w:szCs w:val="21"/>
                      <w:highlight w:val="none"/>
                      <w:lang w:val="en-US" w:eastAsia="zh-CN"/>
                    </w:rPr>
                    <w:t>酸、碱</w:t>
                  </w:r>
                </w:p>
              </w:tc>
              <w:tc>
                <w:tcPr>
                  <w:tcW w:w="556" w:type="dxa"/>
                  <w:tcBorders>
                    <w:tl2br w:val="nil"/>
                    <w:tr2bl w:val="nil"/>
                  </w:tcBorders>
                  <w:noWrap w:val="0"/>
                  <w:vAlign w:val="center"/>
                </w:tcPr>
                <w:p w14:paraId="5CF8CB7A">
                  <w:pPr>
                    <w:jc w:val="center"/>
                    <w:rPr>
                      <w:rFonts w:hint="default" w:ascii="Times New Roman" w:hAnsi="Times New Roman" w:eastAsia="宋体" w:cs="Times New Roman"/>
                      <w:color w:val="auto"/>
                      <w:lang w:eastAsia="zh-CN"/>
                    </w:rPr>
                  </w:pPr>
                  <w:r>
                    <w:rPr>
                      <w:rFonts w:hint="eastAsia" w:ascii="Times New Roman" w:hAnsi="Times New Roman" w:cs="Times New Roman"/>
                      <w:color w:val="auto"/>
                      <w:szCs w:val="21"/>
                      <w:highlight w:val="none"/>
                      <w:lang w:val="en-US" w:eastAsia="zh-CN"/>
                    </w:rPr>
                    <w:t>1个月</w:t>
                  </w:r>
                </w:p>
              </w:tc>
              <w:tc>
                <w:tcPr>
                  <w:tcW w:w="807" w:type="dxa"/>
                  <w:tcBorders>
                    <w:tl2br w:val="nil"/>
                    <w:tr2bl w:val="nil"/>
                  </w:tcBorders>
                  <w:noWrap w:val="0"/>
                  <w:vAlign w:val="center"/>
                </w:tcPr>
                <w:p w14:paraId="5AFC90F7">
                  <w:pPr>
                    <w:jc w:val="center"/>
                    <w:rPr>
                      <w:rFonts w:hint="default" w:ascii="Times New Roman" w:hAnsi="Times New Roman" w:cs="Times New Roman"/>
                      <w:color w:val="auto"/>
                    </w:rPr>
                  </w:pPr>
                  <w:r>
                    <w:rPr>
                      <w:rFonts w:hint="eastAsia" w:ascii="Times New Roman" w:hAnsi="Times New Roman" w:cs="Times New Roman"/>
                      <w:color w:val="auto"/>
                      <w:szCs w:val="21"/>
                      <w:highlight w:val="none"/>
                      <w:lang w:val="en-US" w:eastAsia="zh-CN"/>
                    </w:rPr>
                    <w:t>T/C/I/R</w:t>
                  </w:r>
                </w:p>
              </w:tc>
              <w:tc>
                <w:tcPr>
                  <w:tcW w:w="408" w:type="pct"/>
                  <w:vMerge w:val="continue"/>
                  <w:tcBorders>
                    <w:tl2br w:val="nil"/>
                    <w:tr2bl w:val="nil"/>
                  </w:tcBorders>
                  <w:noWrap w:val="0"/>
                  <w:vAlign w:val="center"/>
                </w:tcPr>
                <w:p w14:paraId="1966C253">
                  <w:pPr>
                    <w:jc w:val="center"/>
                    <w:rPr>
                      <w:rFonts w:hint="default" w:ascii="Times New Roman" w:hAnsi="Times New Roman" w:cs="Times New Roman"/>
                      <w:color w:val="auto"/>
                    </w:rPr>
                  </w:pPr>
                </w:p>
              </w:tc>
            </w:tr>
          </w:tbl>
          <w:p w14:paraId="58F49C7A">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（4）危险废物识别标志设置</w:t>
            </w:r>
          </w:p>
          <w:p w14:paraId="25276360">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按照《危险废物识别标志设置技术规范》（HJ1276-2022）设置识别标志，具体要求如下所示：</w:t>
            </w:r>
          </w:p>
          <w:p w14:paraId="688C53EE">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 xml:space="preserve">1）总体要求 </w:t>
            </w:r>
          </w:p>
          <w:p w14:paraId="03B7D287">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①危险废物识别标志的设置应具有足够的警示性，以提醒相关人员在从事收集、贮存、利用、处置危险废物经营活动时注意防范危险废物的环境风险。②危险废物识别标志应设置在醒目的位置，避免被其他固定物体遮挡，并与周边的环境特点相协调。③危险废物识别标志与其他标志宜保持视觉上的分离。危险废物识别标志与其他标志相近设置时，宜确保危险废物识别标志在视觉上的识别和信息的读取不受其他标志的影响。④同一场所内，同一种类危险废物识别标志的尺寸、设置位置、设置方式和设置高度等宜保持一致。⑤危险废物识别标志的设置除应满足本标准的要求外，还应执行国家安全生产、消防等有关法律、法规和标准的要求。</w:t>
            </w:r>
          </w:p>
          <w:p w14:paraId="30D89641">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 xml:space="preserve">2）危险废物标签的内容要求 </w:t>
            </w:r>
          </w:p>
          <w:p w14:paraId="7F7C6216">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①危险废物标签应以醒目的字样标注</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危险废物”。②危险废物标签应包含废物名称、废物类别、废物代码、废物形态、危险特性、主要成分、有害成分、注意事项、产生/收集单位名称、联系人、联系方式、产生日期、废物重量和备注。③危险废物标签宜设置危险废物数字识别码和二维码。</w:t>
            </w:r>
          </w:p>
          <w:p w14:paraId="20C4ABCB">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3）危险废物贮存分区标志</w:t>
            </w:r>
          </w:p>
          <w:p w14:paraId="34E13EC7">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①危险废物贮存分区标志应以醒目的方式标注</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危险废物贮存分区标志”字样。②危险废物贮存分区标志应包含但不限于设施内部所有贮存分区的平面分布、各分区存放的危险废物信息、本贮存分区的具体位置、环境应急物资所在位置以及进出口位置和方向。③危险废物贮存单位可根据自身贮存设施建设情况，在危险废物贮存分区标志中添加收集池、导流沟和通道等信息。④危险废物贮存分区标志的信息应随着设施内废物贮存情况的变化及时调整。</w:t>
            </w:r>
          </w:p>
          <w:p w14:paraId="70C14747">
            <w:pPr>
              <w:spacing w:line="360" w:lineRule="auto"/>
              <w:ind w:firstLine="482" w:firstLineChars="200"/>
              <w:rPr>
                <w:rFonts w:hint="default" w:ascii="Times New Roman" w:hAnsi="Times New Roman" w:cs="Times New Roman"/>
                <w:bCs/>
                <w:color w:val="auto"/>
                <w:sz w:val="24"/>
              </w:rPr>
            </w:pPr>
            <w:r>
              <w:rPr>
                <w:rFonts w:hint="default" w:ascii="Times New Roman" w:hAnsi="Times New Roman" w:cs="Times New Roman"/>
                <w:b/>
                <w:color w:val="auto"/>
                <w:sz w:val="24"/>
              </w:rPr>
              <w:t>4）危险废物贮存、利用、处置设施标志</w:t>
            </w:r>
            <w:r>
              <w:rPr>
                <w:rFonts w:hint="default" w:ascii="Times New Roman" w:hAnsi="Times New Roman" w:cs="Times New Roman"/>
                <w:bCs/>
                <w:color w:val="auto"/>
                <w:sz w:val="24"/>
              </w:rPr>
              <w:t xml:space="preserve"> </w:t>
            </w:r>
          </w:p>
          <w:p w14:paraId="21F2B1F7">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①危险废物贮存、利用、处置设施标志应包含三角形警告性图形标志和文字性辅助标志，其中三角形警告性图形标志应符合GB 15562.2中的要求。②危险废物贮存、利用、处置设施标志应以醒目的文字标注危险废物设施的类型。③危险废物贮存、利用、处置设施标志还应包含危险废物设施所属的单位名称、设施编码、负责人及联系方式。④危险废物贮存、利用、处置设施标志宜设置二维码，对设施使用情况进行信息化管理。</w:t>
            </w:r>
          </w:p>
          <w:tbl>
            <w:tblPr>
              <w:tblStyle w:val="40"/>
              <w:tblW w:w="5000" w:type="pct"/>
              <w:jc w:val="center"/>
              <w:tblLayout w:type="fixed"/>
              <w:tblCellMar>
                <w:top w:w="0" w:type="dxa"/>
                <w:left w:w="108" w:type="dxa"/>
                <w:bottom w:w="0" w:type="dxa"/>
                <w:right w:w="108" w:type="dxa"/>
              </w:tblCellMar>
            </w:tblPr>
            <w:tblGrid>
              <w:gridCol w:w="4408"/>
              <w:gridCol w:w="4408"/>
            </w:tblGrid>
            <w:tr w14:paraId="494E50BA">
              <w:tblPrEx>
                <w:tblCellMar>
                  <w:top w:w="0" w:type="dxa"/>
                  <w:left w:w="108" w:type="dxa"/>
                  <w:bottom w:w="0" w:type="dxa"/>
                  <w:right w:w="108" w:type="dxa"/>
                </w:tblCellMar>
              </w:tblPrEx>
              <w:trPr>
                <w:jc w:val="center"/>
              </w:trPr>
              <w:tc>
                <w:tcPr>
                  <w:tcW w:w="2500" w:type="pct"/>
                  <w:noWrap w:val="0"/>
                  <w:vAlign w:val="center"/>
                </w:tcPr>
                <w:p w14:paraId="78F4C564">
                  <w:pPr>
                    <w:jc w:val="center"/>
                    <w:rPr>
                      <w:rFonts w:hint="default" w:ascii="Times New Roman" w:hAnsi="Times New Roman" w:cs="Times New Roman"/>
                      <w:b/>
                      <w:color w:val="auto"/>
                      <w:sz w:val="24"/>
                    </w:rPr>
                  </w:pPr>
                  <w:r>
                    <w:rPr>
                      <w:rFonts w:hint="default" w:ascii="Times New Roman" w:hAnsi="Times New Roman" w:cs="Times New Roman"/>
                      <w:color w:val="auto"/>
                    </w:rPr>
                    <w:drawing>
                      <wp:inline distT="0" distB="0" distL="114300" distR="114300">
                        <wp:extent cx="2351405" cy="2306320"/>
                        <wp:effectExtent l="0" t="0" r="10795" b="1778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40"/>
                                <a:stretch>
                                  <a:fillRect/>
                                </a:stretch>
                              </pic:blipFill>
                              <pic:spPr>
                                <a:xfrm>
                                  <a:off x="0" y="0"/>
                                  <a:ext cx="2351405" cy="2306320"/>
                                </a:xfrm>
                                <a:prstGeom prst="rect">
                                  <a:avLst/>
                                </a:prstGeom>
                                <a:noFill/>
                                <a:ln>
                                  <a:noFill/>
                                </a:ln>
                              </pic:spPr>
                            </pic:pic>
                          </a:graphicData>
                        </a:graphic>
                      </wp:inline>
                    </w:drawing>
                  </w:r>
                </w:p>
              </w:tc>
              <w:tc>
                <w:tcPr>
                  <w:tcW w:w="2500" w:type="pct"/>
                  <w:noWrap w:val="0"/>
                  <w:vAlign w:val="center"/>
                </w:tcPr>
                <w:p w14:paraId="69416715">
                  <w:pPr>
                    <w:jc w:val="center"/>
                    <w:rPr>
                      <w:rFonts w:hint="default" w:ascii="Times New Roman" w:hAnsi="Times New Roman" w:cs="Times New Roman"/>
                      <w:b/>
                      <w:color w:val="auto"/>
                      <w:sz w:val="24"/>
                    </w:rPr>
                  </w:pPr>
                  <w:r>
                    <w:rPr>
                      <w:rFonts w:hint="default" w:ascii="Times New Roman" w:hAnsi="Times New Roman" w:cs="Times New Roman"/>
                      <w:color w:val="auto"/>
                    </w:rPr>
                    <w:drawing>
                      <wp:inline distT="0" distB="0" distL="114300" distR="114300">
                        <wp:extent cx="2543810" cy="2121535"/>
                        <wp:effectExtent l="0" t="0" r="8890" b="1206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41"/>
                                <a:stretch>
                                  <a:fillRect/>
                                </a:stretch>
                              </pic:blipFill>
                              <pic:spPr>
                                <a:xfrm>
                                  <a:off x="0" y="0"/>
                                  <a:ext cx="2543810" cy="2121535"/>
                                </a:xfrm>
                                <a:prstGeom prst="rect">
                                  <a:avLst/>
                                </a:prstGeom>
                                <a:noFill/>
                                <a:ln>
                                  <a:noFill/>
                                </a:ln>
                              </pic:spPr>
                            </pic:pic>
                          </a:graphicData>
                        </a:graphic>
                      </wp:inline>
                    </w:drawing>
                  </w:r>
                </w:p>
              </w:tc>
            </w:tr>
            <w:tr w14:paraId="2ABC6611">
              <w:tblPrEx>
                <w:tblCellMar>
                  <w:top w:w="0" w:type="dxa"/>
                  <w:left w:w="108" w:type="dxa"/>
                  <w:bottom w:w="0" w:type="dxa"/>
                  <w:right w:w="108" w:type="dxa"/>
                </w:tblCellMar>
              </w:tblPrEx>
              <w:trPr>
                <w:jc w:val="center"/>
              </w:trPr>
              <w:tc>
                <w:tcPr>
                  <w:tcW w:w="2500" w:type="pct"/>
                  <w:noWrap w:val="0"/>
                  <w:vAlign w:val="center"/>
                </w:tcPr>
                <w:p w14:paraId="6770583E">
                  <w:pPr>
                    <w:jc w:val="center"/>
                    <w:rPr>
                      <w:rFonts w:hint="default" w:ascii="Times New Roman" w:hAnsi="Times New Roman" w:cs="Times New Roman"/>
                      <w:bCs/>
                      <w:color w:val="auto"/>
                    </w:rPr>
                  </w:pPr>
                  <w:r>
                    <w:rPr>
                      <w:rFonts w:hint="default" w:ascii="Times New Roman" w:hAnsi="Times New Roman" w:cs="Times New Roman"/>
                      <w:bCs/>
                      <w:color w:val="auto"/>
                    </w:rPr>
                    <w:t>危险废物标签样式示意图</w:t>
                  </w:r>
                </w:p>
              </w:tc>
              <w:tc>
                <w:tcPr>
                  <w:tcW w:w="2500" w:type="pct"/>
                  <w:noWrap w:val="0"/>
                  <w:vAlign w:val="center"/>
                </w:tcPr>
                <w:p w14:paraId="27D6CA4E">
                  <w:pPr>
                    <w:jc w:val="center"/>
                    <w:rPr>
                      <w:rFonts w:hint="default" w:ascii="Times New Roman" w:hAnsi="Times New Roman" w:cs="Times New Roman"/>
                      <w:bCs/>
                      <w:color w:val="auto"/>
                    </w:rPr>
                  </w:pPr>
                  <w:r>
                    <w:rPr>
                      <w:rFonts w:hint="default" w:ascii="Times New Roman" w:hAnsi="Times New Roman" w:cs="Times New Roman"/>
                      <w:bCs/>
                      <w:color w:val="auto"/>
                    </w:rPr>
                    <w:t>危险废物贮存分区标志样式示意图</w:t>
                  </w:r>
                </w:p>
              </w:tc>
            </w:tr>
            <w:tr w14:paraId="599FFBA8">
              <w:tblPrEx>
                <w:tblCellMar>
                  <w:top w:w="0" w:type="dxa"/>
                  <w:left w:w="108" w:type="dxa"/>
                  <w:bottom w:w="0" w:type="dxa"/>
                  <w:right w:w="108" w:type="dxa"/>
                </w:tblCellMar>
              </w:tblPrEx>
              <w:trPr>
                <w:jc w:val="center"/>
              </w:trPr>
              <w:tc>
                <w:tcPr>
                  <w:tcW w:w="2500" w:type="pct"/>
                  <w:noWrap w:val="0"/>
                  <w:vAlign w:val="center"/>
                </w:tcPr>
                <w:p w14:paraId="3543734E">
                  <w:pPr>
                    <w:jc w:val="center"/>
                    <w:rPr>
                      <w:rFonts w:hint="default" w:ascii="Times New Roman" w:hAnsi="Times New Roman" w:cs="Times New Roman"/>
                      <w:bCs/>
                      <w:color w:val="auto"/>
                    </w:rPr>
                  </w:pPr>
                  <w:r>
                    <w:rPr>
                      <w:rFonts w:hint="default" w:ascii="Times New Roman" w:hAnsi="Times New Roman" w:cs="Times New Roman"/>
                      <w:color w:val="auto"/>
                    </w:rPr>
                    <w:drawing>
                      <wp:inline distT="0" distB="0" distL="114300" distR="114300">
                        <wp:extent cx="2788285" cy="1796415"/>
                        <wp:effectExtent l="0" t="0" r="12065" b="133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42"/>
                                <a:stretch>
                                  <a:fillRect/>
                                </a:stretch>
                              </pic:blipFill>
                              <pic:spPr>
                                <a:xfrm>
                                  <a:off x="0" y="0"/>
                                  <a:ext cx="2788285" cy="1796415"/>
                                </a:xfrm>
                                <a:prstGeom prst="rect">
                                  <a:avLst/>
                                </a:prstGeom>
                                <a:noFill/>
                                <a:ln>
                                  <a:noFill/>
                                </a:ln>
                              </pic:spPr>
                            </pic:pic>
                          </a:graphicData>
                        </a:graphic>
                      </wp:inline>
                    </w:drawing>
                  </w:r>
                </w:p>
              </w:tc>
              <w:tc>
                <w:tcPr>
                  <w:tcW w:w="2500" w:type="pct"/>
                  <w:noWrap w:val="0"/>
                  <w:vAlign w:val="center"/>
                </w:tcPr>
                <w:p w14:paraId="5E2D3C2B">
                  <w:pPr>
                    <w:jc w:val="center"/>
                    <w:rPr>
                      <w:rFonts w:hint="default" w:ascii="Times New Roman" w:hAnsi="Times New Roman" w:cs="Times New Roman"/>
                      <w:bCs/>
                      <w:color w:val="auto"/>
                    </w:rPr>
                  </w:pPr>
                  <w:r>
                    <w:rPr>
                      <w:rFonts w:hint="default" w:ascii="Times New Roman" w:hAnsi="Times New Roman" w:cs="Times New Roman"/>
                      <w:color w:val="auto"/>
                    </w:rPr>
                    <w:drawing>
                      <wp:inline distT="0" distB="0" distL="114300" distR="114300">
                        <wp:extent cx="2729230" cy="1743075"/>
                        <wp:effectExtent l="0" t="0" r="13970" b="952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43"/>
                                <a:stretch>
                                  <a:fillRect/>
                                </a:stretch>
                              </pic:blipFill>
                              <pic:spPr>
                                <a:xfrm>
                                  <a:off x="0" y="0"/>
                                  <a:ext cx="2729230" cy="1743075"/>
                                </a:xfrm>
                                <a:prstGeom prst="rect">
                                  <a:avLst/>
                                </a:prstGeom>
                                <a:noFill/>
                                <a:ln>
                                  <a:noFill/>
                                </a:ln>
                              </pic:spPr>
                            </pic:pic>
                          </a:graphicData>
                        </a:graphic>
                      </wp:inline>
                    </w:drawing>
                  </w:r>
                </w:p>
              </w:tc>
            </w:tr>
            <w:tr w14:paraId="7DE407A9">
              <w:tblPrEx>
                <w:tblCellMar>
                  <w:top w:w="0" w:type="dxa"/>
                  <w:left w:w="108" w:type="dxa"/>
                  <w:bottom w:w="0" w:type="dxa"/>
                  <w:right w:w="108" w:type="dxa"/>
                </w:tblCellMar>
              </w:tblPrEx>
              <w:trPr>
                <w:jc w:val="center"/>
              </w:trPr>
              <w:tc>
                <w:tcPr>
                  <w:tcW w:w="2500" w:type="pct"/>
                  <w:noWrap w:val="0"/>
                  <w:vAlign w:val="center"/>
                </w:tcPr>
                <w:p w14:paraId="6E0D6C8F">
                  <w:pPr>
                    <w:jc w:val="center"/>
                    <w:rPr>
                      <w:rFonts w:hint="default" w:ascii="Times New Roman" w:hAnsi="Times New Roman" w:cs="Times New Roman"/>
                      <w:bCs/>
                      <w:color w:val="auto"/>
                    </w:rPr>
                  </w:pPr>
                  <w:r>
                    <w:rPr>
                      <w:rFonts w:hint="default" w:ascii="Times New Roman" w:hAnsi="Times New Roman" w:cs="Times New Roman"/>
                      <w:bCs/>
                      <w:color w:val="auto"/>
                    </w:rPr>
                    <w:t>贮存设施标志</w:t>
                  </w:r>
                </w:p>
              </w:tc>
              <w:tc>
                <w:tcPr>
                  <w:tcW w:w="2500" w:type="pct"/>
                  <w:noWrap w:val="0"/>
                  <w:vAlign w:val="center"/>
                </w:tcPr>
                <w:p w14:paraId="1E70CC12">
                  <w:pPr>
                    <w:jc w:val="center"/>
                    <w:rPr>
                      <w:rFonts w:hint="default" w:ascii="Times New Roman" w:hAnsi="Times New Roman" w:cs="Times New Roman"/>
                      <w:bCs/>
                      <w:color w:val="auto"/>
                    </w:rPr>
                  </w:pPr>
                  <w:r>
                    <w:rPr>
                      <w:rFonts w:hint="default" w:ascii="Times New Roman" w:hAnsi="Times New Roman" w:cs="Times New Roman"/>
                      <w:bCs/>
                      <w:color w:val="auto"/>
                    </w:rPr>
                    <w:t>处置设施标志</w:t>
                  </w:r>
                </w:p>
              </w:tc>
            </w:tr>
          </w:tbl>
          <w:p w14:paraId="732ADF8D">
            <w:pPr>
              <w:pStyle w:val="126"/>
              <w:bidi w:val="0"/>
              <w:rPr>
                <w:rFonts w:hint="default" w:ascii="Times New Roman" w:hAnsi="Times New Roman" w:cs="Times New Roman"/>
                <w:color w:val="auto"/>
              </w:rPr>
            </w:pPr>
            <w:r>
              <w:rPr>
                <w:rFonts w:hint="default" w:ascii="Times New Roman" w:hAnsi="Times New Roman" w:cs="Times New Roman"/>
                <w:color w:val="auto"/>
              </w:rPr>
              <w:t>危险废物识别标志</w:t>
            </w:r>
          </w:p>
          <w:p w14:paraId="61AF33D5">
            <w:pPr>
              <w:spacing w:line="360" w:lineRule="auto"/>
              <w:ind w:firstLine="482" w:firstLineChars="200"/>
              <w:rPr>
                <w:rFonts w:hint="default" w:ascii="Times New Roman" w:hAnsi="Times New Roman" w:cs="Times New Roman"/>
                <w:bCs/>
                <w:color w:val="auto"/>
                <w:sz w:val="24"/>
              </w:rPr>
            </w:pPr>
            <w:r>
              <w:rPr>
                <w:rFonts w:hint="default" w:ascii="Times New Roman" w:hAnsi="Times New Roman" w:cs="Times New Roman"/>
                <w:b/>
                <w:color w:val="auto"/>
                <w:sz w:val="24"/>
              </w:rPr>
              <w:t>4.3.1.2 一般工业固体废物</w:t>
            </w:r>
            <w:r>
              <w:rPr>
                <w:rFonts w:hint="default" w:ascii="Times New Roman" w:hAnsi="Times New Roman" w:cs="Times New Roman"/>
                <w:bCs/>
                <w:color w:val="auto"/>
                <w:sz w:val="24"/>
              </w:rPr>
              <w:t xml:space="preserve"> </w:t>
            </w:r>
          </w:p>
          <w:p w14:paraId="03363002">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①一般工业固体废物贮存过程中满足相应防渗漏、防雨淋、防扬尘等环境保护要求。</w:t>
            </w:r>
          </w:p>
          <w:p w14:paraId="1DC32554">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②根据《关于发布&lt;一般工业固体废物管理台账制定指南（试行）&gt;的公告》，产生工业固体废物的单位（以下简称产废单位）建立工业固体废物管理台账，如实记录工业固体废物的种类、数量、流向、贮存、利用、处置等信息。A.一般工业固体废物管理台账实施分级管理，该文件附表1-附表3主要用于记录固体废物的基础信息及流向信息，所有产废单位均应当填写；B.附表4至附表7主要用于记录固体废物在产废单位内部的贮存、利用、处置等信息，为选填信息。C.台账记录表各表单的负责人对记录信息的真实性、完整性和规范性负责。D.产废单位应当设立专人负责台账的管理与归档，一般工业固体废物管理台账保存期限不少于5年。</w:t>
            </w:r>
          </w:p>
          <w:p w14:paraId="4BD45864">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③产生工业固体废物的单位应明确负责人及相关设施、场地。明确固体废物产生部门、贮存部门、自行利用部门和自行处置部门负责人，为固体废物产生设施、贮存设施、自行利用设施和自行处置设施编码。</w:t>
            </w:r>
          </w:p>
          <w:p w14:paraId="15B2E82C">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④委托他人利用、处置的，应当按照《中华人民共和国固体废物污染环境防治法》第三十七条要求，选择有资格、有能力的利用处置单位。</w:t>
            </w:r>
          </w:p>
          <w:p w14:paraId="0263EAAD">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4.3.2 运输过程污染防治措施</w:t>
            </w:r>
          </w:p>
          <w:p w14:paraId="1D92DAD5">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本项目危险废物运输方式为汽车运输，危险废物运输应由具有从事危险废物运输经营许可性的运输单位完成，运输过程严格按照《危险废物收集贮存运输技术规范》（HJ2025-2012）进行。具体运输要求如下：</w:t>
            </w:r>
          </w:p>
          <w:p w14:paraId="3962CE09">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（1）运输危险废物的车辆必须严格交通、消防、治安等法规并控制车速，保持与前车的距离，严禁违章超车，确保行车安全；装载危废的车辆不得在居民集聚区、行人稠密地段、风景游览区停车；</w:t>
            </w:r>
          </w:p>
          <w:p w14:paraId="1635BAD6">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（2）运输危险废物必须配备随车人员在途中经常检查，不得搭乘无关人员，车上人员严禁吸烟；</w:t>
            </w:r>
          </w:p>
          <w:p w14:paraId="6079B55D">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（3）根据车上废物性质，采取遮阳、控温、防火、防爆、防震、防水、防冻等措施；</w:t>
            </w:r>
          </w:p>
          <w:p w14:paraId="490028CB">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（4）危险废物随车人员不得擅自改变作业计划，严禁擅自拼装、超载。危险废物运输应优先安排；</w:t>
            </w:r>
          </w:p>
          <w:p w14:paraId="34126927">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（5）危险废物装卸作业必须严格遵守操作规程，轻装、轻卸，严禁摔碰、撞击、重压、倒置。</w:t>
            </w:r>
          </w:p>
          <w:p w14:paraId="77C5B7E0">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 xml:space="preserve">4.3.3 固体废物的处置 </w:t>
            </w:r>
          </w:p>
          <w:p w14:paraId="66BB10CE">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危险废物污染防治技术政策》（环发〔2001〕199号），国家技术政策的总原则是危险废物的减量化、资源化和无害化。即首先通过清洁生产减少废弃物的产生，在无法减量化的情况下优先进行废物资源化利用，最终对不可利用废物进行无害化处置。本项目实施后，</w:t>
            </w:r>
            <w:r>
              <w:rPr>
                <w:rFonts w:hint="eastAsia" w:ascii="Times New Roman" w:hAnsi="Times New Roman" w:cs="Times New Roman"/>
                <w:bCs/>
                <w:color w:val="auto"/>
                <w:sz w:val="24"/>
                <w:lang w:val="en-US" w:eastAsia="zh-CN"/>
              </w:rPr>
              <w:t>学校</w:t>
            </w:r>
            <w:r>
              <w:rPr>
                <w:rFonts w:hint="default" w:ascii="Times New Roman" w:hAnsi="Times New Roman" w:cs="Times New Roman"/>
                <w:bCs/>
                <w:color w:val="auto"/>
                <w:sz w:val="24"/>
              </w:rPr>
              <w:t xml:space="preserve">须按照这一技术政策规范化固废处置措施，具体要求如下： </w:t>
            </w:r>
          </w:p>
          <w:p w14:paraId="457B3847">
            <w:pPr>
              <w:spacing w:line="360" w:lineRule="auto"/>
              <w:ind w:firstLine="482" w:firstLineChars="200"/>
              <w:rPr>
                <w:rFonts w:hint="default" w:ascii="Times New Roman" w:hAnsi="Times New Roman" w:cs="Times New Roman"/>
                <w:bCs/>
                <w:color w:val="auto"/>
                <w:sz w:val="24"/>
              </w:rPr>
            </w:pPr>
            <w:r>
              <w:rPr>
                <w:rFonts w:hint="default" w:ascii="Times New Roman" w:hAnsi="Times New Roman" w:cs="Times New Roman"/>
                <w:b/>
                <w:color w:val="auto"/>
                <w:sz w:val="24"/>
              </w:rPr>
              <w:t>（1）一般工业固废</w:t>
            </w:r>
          </w:p>
          <w:p w14:paraId="41560407">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szCs w:val="24"/>
              </w:rPr>
              <w:t>本项目产生的</w:t>
            </w:r>
            <w:r>
              <w:rPr>
                <w:rFonts w:hint="default" w:ascii="Times New Roman" w:hAnsi="Times New Roman" w:cs="Times New Roman"/>
                <w:color w:val="auto"/>
                <w:sz w:val="24"/>
                <w:lang w:val="en-US" w:eastAsia="zh-CN"/>
              </w:rPr>
              <w:t>实验室固体废物经垃圾桶收集后，由环卫部门定期清运。</w:t>
            </w:r>
          </w:p>
          <w:p w14:paraId="76514868">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 xml:space="preserve">（2）危险废物 </w:t>
            </w:r>
          </w:p>
          <w:p w14:paraId="64FD5156">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根据《国家危险废物名录》（202</w:t>
            </w:r>
            <w:r>
              <w:rPr>
                <w:rFonts w:hint="default" w:ascii="Times New Roman" w:hAnsi="Times New Roman" w:cs="Times New Roman"/>
                <w:bCs/>
                <w:color w:val="auto"/>
                <w:sz w:val="24"/>
                <w:lang w:val="en-US" w:eastAsia="zh-CN"/>
              </w:rPr>
              <w:t>5</w:t>
            </w:r>
            <w:r>
              <w:rPr>
                <w:rFonts w:hint="default" w:ascii="Times New Roman" w:hAnsi="Times New Roman" w:cs="Times New Roman"/>
                <w:bCs/>
                <w:color w:val="auto"/>
                <w:sz w:val="24"/>
              </w:rPr>
              <w:t>年版），本项目产生危险废物，应委托有资质单位统一安全处置。在未落实处置前，企业在厂区内按危废贮存要求妥善保管、封存，并做好相应场所的防渗、防漏工作。</w:t>
            </w:r>
          </w:p>
          <w:p w14:paraId="313433D4">
            <w:pPr>
              <w:spacing w:line="360" w:lineRule="auto"/>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五、土壤</w:t>
            </w:r>
            <w:r>
              <w:rPr>
                <w:rFonts w:hint="eastAsia" w:ascii="Times New Roman" w:hAnsi="Times New Roman" w:cs="Times New Roman"/>
                <w:b/>
                <w:color w:val="auto"/>
                <w:sz w:val="24"/>
                <w:szCs w:val="24"/>
                <w:highlight w:val="none"/>
              </w:rPr>
              <w:t>及</w:t>
            </w:r>
            <w:r>
              <w:rPr>
                <w:rFonts w:ascii="Times New Roman" w:hAnsi="Times New Roman" w:cs="Times New Roman"/>
                <w:b/>
                <w:color w:val="auto"/>
                <w:sz w:val="24"/>
                <w:szCs w:val="24"/>
                <w:highlight w:val="none"/>
              </w:rPr>
              <w:t>地下水污染防治</w:t>
            </w:r>
          </w:p>
          <w:p w14:paraId="5EF43947">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土壤及地下水污染防治措施坚持“源头控制、末端防治、污染监控、应急响应相结合”的原则，即采取主动控制和被动控制相结合的措施。</w:t>
            </w:r>
          </w:p>
          <w:p w14:paraId="2EBA7E15">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（一）潜在污染源及其污染途径</w:t>
            </w:r>
          </w:p>
          <w:p w14:paraId="671DC86E">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w:t>
            </w:r>
            <w:r>
              <w:rPr>
                <w:rFonts w:hint="eastAsia" w:ascii="Times New Roman" w:hAnsi="Times New Roman" w:cs="Times New Roman"/>
                <w:color w:val="auto"/>
                <w:sz w:val="24"/>
                <w:szCs w:val="24"/>
                <w:highlight w:val="none"/>
                <w:lang w:eastAsia="zh-CN"/>
              </w:rPr>
              <w:t>运营</w:t>
            </w:r>
            <w:r>
              <w:rPr>
                <w:rFonts w:hint="eastAsia" w:ascii="Times New Roman" w:hAnsi="Times New Roman" w:cs="Times New Roman"/>
                <w:color w:val="auto"/>
                <w:sz w:val="24"/>
                <w:szCs w:val="24"/>
                <w:highlight w:val="none"/>
              </w:rPr>
              <w:t>期间潜在的土壤及地下水污染途径如下表所示。</w:t>
            </w:r>
          </w:p>
          <w:p w14:paraId="4D6F6FB6">
            <w:pPr>
              <w:pStyle w:val="117"/>
              <w:bidi w:val="0"/>
              <w:rPr>
                <w:color w:val="auto"/>
              </w:rPr>
            </w:pPr>
            <w:r>
              <w:rPr>
                <w:rFonts w:hint="eastAsia"/>
                <w:color w:val="auto"/>
              </w:rPr>
              <w:t>地下水、土壤潜在污染源及其污染途径</w:t>
            </w:r>
          </w:p>
          <w:tbl>
            <w:tblPr>
              <w:tblStyle w:val="4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1918"/>
              <w:gridCol w:w="2236"/>
              <w:gridCol w:w="2968"/>
            </w:tblGrid>
            <w:tr w14:paraId="588FA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58" w:type="pct"/>
                  <w:tcBorders>
                    <w:tl2br w:val="nil"/>
                    <w:tr2bl w:val="nil"/>
                  </w:tcBorders>
                  <w:vAlign w:val="center"/>
                </w:tcPr>
                <w:p w14:paraId="66190AD0">
                  <w:pPr>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区域</w:t>
                  </w:r>
                </w:p>
              </w:tc>
              <w:tc>
                <w:tcPr>
                  <w:tcW w:w="1088" w:type="pct"/>
                  <w:tcBorders>
                    <w:tl2br w:val="nil"/>
                    <w:tr2bl w:val="nil"/>
                  </w:tcBorders>
                  <w:vAlign w:val="center"/>
                </w:tcPr>
                <w:p w14:paraId="0586208B">
                  <w:pPr>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潜在污染源</w:t>
                  </w:r>
                </w:p>
              </w:tc>
              <w:tc>
                <w:tcPr>
                  <w:tcW w:w="1268" w:type="pct"/>
                  <w:tcBorders>
                    <w:tl2br w:val="nil"/>
                    <w:tr2bl w:val="nil"/>
                  </w:tcBorders>
                  <w:vAlign w:val="center"/>
                </w:tcPr>
                <w:p w14:paraId="119521E3">
                  <w:pPr>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污染物类型</w:t>
                  </w:r>
                </w:p>
              </w:tc>
              <w:tc>
                <w:tcPr>
                  <w:tcW w:w="1683" w:type="pct"/>
                  <w:tcBorders>
                    <w:tl2br w:val="nil"/>
                    <w:tr2bl w:val="nil"/>
                  </w:tcBorders>
                  <w:vAlign w:val="center"/>
                </w:tcPr>
                <w:p w14:paraId="705014F5">
                  <w:pPr>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影响途径</w:t>
                  </w:r>
                </w:p>
              </w:tc>
            </w:tr>
            <w:tr w14:paraId="32104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8" w:type="pct"/>
                  <w:tcBorders>
                    <w:tl2br w:val="nil"/>
                    <w:tr2bl w:val="nil"/>
                  </w:tcBorders>
                  <w:vAlign w:val="center"/>
                </w:tcPr>
                <w:p w14:paraId="28C96C13">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危废暂存间、药品及仪器室</w:t>
                  </w:r>
                </w:p>
              </w:tc>
              <w:tc>
                <w:tcPr>
                  <w:tcW w:w="1088" w:type="pct"/>
                  <w:tcBorders>
                    <w:tl2br w:val="nil"/>
                    <w:tr2bl w:val="nil"/>
                  </w:tcBorders>
                  <w:vAlign w:val="center"/>
                </w:tcPr>
                <w:p w14:paraId="5EBDF9FE">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rPr>
                    <w:t>危险废物</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实验药剂</w:t>
                  </w:r>
                </w:p>
              </w:tc>
              <w:tc>
                <w:tcPr>
                  <w:tcW w:w="1268" w:type="pct"/>
                  <w:tcBorders>
                    <w:tl2br w:val="nil"/>
                    <w:tr2bl w:val="nil"/>
                  </w:tcBorders>
                  <w:vAlign w:val="center"/>
                </w:tcPr>
                <w:p w14:paraId="18B8865D">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酸、碱试剂</w:t>
                  </w:r>
                </w:p>
              </w:tc>
              <w:tc>
                <w:tcPr>
                  <w:tcW w:w="1683" w:type="pct"/>
                  <w:tcBorders>
                    <w:tl2br w:val="nil"/>
                    <w:tr2bl w:val="nil"/>
                  </w:tcBorders>
                  <w:vAlign w:val="center"/>
                </w:tcPr>
                <w:p w14:paraId="105E83D3">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渗滤液泄漏而发生垂直下渗或通过地面径流影响到土壤、地下水</w:t>
                  </w:r>
                </w:p>
              </w:tc>
            </w:tr>
            <w:tr w14:paraId="42EC8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8" w:type="pct"/>
                  <w:tcBorders>
                    <w:tl2br w:val="nil"/>
                    <w:tr2bl w:val="nil"/>
                  </w:tcBorders>
                  <w:vAlign w:val="center"/>
                </w:tcPr>
                <w:p w14:paraId="3668E5AD">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酸碱中和池</w:t>
                  </w:r>
                </w:p>
              </w:tc>
              <w:tc>
                <w:tcPr>
                  <w:tcW w:w="1088" w:type="pct"/>
                  <w:tcBorders>
                    <w:tl2br w:val="nil"/>
                    <w:tr2bl w:val="nil"/>
                  </w:tcBorders>
                  <w:vAlign w:val="center"/>
                </w:tcPr>
                <w:p w14:paraId="6523BBD9">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实验</w:t>
                  </w:r>
                  <w:r>
                    <w:rPr>
                      <w:rFonts w:hint="eastAsia" w:ascii="Times New Roman" w:hAnsi="Times New Roman" w:cs="Times New Roman"/>
                      <w:color w:val="auto"/>
                      <w:szCs w:val="21"/>
                      <w:highlight w:val="none"/>
                    </w:rPr>
                    <w:t>废水</w:t>
                  </w:r>
                </w:p>
              </w:tc>
              <w:tc>
                <w:tcPr>
                  <w:tcW w:w="1268" w:type="pct"/>
                  <w:tcBorders>
                    <w:tl2br w:val="nil"/>
                    <w:tr2bl w:val="nil"/>
                  </w:tcBorders>
                  <w:vAlign w:val="center"/>
                </w:tcPr>
                <w:p w14:paraId="783F1EA7">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pH、COD、BOD</w:t>
                  </w:r>
                  <w:r>
                    <w:rPr>
                      <w:rFonts w:hint="eastAsia" w:ascii="Times New Roman" w:hAnsi="Times New Roman" w:cs="Times New Roman"/>
                      <w:color w:val="auto"/>
                      <w:szCs w:val="21"/>
                      <w:highlight w:val="none"/>
                      <w:vertAlign w:val="subscript"/>
                    </w:rPr>
                    <w:t>5</w:t>
                  </w:r>
                  <w:r>
                    <w:rPr>
                      <w:rFonts w:hint="eastAsia" w:ascii="Times New Roman" w:hAnsi="Times New Roman" w:cs="Times New Roman"/>
                      <w:color w:val="auto"/>
                      <w:szCs w:val="21"/>
                      <w:highlight w:val="none"/>
                    </w:rPr>
                    <w:t>、NH</w:t>
                  </w:r>
                  <w:r>
                    <w:rPr>
                      <w:rFonts w:hint="eastAsia" w:ascii="Times New Roman" w:hAnsi="Times New Roman" w:cs="Times New Roman"/>
                      <w:color w:val="auto"/>
                      <w:szCs w:val="21"/>
                      <w:highlight w:val="none"/>
                      <w:vertAlign w:val="subscript"/>
                    </w:rPr>
                    <w:t>3</w:t>
                  </w:r>
                  <w:r>
                    <w:rPr>
                      <w:rFonts w:hint="eastAsia" w:ascii="Times New Roman" w:hAnsi="Times New Roman" w:cs="Times New Roman"/>
                      <w:color w:val="auto"/>
                      <w:szCs w:val="21"/>
                      <w:highlight w:val="none"/>
                    </w:rPr>
                    <w:t>-N、SS等</w:t>
                  </w:r>
                </w:p>
              </w:tc>
              <w:tc>
                <w:tcPr>
                  <w:tcW w:w="1683" w:type="pct"/>
                  <w:tcBorders>
                    <w:tl2br w:val="nil"/>
                    <w:tr2bl w:val="nil"/>
                  </w:tcBorders>
                  <w:vAlign w:val="center"/>
                </w:tcPr>
                <w:p w14:paraId="724E2641">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因处理设施发生渗漏而导致地下水、土壤受到污染</w:t>
                  </w:r>
                </w:p>
              </w:tc>
            </w:tr>
          </w:tbl>
          <w:p w14:paraId="5475E123">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（二）分区防渗及防渗措施要求</w:t>
            </w:r>
          </w:p>
          <w:p w14:paraId="3D31DD20">
            <w:pPr>
              <w:spacing w:line="360" w:lineRule="auto"/>
              <w:ind w:firstLine="482" w:firstLineChars="200"/>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1、防渗分区</w:t>
            </w:r>
          </w:p>
          <w:p w14:paraId="23C33237">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根据《环境影响评价技术导则 地下水环境》（HJ610-2016）防渗分区原则，将本项目</w:t>
            </w:r>
            <w:r>
              <w:rPr>
                <w:rFonts w:hint="eastAsia" w:ascii="Times New Roman" w:hAnsi="Times New Roman" w:cs="Times New Roman"/>
                <w:color w:val="auto"/>
                <w:sz w:val="24"/>
                <w:szCs w:val="24"/>
                <w:highlight w:val="none"/>
              </w:rPr>
              <w:t>划分</w:t>
            </w:r>
            <w:r>
              <w:rPr>
                <w:rFonts w:ascii="Times New Roman" w:hAnsi="Times New Roman" w:cs="Times New Roman"/>
                <w:color w:val="auto"/>
                <w:sz w:val="24"/>
                <w:szCs w:val="24"/>
                <w:highlight w:val="none"/>
              </w:rPr>
              <w:t>为重点防渗区、简单防渗区，划分区域如下。</w:t>
            </w:r>
          </w:p>
          <w:p w14:paraId="2894FA2B">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（1）重点防渗区</w:t>
            </w:r>
          </w:p>
          <w:p w14:paraId="3EF52F5E">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本项目重点防渗区为</w:t>
            </w:r>
            <w:r>
              <w:rPr>
                <w:rFonts w:hint="eastAsia" w:ascii="Times New Roman" w:hAnsi="Times New Roman" w:cs="Times New Roman"/>
                <w:color w:val="auto"/>
                <w:sz w:val="24"/>
                <w:szCs w:val="24"/>
                <w:highlight w:val="none"/>
                <w:lang w:val="en-US" w:eastAsia="zh-CN"/>
              </w:rPr>
              <w:t>危废暂存间</w:t>
            </w:r>
            <w:r>
              <w:rPr>
                <w:rFonts w:ascii="Times New Roman" w:hAnsi="Times New Roman" w:cs="Times New Roman"/>
                <w:color w:val="auto"/>
                <w:sz w:val="24"/>
                <w:szCs w:val="24"/>
                <w:highlight w:val="none"/>
              </w:rPr>
              <w:t>。</w:t>
            </w:r>
          </w:p>
          <w:p w14:paraId="545C7010">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一般防渗区</w:t>
            </w:r>
          </w:p>
          <w:p w14:paraId="399A67B9">
            <w:pPr>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本项目一般防渗区为药品及仪器室、酸碱中和池。</w:t>
            </w:r>
          </w:p>
          <w:p w14:paraId="0D319347">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3</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rPr>
              <w:t>简单</w:t>
            </w:r>
            <w:r>
              <w:rPr>
                <w:rFonts w:ascii="Times New Roman" w:hAnsi="Times New Roman" w:cs="Times New Roman"/>
                <w:color w:val="auto"/>
                <w:sz w:val="24"/>
                <w:szCs w:val="24"/>
                <w:highlight w:val="none"/>
              </w:rPr>
              <w:t>防渗区</w:t>
            </w:r>
          </w:p>
          <w:p w14:paraId="1C77D3C6">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除重点防渗区</w:t>
            </w:r>
            <w:r>
              <w:rPr>
                <w:rFonts w:hint="eastAsia" w:ascii="Times New Roman" w:hAnsi="Times New Roman" w:cs="Times New Roman"/>
                <w:color w:val="auto"/>
                <w:sz w:val="24"/>
                <w:szCs w:val="24"/>
                <w:highlight w:val="none"/>
                <w:lang w:val="en-US" w:eastAsia="zh-CN"/>
              </w:rPr>
              <w:t>和一般防渗区</w:t>
            </w:r>
            <w:r>
              <w:rPr>
                <w:rFonts w:hint="eastAsia" w:ascii="Times New Roman" w:hAnsi="Times New Roman" w:cs="Times New Roman"/>
                <w:color w:val="auto"/>
                <w:sz w:val="24"/>
                <w:szCs w:val="24"/>
                <w:highlight w:val="none"/>
              </w:rPr>
              <w:t>以外的区域</w:t>
            </w:r>
            <w:r>
              <w:rPr>
                <w:rFonts w:ascii="Times New Roman" w:hAnsi="Times New Roman" w:cs="Times New Roman"/>
                <w:color w:val="auto"/>
                <w:sz w:val="24"/>
                <w:szCs w:val="24"/>
                <w:highlight w:val="none"/>
              </w:rPr>
              <w:t>。</w:t>
            </w:r>
          </w:p>
          <w:p w14:paraId="3782315F">
            <w:pPr>
              <w:spacing w:line="360" w:lineRule="auto"/>
              <w:ind w:firstLine="482" w:firstLineChars="200"/>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2、防渗措施要求</w:t>
            </w:r>
          </w:p>
          <w:p w14:paraId="0FF28391">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本项目分区防渗措施要求如下：</w:t>
            </w:r>
          </w:p>
          <w:p w14:paraId="1A818D5C">
            <w:pPr>
              <w:pStyle w:val="117"/>
              <w:bidi w:val="0"/>
              <w:rPr>
                <w:rFonts w:hint="eastAsia"/>
                <w:color w:val="auto"/>
              </w:rPr>
            </w:pPr>
            <w:r>
              <w:rPr>
                <w:rFonts w:hint="eastAsia"/>
                <w:color w:val="auto"/>
              </w:rPr>
              <w:t>地下水分区防渗措施一览表</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2064"/>
              <w:gridCol w:w="3640"/>
              <w:gridCol w:w="1989"/>
            </w:tblGrid>
            <w:tr w14:paraId="7416B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tcBorders>
                    <w:tl2br w:val="nil"/>
                    <w:tr2bl w:val="nil"/>
                  </w:tcBorders>
                  <w:vAlign w:val="center"/>
                </w:tcPr>
                <w:p w14:paraId="4C8C14CE">
                  <w:pPr>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防渗分区</w:t>
                  </w:r>
                </w:p>
              </w:tc>
              <w:tc>
                <w:tcPr>
                  <w:tcW w:w="1171" w:type="pct"/>
                  <w:tcBorders>
                    <w:tl2br w:val="nil"/>
                    <w:tr2bl w:val="nil"/>
                  </w:tcBorders>
                  <w:vAlign w:val="center"/>
                </w:tcPr>
                <w:p w14:paraId="58949038">
                  <w:pPr>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分区划分</w:t>
                  </w:r>
                </w:p>
              </w:tc>
              <w:tc>
                <w:tcPr>
                  <w:tcW w:w="2065" w:type="pct"/>
                  <w:tcBorders>
                    <w:tl2br w:val="nil"/>
                    <w:tr2bl w:val="nil"/>
                  </w:tcBorders>
                  <w:vAlign w:val="center"/>
                </w:tcPr>
                <w:p w14:paraId="5174F0E7">
                  <w:pPr>
                    <w:jc w:val="center"/>
                    <w:rPr>
                      <w:rFonts w:ascii="Times New Roman" w:hAnsi="Times New Roman" w:eastAsia="宋体"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拟</w:t>
                  </w:r>
                  <w:r>
                    <w:rPr>
                      <w:rFonts w:hint="eastAsia" w:ascii="Times New Roman" w:hAnsi="Times New Roman" w:cs="Times New Roman"/>
                      <w:b/>
                      <w:bCs/>
                      <w:color w:val="auto"/>
                      <w:sz w:val="21"/>
                      <w:szCs w:val="21"/>
                      <w:highlight w:val="none"/>
                    </w:rPr>
                    <w:t>采取防渗措施</w:t>
                  </w:r>
                </w:p>
              </w:tc>
              <w:tc>
                <w:tcPr>
                  <w:tcW w:w="1128" w:type="pct"/>
                  <w:tcBorders>
                    <w:tl2br w:val="nil"/>
                    <w:tr2bl w:val="nil"/>
                  </w:tcBorders>
                  <w:vAlign w:val="center"/>
                </w:tcPr>
                <w:p w14:paraId="5E40BA4D">
                  <w:pPr>
                    <w:jc w:val="center"/>
                    <w:rPr>
                      <w:rFonts w:ascii="Times New Roman" w:hAnsi="Times New Roman" w:cs="Times New Roman"/>
                      <w:b/>
                      <w:bCs/>
                      <w:color w:val="auto"/>
                      <w:sz w:val="21"/>
                      <w:szCs w:val="21"/>
                      <w:highlight w:val="none"/>
                    </w:rPr>
                  </w:pPr>
                  <w:r>
                    <w:rPr>
                      <w:rFonts w:hint="eastAsia" w:cs="宋体"/>
                      <w:b/>
                      <w:bCs/>
                      <w:color w:val="auto"/>
                      <w:sz w:val="21"/>
                      <w:szCs w:val="21"/>
                      <w:highlight w:val="none"/>
                    </w:rPr>
                    <w:t>导则防渗技术要求</w:t>
                  </w:r>
                </w:p>
              </w:tc>
            </w:tr>
            <w:tr w14:paraId="4DF56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tcBorders>
                    <w:tl2br w:val="nil"/>
                    <w:tr2bl w:val="nil"/>
                  </w:tcBorders>
                  <w:vAlign w:val="center"/>
                </w:tcPr>
                <w:p w14:paraId="76E2EE23">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重点</w:t>
                  </w:r>
                </w:p>
                <w:p w14:paraId="6829F070">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防渗区</w:t>
                  </w:r>
                </w:p>
              </w:tc>
              <w:tc>
                <w:tcPr>
                  <w:tcW w:w="1171" w:type="pct"/>
                  <w:tcBorders>
                    <w:tl2br w:val="nil"/>
                    <w:tr2bl w:val="nil"/>
                  </w:tcBorders>
                  <w:vAlign w:val="center"/>
                </w:tcPr>
                <w:p w14:paraId="371AAC5A">
                  <w:pPr>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危废暂存间</w:t>
                  </w:r>
                </w:p>
              </w:tc>
              <w:tc>
                <w:tcPr>
                  <w:tcW w:w="2065" w:type="pct"/>
                  <w:tcBorders>
                    <w:tl2br w:val="nil"/>
                    <w:tr2bl w:val="nil"/>
                  </w:tcBorders>
                  <w:vAlign w:val="center"/>
                </w:tcPr>
                <w:p w14:paraId="7C8C1A6B">
                  <w:pPr>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采用抗渗混凝土、高密度聚乙烯膜、钠基膨润土防水毯或其他防渗性能等效的材料，裙脚同步防渗</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液体容器底部增加托盘</w:t>
                  </w:r>
                </w:p>
              </w:tc>
              <w:tc>
                <w:tcPr>
                  <w:tcW w:w="1128" w:type="pct"/>
                  <w:tcBorders>
                    <w:tl2br w:val="nil"/>
                    <w:tr2bl w:val="nil"/>
                  </w:tcBorders>
                  <w:vAlign w:val="center"/>
                </w:tcPr>
                <w:p w14:paraId="02E8F796">
                  <w:pPr>
                    <w:jc w:val="center"/>
                    <w:rPr>
                      <w:rFonts w:ascii="Times New Roman" w:hAnsi="Times New Roman" w:cs="Times New Roman"/>
                      <w:color w:val="auto"/>
                      <w:sz w:val="21"/>
                      <w:szCs w:val="21"/>
                      <w:highlight w:val="none"/>
                    </w:rPr>
                  </w:pPr>
                  <w:r>
                    <w:rPr>
                      <w:rFonts w:ascii="Times New Roman" w:hAnsi="Times New Roman" w:eastAsia="宋体" w:cs="Times New Roman"/>
                      <w:color w:val="auto"/>
                      <w:sz w:val="21"/>
                      <w:szCs w:val="21"/>
                    </w:rPr>
                    <w:t>等效黏土防渗层</w:t>
                  </w:r>
                  <w:r>
                    <w:rPr>
                      <w:rFonts w:ascii="Times New Roman" w:hAnsi="Times New Roman" w:cs="Times New Roman"/>
                      <w:color w:val="auto"/>
                      <w:szCs w:val="21"/>
                      <w:highlight w:val="none"/>
                    </w:rPr>
                    <w:t>Mb≥6.0m，</w:t>
                  </w:r>
                  <w:r>
                    <w:rPr>
                      <w:rFonts w:ascii="Times New Roman" w:hAnsi="Times New Roman" w:cs="Times New Roman"/>
                      <w:color w:val="auto"/>
                      <w:sz w:val="21"/>
                      <w:szCs w:val="21"/>
                      <w:highlight w:val="none"/>
                    </w:rPr>
                    <w:t>K≤1×10</w:t>
                  </w:r>
                  <w:r>
                    <w:rPr>
                      <w:rFonts w:ascii="Times New Roman" w:hAnsi="Times New Roman" w:cs="Times New Roman"/>
                      <w:color w:val="auto"/>
                      <w:sz w:val="21"/>
                      <w:szCs w:val="21"/>
                      <w:highlight w:val="none"/>
                      <w:vertAlign w:val="superscript"/>
                    </w:rPr>
                    <w:t>-10</w:t>
                  </w:r>
                  <w:r>
                    <w:rPr>
                      <w:rFonts w:ascii="Times New Roman" w:hAnsi="Times New Roman" w:cs="Times New Roman"/>
                      <w:color w:val="auto"/>
                      <w:sz w:val="21"/>
                      <w:szCs w:val="21"/>
                      <w:highlight w:val="none"/>
                    </w:rPr>
                    <w:t>cm/s</w:t>
                  </w:r>
                </w:p>
              </w:tc>
            </w:tr>
            <w:tr w14:paraId="0A046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33" w:type="pct"/>
                  <w:vMerge w:val="restart"/>
                  <w:tcBorders>
                    <w:tl2br w:val="nil"/>
                    <w:tr2bl w:val="nil"/>
                  </w:tcBorders>
                  <w:vAlign w:val="center"/>
                </w:tcPr>
                <w:p w14:paraId="52D7C96F">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一般防渗区</w:t>
                  </w:r>
                </w:p>
              </w:tc>
              <w:tc>
                <w:tcPr>
                  <w:tcW w:w="1171" w:type="pct"/>
                  <w:tcBorders>
                    <w:tl2br w:val="nil"/>
                    <w:tr2bl w:val="nil"/>
                  </w:tcBorders>
                  <w:vAlign w:val="center"/>
                </w:tcPr>
                <w:p w14:paraId="74B15154">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药品及仪器室</w:t>
                  </w:r>
                </w:p>
              </w:tc>
              <w:tc>
                <w:tcPr>
                  <w:tcW w:w="2065" w:type="pct"/>
                  <w:tcBorders>
                    <w:tl2br w:val="nil"/>
                    <w:tr2bl w:val="nil"/>
                  </w:tcBorders>
                  <w:vAlign w:val="center"/>
                </w:tcPr>
                <w:p w14:paraId="0BB93F13">
                  <w:pPr>
                    <w:jc w:val="center"/>
                    <w:rPr>
                      <w:rFonts w:ascii="Times New Roman" w:hAnsi="Times New Roman" w:cs="Times New Roman"/>
                      <w:color w:val="auto"/>
                      <w:sz w:val="21"/>
                      <w:szCs w:val="21"/>
                      <w:highlight w:val="none"/>
                    </w:rPr>
                  </w:pPr>
                  <w:r>
                    <w:rPr>
                      <w:rFonts w:hint="eastAsia" w:ascii="Times New Roman" w:hAnsi="Times New Roman" w:eastAsia="宋体" w:cs="Times New Roman"/>
                      <w:color w:val="auto"/>
                      <w:szCs w:val="21"/>
                      <w:lang w:val="en-US" w:eastAsia="zh-CN"/>
                    </w:rPr>
                    <w:t>地面采用20cm厚P4等级混凝土进行防渗</w:t>
                  </w:r>
                </w:p>
              </w:tc>
              <w:tc>
                <w:tcPr>
                  <w:tcW w:w="1128" w:type="pct"/>
                  <w:vMerge w:val="restart"/>
                  <w:tcBorders>
                    <w:tl2br w:val="nil"/>
                    <w:tr2bl w:val="nil"/>
                  </w:tcBorders>
                  <w:vAlign w:val="center"/>
                </w:tcPr>
                <w:p w14:paraId="30DBFFF2">
                  <w:pPr>
                    <w:jc w:val="center"/>
                    <w:rPr>
                      <w:rFonts w:hint="eastAsia" w:ascii="Times New Roman" w:hAnsi="Times New Roman" w:cs="Times New Roman"/>
                      <w:color w:val="auto"/>
                      <w:sz w:val="21"/>
                      <w:szCs w:val="21"/>
                      <w:highlight w:val="none"/>
                    </w:rPr>
                  </w:pPr>
                  <w:r>
                    <w:rPr>
                      <w:rFonts w:ascii="Times New Roman" w:hAnsi="Times New Roman" w:eastAsia="宋体" w:cs="Times New Roman"/>
                      <w:color w:val="auto"/>
                      <w:sz w:val="21"/>
                      <w:szCs w:val="21"/>
                    </w:rPr>
                    <w:t>等效黏土防渗层Mb≥1.5m，K≤10</w:t>
                  </w:r>
                  <w:r>
                    <w:rPr>
                      <w:rFonts w:ascii="Times New Roman" w:hAnsi="Times New Roman" w:eastAsia="宋体" w:cs="Times New Roman"/>
                      <w:color w:val="auto"/>
                      <w:sz w:val="21"/>
                      <w:szCs w:val="21"/>
                      <w:vertAlign w:val="superscript"/>
                    </w:rPr>
                    <w:t>-7</w:t>
                  </w:r>
                  <w:r>
                    <w:rPr>
                      <w:rFonts w:ascii="Times New Roman" w:hAnsi="Times New Roman" w:eastAsia="宋体" w:cs="Times New Roman"/>
                      <w:color w:val="auto"/>
                      <w:sz w:val="21"/>
                      <w:szCs w:val="21"/>
                    </w:rPr>
                    <w:t>cm/s</w:t>
                  </w:r>
                </w:p>
              </w:tc>
            </w:tr>
            <w:tr w14:paraId="171384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vMerge w:val="continue"/>
                  <w:tcBorders>
                    <w:tl2br w:val="nil"/>
                    <w:tr2bl w:val="nil"/>
                  </w:tcBorders>
                  <w:vAlign w:val="center"/>
                </w:tcPr>
                <w:p w14:paraId="28678410">
                  <w:pPr>
                    <w:jc w:val="center"/>
                    <w:rPr>
                      <w:rFonts w:hint="eastAsia" w:ascii="Times New Roman" w:hAnsi="Times New Roman" w:cs="Times New Roman"/>
                      <w:color w:val="auto"/>
                      <w:sz w:val="21"/>
                      <w:szCs w:val="21"/>
                      <w:highlight w:val="none"/>
                      <w:lang w:val="en-US" w:eastAsia="zh-CN"/>
                    </w:rPr>
                  </w:pPr>
                </w:p>
              </w:tc>
              <w:tc>
                <w:tcPr>
                  <w:tcW w:w="1171" w:type="pct"/>
                  <w:tcBorders>
                    <w:tl2br w:val="nil"/>
                    <w:tr2bl w:val="nil"/>
                  </w:tcBorders>
                  <w:vAlign w:val="center"/>
                </w:tcPr>
                <w:p w14:paraId="12D38EF4">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酸碱中和池</w:t>
                  </w:r>
                </w:p>
              </w:tc>
              <w:tc>
                <w:tcPr>
                  <w:tcW w:w="2065" w:type="pct"/>
                  <w:tcBorders>
                    <w:tl2br w:val="nil"/>
                    <w:tr2bl w:val="nil"/>
                  </w:tcBorders>
                  <w:vAlign w:val="center"/>
                </w:tcPr>
                <w:p w14:paraId="1AF0B7EB">
                  <w:pPr>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池底、池壁采用20cm厚P4等级混凝土进行防渗</w:t>
                  </w:r>
                </w:p>
              </w:tc>
              <w:tc>
                <w:tcPr>
                  <w:tcW w:w="1128" w:type="pct"/>
                  <w:vMerge w:val="continue"/>
                  <w:tcBorders>
                    <w:tl2br w:val="nil"/>
                    <w:tr2bl w:val="nil"/>
                  </w:tcBorders>
                  <w:vAlign w:val="center"/>
                </w:tcPr>
                <w:p w14:paraId="7BDE1B51">
                  <w:pPr>
                    <w:jc w:val="center"/>
                    <w:rPr>
                      <w:rFonts w:ascii="Times New Roman" w:hAnsi="Times New Roman" w:eastAsia="宋体" w:cs="Times New Roman"/>
                      <w:color w:val="auto"/>
                      <w:sz w:val="21"/>
                      <w:szCs w:val="21"/>
                    </w:rPr>
                  </w:pPr>
                </w:p>
              </w:tc>
            </w:tr>
            <w:tr w14:paraId="3BE3043A">
              <w:tblPrEx>
                <w:tblCellMar>
                  <w:top w:w="0" w:type="dxa"/>
                  <w:left w:w="108" w:type="dxa"/>
                  <w:bottom w:w="0" w:type="dxa"/>
                  <w:right w:w="108" w:type="dxa"/>
                </w:tblCellMar>
              </w:tblPrEx>
              <w:trPr>
                <w:jc w:val="center"/>
              </w:trPr>
              <w:tc>
                <w:tcPr>
                  <w:tcW w:w="633" w:type="pct"/>
                  <w:tcBorders>
                    <w:tl2br w:val="nil"/>
                    <w:tr2bl w:val="nil"/>
                  </w:tcBorders>
                  <w:vAlign w:val="center"/>
                </w:tcPr>
                <w:p w14:paraId="01B16F65">
                  <w:pPr>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简单</w:t>
                  </w:r>
                  <w:r>
                    <w:rPr>
                      <w:rFonts w:ascii="Times New Roman" w:hAnsi="Times New Roman" w:cs="Times New Roman"/>
                      <w:color w:val="auto"/>
                      <w:sz w:val="21"/>
                      <w:szCs w:val="21"/>
                      <w:highlight w:val="none"/>
                    </w:rPr>
                    <w:t>渗区</w:t>
                  </w:r>
                </w:p>
              </w:tc>
              <w:tc>
                <w:tcPr>
                  <w:tcW w:w="1171" w:type="pct"/>
                  <w:tcBorders>
                    <w:tl2br w:val="nil"/>
                    <w:tr2bl w:val="nil"/>
                  </w:tcBorders>
                  <w:vAlign w:val="center"/>
                </w:tcPr>
                <w:p w14:paraId="47DFECE3">
                  <w:pPr>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除重点防渗区</w:t>
                  </w:r>
                  <w:r>
                    <w:rPr>
                      <w:rFonts w:hint="eastAsia" w:ascii="Times New Roman" w:hAnsi="Times New Roman" w:cs="Times New Roman"/>
                      <w:color w:val="auto"/>
                      <w:sz w:val="21"/>
                      <w:szCs w:val="21"/>
                      <w:highlight w:val="none"/>
                      <w:lang w:val="en-US" w:eastAsia="zh-CN"/>
                    </w:rPr>
                    <w:t>和一般防渗区</w:t>
                  </w:r>
                  <w:r>
                    <w:rPr>
                      <w:rFonts w:hint="eastAsia" w:ascii="Times New Roman" w:hAnsi="Times New Roman" w:cs="Times New Roman"/>
                      <w:color w:val="auto"/>
                      <w:sz w:val="21"/>
                      <w:szCs w:val="21"/>
                      <w:highlight w:val="none"/>
                    </w:rPr>
                    <w:t>以外的区域</w:t>
                  </w:r>
                </w:p>
              </w:tc>
              <w:tc>
                <w:tcPr>
                  <w:tcW w:w="2065" w:type="pct"/>
                  <w:tcBorders>
                    <w:tl2br w:val="nil"/>
                    <w:tr2bl w:val="nil"/>
                  </w:tcBorders>
                  <w:vAlign w:val="center"/>
                </w:tcPr>
                <w:p w14:paraId="0FE5F63F">
                  <w:pPr>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教室、实验准备室、</w:t>
                  </w:r>
                </w:p>
              </w:tc>
              <w:tc>
                <w:tcPr>
                  <w:tcW w:w="1128" w:type="pct"/>
                  <w:tcBorders>
                    <w:tl2br w:val="nil"/>
                    <w:tr2bl w:val="nil"/>
                  </w:tcBorders>
                  <w:vAlign w:val="center"/>
                </w:tcPr>
                <w:p w14:paraId="4A0C6E53">
                  <w:pPr>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一般地面硬化</w:t>
                  </w:r>
                </w:p>
              </w:tc>
            </w:tr>
          </w:tbl>
          <w:p w14:paraId="4FC353F3">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（三）管理要求</w:t>
            </w:r>
          </w:p>
          <w:p w14:paraId="26072A17">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1、落实防渗措施，严格按照分区防渗措施进行防渗处理，防渗材料必须符合防渗系数要求。</w:t>
            </w:r>
          </w:p>
          <w:p w14:paraId="692269EC">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rPr>
              <w:t>、制定环境风险应急预案，防范风险事故对地下水的影响。</w:t>
            </w:r>
          </w:p>
          <w:p w14:paraId="2527C27A">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综上所述，项目采取上述地下水防渗措施后，运营期不会对区域土壤和地下水造成污染。</w:t>
            </w:r>
          </w:p>
          <w:p w14:paraId="5CBD1FFA">
            <w:pPr>
              <w:spacing w:line="360" w:lineRule="auto"/>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六、</w:t>
            </w:r>
            <w:r>
              <w:rPr>
                <w:rFonts w:ascii="Times New Roman" w:hAnsi="Times New Roman" w:cs="Times New Roman"/>
                <w:b/>
                <w:color w:val="auto"/>
                <w:sz w:val="24"/>
                <w:szCs w:val="24"/>
                <w:highlight w:val="none"/>
              </w:rPr>
              <w:t>环境风险</w:t>
            </w:r>
          </w:p>
          <w:p w14:paraId="657A645A">
            <w:pPr>
              <w:spacing w:line="360" w:lineRule="auto"/>
              <w:ind w:firstLine="480" w:firstLineChars="200"/>
              <w:rPr>
                <w:color w:val="auto"/>
                <w:sz w:val="24"/>
                <w:szCs w:val="24"/>
                <w:highlight w:val="none"/>
              </w:rPr>
            </w:pPr>
            <w:r>
              <w:rPr>
                <w:color w:val="auto"/>
                <w:sz w:val="24"/>
                <w:szCs w:val="24"/>
                <w:highlight w:val="none"/>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将风险可能性和危害程度降至最低。</w:t>
            </w:r>
          </w:p>
          <w:p w14:paraId="6E494B6C">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（一）评价依据</w:t>
            </w:r>
          </w:p>
          <w:p w14:paraId="20943F5A">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1、风险源调查</w:t>
            </w:r>
          </w:p>
          <w:p w14:paraId="2E1DC593">
            <w:pPr>
              <w:spacing w:line="360" w:lineRule="auto"/>
              <w:ind w:firstLine="480" w:firstLineChars="200"/>
              <w:rPr>
                <w:color w:val="auto"/>
                <w:sz w:val="24"/>
                <w:szCs w:val="24"/>
                <w:highlight w:val="none"/>
              </w:rPr>
            </w:pPr>
            <w:r>
              <w:rPr>
                <w:rFonts w:hint="eastAsia"/>
                <w:color w:val="auto"/>
                <w:sz w:val="24"/>
                <w:szCs w:val="24"/>
                <w:highlight w:val="none"/>
              </w:rPr>
              <w:t>本项目运营期所涉及的危险物质存储及危险特性见下表。</w:t>
            </w:r>
          </w:p>
          <w:p w14:paraId="7C160166">
            <w:pPr>
              <w:pStyle w:val="117"/>
              <w:bidi w:val="0"/>
              <w:rPr>
                <w:color w:val="auto"/>
              </w:rPr>
            </w:pPr>
            <w:r>
              <w:rPr>
                <w:color w:val="auto"/>
              </w:rPr>
              <w:t>主要危险物质存储及危险特性</w:t>
            </w:r>
          </w:p>
          <w:tbl>
            <w:tblPr>
              <w:tblStyle w:val="4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530"/>
              <w:gridCol w:w="1794"/>
              <w:gridCol w:w="1389"/>
              <w:gridCol w:w="1577"/>
              <w:gridCol w:w="1695"/>
            </w:tblGrid>
            <w:tr w14:paraId="4C75D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blHeader/>
                <w:jc w:val="center"/>
              </w:trPr>
              <w:tc>
                <w:tcPr>
                  <w:tcW w:w="467" w:type="pct"/>
                  <w:tcBorders>
                    <w:tl2br w:val="nil"/>
                    <w:tr2bl w:val="nil"/>
                  </w:tcBorders>
                  <w:vAlign w:val="center"/>
                </w:tcPr>
                <w:p w14:paraId="29626851">
                  <w:pPr>
                    <w:keepNext w:val="0"/>
                    <w:keepLines w:val="0"/>
                    <w:pageBreakBefore w:val="0"/>
                    <w:kinsoku/>
                    <w:wordWrap/>
                    <w:overflowPunct/>
                    <w:topLinePunct w:val="0"/>
                    <w:autoSpaceDE/>
                    <w:autoSpaceDN/>
                    <w:bidi w:val="0"/>
                    <w:adjustRightInd/>
                    <w:snapToGrid/>
                    <w:jc w:val="center"/>
                    <w:textAlignment w:val="auto"/>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序号</w:t>
                  </w:r>
                </w:p>
              </w:tc>
              <w:tc>
                <w:tcPr>
                  <w:tcW w:w="868" w:type="pct"/>
                  <w:tcBorders>
                    <w:tl2br w:val="nil"/>
                    <w:tr2bl w:val="nil"/>
                  </w:tcBorders>
                  <w:vAlign w:val="center"/>
                </w:tcPr>
                <w:p w14:paraId="72509E18">
                  <w:pPr>
                    <w:keepNext w:val="0"/>
                    <w:keepLines w:val="0"/>
                    <w:pageBreakBefore w:val="0"/>
                    <w:kinsoku/>
                    <w:wordWrap/>
                    <w:overflowPunct/>
                    <w:topLinePunct w:val="0"/>
                    <w:autoSpaceDE/>
                    <w:autoSpaceDN/>
                    <w:bidi w:val="0"/>
                    <w:adjustRightInd/>
                    <w:snapToGrid/>
                    <w:jc w:val="center"/>
                    <w:textAlignment w:val="auto"/>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物质名称</w:t>
                  </w:r>
                </w:p>
              </w:tc>
              <w:tc>
                <w:tcPr>
                  <w:tcW w:w="1018" w:type="pct"/>
                  <w:tcBorders>
                    <w:tl2br w:val="nil"/>
                    <w:tr2bl w:val="nil"/>
                  </w:tcBorders>
                  <w:vAlign w:val="center"/>
                </w:tcPr>
                <w:p w14:paraId="3238AA7E">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bCs/>
                      <w:color w:val="auto"/>
                      <w:szCs w:val="21"/>
                      <w:highlight w:val="none"/>
                      <w:lang w:eastAsia="zh-CN"/>
                    </w:rPr>
                  </w:pPr>
                  <w:r>
                    <w:rPr>
                      <w:rFonts w:ascii="Times New Roman" w:hAnsi="Times New Roman" w:cs="Times New Roman"/>
                      <w:b/>
                      <w:bCs/>
                      <w:color w:val="auto"/>
                      <w:szCs w:val="21"/>
                      <w:highlight w:val="none"/>
                    </w:rPr>
                    <w:t>最大储存量</w:t>
                  </w:r>
                  <w:r>
                    <w:rPr>
                      <w:rFonts w:hint="eastAsia" w:ascii="Times New Roman" w:hAnsi="Times New Roman" w:cs="Times New Roman"/>
                      <w:b/>
                      <w:bCs/>
                      <w:color w:val="auto"/>
                      <w:szCs w:val="21"/>
                      <w:highlight w:val="none"/>
                      <w:lang w:eastAsia="zh-CN"/>
                    </w:rPr>
                    <w:t>（</w:t>
                  </w:r>
                  <w:r>
                    <w:rPr>
                      <w:rFonts w:hint="eastAsia" w:ascii="Times New Roman" w:hAnsi="Times New Roman" w:cs="Times New Roman"/>
                      <w:b/>
                      <w:bCs/>
                      <w:color w:val="auto"/>
                      <w:szCs w:val="21"/>
                      <w:highlight w:val="none"/>
                      <w:lang w:val="en-US" w:eastAsia="zh-CN"/>
                    </w:rPr>
                    <w:t>t/a</w:t>
                  </w:r>
                  <w:r>
                    <w:rPr>
                      <w:rFonts w:hint="eastAsia" w:ascii="Times New Roman" w:hAnsi="Times New Roman" w:cs="Times New Roman"/>
                      <w:b/>
                      <w:bCs/>
                      <w:color w:val="auto"/>
                      <w:szCs w:val="21"/>
                      <w:highlight w:val="none"/>
                      <w:lang w:eastAsia="zh-CN"/>
                    </w:rPr>
                    <w:t>）</w:t>
                  </w:r>
                </w:p>
              </w:tc>
              <w:tc>
                <w:tcPr>
                  <w:tcW w:w="788" w:type="pct"/>
                  <w:tcBorders>
                    <w:tl2br w:val="nil"/>
                    <w:tr2bl w:val="nil"/>
                  </w:tcBorders>
                  <w:vAlign w:val="center"/>
                </w:tcPr>
                <w:p w14:paraId="78C11467">
                  <w:pPr>
                    <w:keepNext w:val="0"/>
                    <w:keepLines w:val="0"/>
                    <w:pageBreakBefore w:val="0"/>
                    <w:kinsoku/>
                    <w:wordWrap/>
                    <w:overflowPunct/>
                    <w:topLinePunct w:val="0"/>
                    <w:autoSpaceDE/>
                    <w:autoSpaceDN/>
                    <w:bidi w:val="0"/>
                    <w:adjustRightInd/>
                    <w:snapToGrid/>
                    <w:jc w:val="center"/>
                    <w:textAlignment w:val="auto"/>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储存方式</w:t>
                  </w:r>
                </w:p>
              </w:tc>
              <w:tc>
                <w:tcPr>
                  <w:tcW w:w="895" w:type="pct"/>
                  <w:tcBorders>
                    <w:tl2br w:val="nil"/>
                    <w:tr2bl w:val="nil"/>
                  </w:tcBorders>
                  <w:vAlign w:val="center"/>
                </w:tcPr>
                <w:p w14:paraId="2F17D108">
                  <w:pPr>
                    <w:keepNext w:val="0"/>
                    <w:keepLines w:val="0"/>
                    <w:pageBreakBefore w:val="0"/>
                    <w:kinsoku/>
                    <w:wordWrap/>
                    <w:overflowPunct/>
                    <w:topLinePunct w:val="0"/>
                    <w:autoSpaceDE/>
                    <w:autoSpaceDN/>
                    <w:bidi w:val="0"/>
                    <w:adjustRightInd/>
                    <w:snapToGrid/>
                    <w:jc w:val="center"/>
                    <w:textAlignment w:val="auto"/>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储存位置</w:t>
                  </w:r>
                </w:p>
              </w:tc>
              <w:tc>
                <w:tcPr>
                  <w:tcW w:w="962" w:type="pct"/>
                  <w:tcBorders>
                    <w:tl2br w:val="nil"/>
                    <w:tr2bl w:val="nil"/>
                  </w:tcBorders>
                  <w:vAlign w:val="center"/>
                </w:tcPr>
                <w:p w14:paraId="5E857CB4">
                  <w:pPr>
                    <w:keepNext w:val="0"/>
                    <w:keepLines w:val="0"/>
                    <w:pageBreakBefore w:val="0"/>
                    <w:kinsoku/>
                    <w:wordWrap/>
                    <w:overflowPunct/>
                    <w:topLinePunct w:val="0"/>
                    <w:autoSpaceDE/>
                    <w:autoSpaceDN/>
                    <w:bidi w:val="0"/>
                    <w:adjustRightInd/>
                    <w:snapToGrid/>
                    <w:jc w:val="center"/>
                    <w:textAlignment w:val="auto"/>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危险性</w:t>
                  </w:r>
                </w:p>
              </w:tc>
            </w:tr>
            <w:tr w14:paraId="7ADB3A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67" w:type="pct"/>
                  <w:tcBorders>
                    <w:tl2br w:val="nil"/>
                    <w:tr2bl w:val="nil"/>
                  </w:tcBorders>
                  <w:vAlign w:val="center"/>
                </w:tcPr>
                <w:p w14:paraId="32CEA843">
                  <w:pPr>
                    <w:keepNext w:val="0"/>
                    <w:keepLines w:val="0"/>
                    <w:pageBreakBefore w:val="0"/>
                    <w:kinsoku/>
                    <w:wordWrap/>
                    <w:overflowPunct/>
                    <w:topLinePunct w:val="0"/>
                    <w:autoSpaceDE/>
                    <w:autoSpaceDN/>
                    <w:bidi w:val="0"/>
                    <w:adjustRightInd/>
                    <w:snapToGrid/>
                    <w:jc w:val="center"/>
                    <w:textAlignment w:val="auto"/>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868" w:type="pct"/>
                  <w:tcBorders>
                    <w:tl2br w:val="nil"/>
                    <w:tr2bl w:val="nil"/>
                  </w:tcBorders>
                  <w:vAlign w:val="center"/>
                </w:tcPr>
                <w:p w14:paraId="3B53BF0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盐酸</w:t>
                  </w:r>
                </w:p>
              </w:tc>
              <w:tc>
                <w:tcPr>
                  <w:tcW w:w="1018" w:type="pct"/>
                  <w:tcBorders>
                    <w:tl2br w:val="nil"/>
                    <w:tr2bl w:val="nil"/>
                  </w:tcBorders>
                  <w:vAlign w:val="center"/>
                </w:tcPr>
                <w:p w14:paraId="49CA40B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0.0024</w:t>
                  </w:r>
                </w:p>
              </w:tc>
              <w:tc>
                <w:tcPr>
                  <w:tcW w:w="788" w:type="pct"/>
                  <w:tcBorders>
                    <w:tl2br w:val="nil"/>
                    <w:tr2bl w:val="nil"/>
                  </w:tcBorders>
                  <w:vAlign w:val="center"/>
                </w:tcPr>
                <w:p w14:paraId="79ED1F76">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瓶装</w:t>
                  </w:r>
                </w:p>
              </w:tc>
              <w:tc>
                <w:tcPr>
                  <w:tcW w:w="895" w:type="pct"/>
                  <w:vMerge w:val="restart"/>
                  <w:tcBorders>
                    <w:tl2br w:val="nil"/>
                    <w:tr2bl w:val="nil"/>
                  </w:tcBorders>
                  <w:vAlign w:val="center"/>
                </w:tcPr>
                <w:p w14:paraId="621D587B">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药品及仪器室</w:t>
                  </w:r>
                </w:p>
              </w:tc>
              <w:tc>
                <w:tcPr>
                  <w:tcW w:w="962" w:type="pct"/>
                  <w:tcBorders>
                    <w:tl2br w:val="nil"/>
                    <w:tr2bl w:val="nil"/>
                  </w:tcBorders>
                  <w:vAlign w:val="center"/>
                </w:tcPr>
                <w:p w14:paraId="5087D9F2">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color w:val="auto"/>
                      <w:szCs w:val="21"/>
                      <w:highlight w:val="none"/>
                      <w:lang w:eastAsia="zh-CN"/>
                    </w:rPr>
                  </w:pPr>
                  <w:r>
                    <w:rPr>
                      <w:rFonts w:hint="eastAsia" w:ascii="Times New Roman" w:hAnsi="Times New Roman" w:cs="Times New Roman"/>
                      <w:color w:val="auto"/>
                      <w:szCs w:val="21"/>
                      <w:highlight w:val="none"/>
                      <w:lang w:val="en-US" w:eastAsia="zh-CN"/>
                    </w:rPr>
                    <w:t>腐蚀性</w:t>
                  </w:r>
                </w:p>
              </w:tc>
            </w:tr>
            <w:tr w14:paraId="1C2B8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vAlign w:val="center"/>
                </w:tcPr>
                <w:p w14:paraId="09FACB55">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2</w:t>
                  </w:r>
                </w:p>
              </w:tc>
              <w:tc>
                <w:tcPr>
                  <w:tcW w:w="868" w:type="pct"/>
                  <w:tcBorders>
                    <w:tl2br w:val="nil"/>
                    <w:tr2bl w:val="nil"/>
                  </w:tcBorders>
                  <w:vAlign w:val="center"/>
                </w:tcPr>
                <w:p w14:paraId="61DFB79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氨水</w:t>
                  </w:r>
                </w:p>
              </w:tc>
              <w:tc>
                <w:tcPr>
                  <w:tcW w:w="1018" w:type="pct"/>
                  <w:tcBorders>
                    <w:tl2br w:val="nil"/>
                    <w:tr2bl w:val="nil"/>
                  </w:tcBorders>
                  <w:vAlign w:val="center"/>
                </w:tcPr>
                <w:p w14:paraId="140105D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0.0009</w:t>
                  </w:r>
                </w:p>
              </w:tc>
              <w:tc>
                <w:tcPr>
                  <w:tcW w:w="788" w:type="pct"/>
                  <w:tcBorders>
                    <w:tl2br w:val="nil"/>
                    <w:tr2bl w:val="nil"/>
                  </w:tcBorders>
                  <w:vAlign w:val="center"/>
                </w:tcPr>
                <w:p w14:paraId="26232C22">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瓶装</w:t>
                  </w:r>
                </w:p>
              </w:tc>
              <w:tc>
                <w:tcPr>
                  <w:tcW w:w="895" w:type="pct"/>
                  <w:vMerge w:val="continue"/>
                  <w:tcBorders>
                    <w:tl2br w:val="nil"/>
                    <w:tr2bl w:val="nil"/>
                  </w:tcBorders>
                  <w:vAlign w:val="center"/>
                </w:tcPr>
                <w:p w14:paraId="4A6442FC">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lang w:val="en-US" w:eastAsia="zh-CN"/>
                    </w:rPr>
                  </w:pPr>
                </w:p>
              </w:tc>
              <w:tc>
                <w:tcPr>
                  <w:tcW w:w="962" w:type="pct"/>
                  <w:tcBorders>
                    <w:tl2br w:val="nil"/>
                    <w:tr2bl w:val="nil"/>
                  </w:tcBorders>
                  <w:vAlign w:val="center"/>
                </w:tcPr>
                <w:p w14:paraId="6BE976FB">
                  <w:pPr>
                    <w:keepNext w:val="0"/>
                    <w:keepLines w:val="0"/>
                    <w:pageBreakBefore w:val="0"/>
                    <w:kinsoku/>
                    <w:wordWrap/>
                    <w:overflowPunct/>
                    <w:topLinePunct w:val="0"/>
                    <w:autoSpaceDE/>
                    <w:autoSpaceDN/>
                    <w:bidi w:val="0"/>
                    <w:adjustRightInd/>
                    <w:snapToGrid/>
                    <w:jc w:val="center"/>
                    <w:textAlignment w:val="auto"/>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腐蚀性</w:t>
                  </w:r>
                </w:p>
              </w:tc>
            </w:tr>
            <w:tr w14:paraId="2A307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vAlign w:val="center"/>
                </w:tcPr>
                <w:p w14:paraId="0603FDF3">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w:t>
                  </w:r>
                </w:p>
              </w:tc>
              <w:tc>
                <w:tcPr>
                  <w:tcW w:w="868" w:type="pct"/>
                  <w:tcBorders>
                    <w:tl2br w:val="nil"/>
                    <w:tr2bl w:val="nil"/>
                  </w:tcBorders>
                  <w:vAlign w:val="center"/>
                </w:tcPr>
                <w:p w14:paraId="2CAD1724">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硫酸</w:t>
                  </w:r>
                </w:p>
              </w:tc>
              <w:tc>
                <w:tcPr>
                  <w:tcW w:w="1018" w:type="pct"/>
                  <w:tcBorders>
                    <w:tl2br w:val="nil"/>
                    <w:tr2bl w:val="nil"/>
                  </w:tcBorders>
                  <w:vAlign w:val="center"/>
                </w:tcPr>
                <w:p w14:paraId="5D402FE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0.0037</w:t>
                  </w:r>
                </w:p>
              </w:tc>
              <w:tc>
                <w:tcPr>
                  <w:tcW w:w="788" w:type="pct"/>
                  <w:tcBorders>
                    <w:tl2br w:val="nil"/>
                    <w:tr2bl w:val="nil"/>
                  </w:tcBorders>
                  <w:vAlign w:val="center"/>
                </w:tcPr>
                <w:p w14:paraId="308ADA58">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瓶装</w:t>
                  </w:r>
                </w:p>
              </w:tc>
              <w:tc>
                <w:tcPr>
                  <w:tcW w:w="895" w:type="pct"/>
                  <w:vMerge w:val="continue"/>
                  <w:tcBorders>
                    <w:tl2br w:val="nil"/>
                    <w:tr2bl w:val="nil"/>
                  </w:tcBorders>
                  <w:vAlign w:val="center"/>
                </w:tcPr>
                <w:p w14:paraId="35B7015B">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color w:val="auto"/>
                      <w:szCs w:val="21"/>
                      <w:highlight w:val="none"/>
                      <w:lang w:val="en-US" w:eastAsia="zh-CN"/>
                    </w:rPr>
                  </w:pPr>
                </w:p>
              </w:tc>
              <w:tc>
                <w:tcPr>
                  <w:tcW w:w="962" w:type="pct"/>
                  <w:tcBorders>
                    <w:tl2br w:val="nil"/>
                    <w:tr2bl w:val="nil"/>
                  </w:tcBorders>
                  <w:vAlign w:val="center"/>
                </w:tcPr>
                <w:p w14:paraId="50EDB019">
                  <w:pPr>
                    <w:keepNext w:val="0"/>
                    <w:keepLines w:val="0"/>
                    <w:pageBreakBefore w:val="0"/>
                    <w:kinsoku/>
                    <w:wordWrap/>
                    <w:overflowPunct/>
                    <w:topLinePunct w:val="0"/>
                    <w:autoSpaceDE/>
                    <w:autoSpaceDN/>
                    <w:bidi w:val="0"/>
                    <w:adjustRightInd/>
                    <w:snapToGrid/>
                    <w:jc w:val="center"/>
                    <w:textAlignment w:val="auto"/>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腐蚀性</w:t>
                  </w:r>
                </w:p>
              </w:tc>
            </w:tr>
            <w:tr w14:paraId="2B993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vAlign w:val="center"/>
                </w:tcPr>
                <w:p w14:paraId="6CFEDC3F">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w:t>
                  </w:r>
                </w:p>
              </w:tc>
              <w:tc>
                <w:tcPr>
                  <w:tcW w:w="868" w:type="pct"/>
                  <w:tcBorders>
                    <w:tl2br w:val="nil"/>
                    <w:tr2bl w:val="nil"/>
                  </w:tcBorders>
                  <w:vAlign w:val="center"/>
                </w:tcPr>
                <w:p w14:paraId="7A4D257A">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乙醇</w:t>
                  </w:r>
                </w:p>
              </w:tc>
              <w:tc>
                <w:tcPr>
                  <w:tcW w:w="1018" w:type="pct"/>
                  <w:tcBorders>
                    <w:tl2br w:val="nil"/>
                    <w:tr2bl w:val="nil"/>
                  </w:tcBorders>
                  <w:vAlign w:val="center"/>
                </w:tcPr>
                <w:p w14:paraId="4E80AAE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0.0020</w:t>
                  </w:r>
                </w:p>
              </w:tc>
              <w:tc>
                <w:tcPr>
                  <w:tcW w:w="788" w:type="pct"/>
                  <w:tcBorders>
                    <w:tl2br w:val="nil"/>
                    <w:tr2bl w:val="nil"/>
                  </w:tcBorders>
                  <w:vAlign w:val="center"/>
                </w:tcPr>
                <w:p w14:paraId="57C2545A">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瓶装</w:t>
                  </w:r>
                </w:p>
              </w:tc>
              <w:tc>
                <w:tcPr>
                  <w:tcW w:w="895" w:type="pct"/>
                  <w:vMerge w:val="continue"/>
                  <w:tcBorders>
                    <w:tl2br w:val="nil"/>
                    <w:tr2bl w:val="nil"/>
                  </w:tcBorders>
                  <w:vAlign w:val="center"/>
                </w:tcPr>
                <w:p w14:paraId="5AA123C4">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color w:val="auto"/>
                      <w:szCs w:val="21"/>
                      <w:highlight w:val="none"/>
                      <w:lang w:val="en-US" w:eastAsia="zh-CN"/>
                    </w:rPr>
                  </w:pPr>
                </w:p>
              </w:tc>
              <w:tc>
                <w:tcPr>
                  <w:tcW w:w="962" w:type="pct"/>
                  <w:tcBorders>
                    <w:tl2br w:val="nil"/>
                    <w:tr2bl w:val="nil"/>
                  </w:tcBorders>
                  <w:vAlign w:val="center"/>
                </w:tcPr>
                <w:p w14:paraId="0812E588">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lang w:val="en-US"/>
                    </w:rPr>
                  </w:pPr>
                  <w:r>
                    <w:rPr>
                      <w:rFonts w:hint="eastAsia" w:ascii="Times New Roman" w:hAnsi="Times New Roman" w:cs="Times New Roman"/>
                      <w:color w:val="auto"/>
                      <w:szCs w:val="21"/>
                      <w:highlight w:val="none"/>
                      <w:lang w:val="en-US" w:eastAsia="zh-CN"/>
                    </w:rPr>
                    <w:t>易燃性、易爆性</w:t>
                  </w:r>
                </w:p>
              </w:tc>
            </w:tr>
            <w:tr w14:paraId="70AB4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vAlign w:val="center"/>
                </w:tcPr>
                <w:p w14:paraId="41178764">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w:t>
                  </w:r>
                </w:p>
              </w:tc>
              <w:tc>
                <w:tcPr>
                  <w:tcW w:w="868" w:type="pct"/>
                  <w:tcBorders>
                    <w:tl2br w:val="nil"/>
                    <w:tr2bl w:val="nil"/>
                  </w:tcBorders>
                  <w:vAlign w:val="center"/>
                </w:tcPr>
                <w:p w14:paraId="16C871FF">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过氧化氢</w:t>
                  </w:r>
                </w:p>
              </w:tc>
              <w:tc>
                <w:tcPr>
                  <w:tcW w:w="1018" w:type="pct"/>
                  <w:tcBorders>
                    <w:tl2br w:val="nil"/>
                    <w:tr2bl w:val="nil"/>
                  </w:tcBorders>
                  <w:vAlign w:val="center"/>
                </w:tcPr>
                <w:p w14:paraId="754AE58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0.0022</w:t>
                  </w:r>
                </w:p>
              </w:tc>
              <w:tc>
                <w:tcPr>
                  <w:tcW w:w="788" w:type="pct"/>
                  <w:tcBorders>
                    <w:tl2br w:val="nil"/>
                    <w:tr2bl w:val="nil"/>
                  </w:tcBorders>
                  <w:vAlign w:val="center"/>
                </w:tcPr>
                <w:p w14:paraId="032798D5">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瓶装</w:t>
                  </w:r>
                </w:p>
              </w:tc>
              <w:tc>
                <w:tcPr>
                  <w:tcW w:w="895" w:type="pct"/>
                  <w:vMerge w:val="continue"/>
                  <w:tcBorders>
                    <w:tl2br w:val="nil"/>
                    <w:tr2bl w:val="nil"/>
                  </w:tcBorders>
                  <w:vAlign w:val="center"/>
                </w:tcPr>
                <w:p w14:paraId="0C06EA5D">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color w:val="auto"/>
                      <w:szCs w:val="21"/>
                      <w:highlight w:val="none"/>
                      <w:lang w:val="en-US" w:eastAsia="zh-CN"/>
                    </w:rPr>
                  </w:pPr>
                </w:p>
              </w:tc>
              <w:tc>
                <w:tcPr>
                  <w:tcW w:w="962" w:type="pct"/>
                  <w:tcBorders>
                    <w:tl2br w:val="nil"/>
                    <w:tr2bl w:val="nil"/>
                  </w:tcBorders>
                  <w:vAlign w:val="center"/>
                </w:tcPr>
                <w:p w14:paraId="37F5DBF9">
                  <w:pPr>
                    <w:keepNext w:val="0"/>
                    <w:keepLines w:val="0"/>
                    <w:pageBreakBefore w:val="0"/>
                    <w:kinsoku/>
                    <w:wordWrap/>
                    <w:overflowPunct/>
                    <w:topLinePunct w:val="0"/>
                    <w:autoSpaceDE/>
                    <w:autoSpaceDN/>
                    <w:bidi w:val="0"/>
                    <w:adjustRightInd/>
                    <w:snapToGrid/>
                    <w:jc w:val="center"/>
                    <w:textAlignment w:val="auto"/>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腐蚀性</w:t>
                  </w:r>
                </w:p>
              </w:tc>
            </w:tr>
          </w:tbl>
          <w:p w14:paraId="5B0E964B">
            <w:pPr>
              <w:spacing w:line="360" w:lineRule="auto"/>
              <w:ind w:firstLine="482" w:firstLineChars="200"/>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2、Q值判定</w:t>
            </w:r>
          </w:p>
          <w:p w14:paraId="224D121B">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本次评价Q值是指</w:t>
            </w:r>
            <w:r>
              <w:rPr>
                <w:rFonts w:ascii="Times New Roman" w:hAnsi="Times New Roman" w:cs="Times New Roman"/>
                <w:color w:val="auto"/>
                <w:sz w:val="24"/>
                <w:szCs w:val="24"/>
                <w:highlight w:val="none"/>
              </w:rPr>
              <w:t>危险物质数量与临界量比值（Q）为每种危险物质在厂界内的最大存在总量与其在《建设项目环境风险评价技术导则》（HJ169-2018）附录B中对应临界量的比值。</w:t>
            </w:r>
          </w:p>
          <w:p w14:paraId="58FCF2CC">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分析建设项目生产、使用、储存过程中涉及的有毒有害、易燃易爆物质，参见HJ169-2018中附录B确定危险物质的临界量</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并参照附录C进行判定。</w:t>
            </w:r>
          </w:p>
          <w:p w14:paraId="18F26D6E">
            <w:pPr>
              <w:spacing w:line="360" w:lineRule="auto"/>
              <w:ind w:firstLine="480" w:firstLineChars="200"/>
              <w:rPr>
                <w:rFonts w:ascii="Times New Roman" w:hAnsi="Times New Roman" w:cs="Times New Roman"/>
                <w:color w:val="auto"/>
                <w:sz w:val="24"/>
                <w:szCs w:val="24"/>
                <w:highlight w:val="none"/>
              </w:rPr>
            </w:pPr>
            <w:r>
              <w:rPr>
                <w:rFonts w:hint="eastAsia" w:ascii="宋体" w:hAnsi="宋体" w:eastAsia="宋体" w:cs="宋体"/>
                <w:color w:val="auto"/>
                <w:sz w:val="24"/>
                <w:szCs w:val="24"/>
                <w:highlight w:val="none"/>
              </w:rPr>
              <w:t>①</w:t>
            </w:r>
            <w:r>
              <w:rPr>
                <w:rFonts w:ascii="Times New Roman" w:hAnsi="Times New Roman" w:cs="Times New Roman"/>
                <w:color w:val="auto"/>
                <w:sz w:val="24"/>
                <w:szCs w:val="24"/>
                <w:highlight w:val="none"/>
              </w:rPr>
              <w:t>当企业只涉及一种风险物质时，该物质的数量与其临界量比值，即为Q。</w:t>
            </w:r>
          </w:p>
          <w:p w14:paraId="7C112A01">
            <w:pPr>
              <w:spacing w:line="360" w:lineRule="auto"/>
              <w:ind w:firstLine="480" w:firstLineChars="200"/>
              <w:rPr>
                <w:rFonts w:ascii="Times New Roman" w:hAnsi="Times New Roman" w:cs="Times New Roman"/>
                <w:color w:val="auto"/>
                <w:sz w:val="24"/>
                <w:szCs w:val="24"/>
                <w:highlight w:val="none"/>
              </w:rPr>
            </w:pPr>
            <w:r>
              <w:rPr>
                <w:rFonts w:hint="eastAsia" w:ascii="宋体" w:hAnsi="宋体" w:eastAsia="宋体" w:cs="宋体"/>
                <w:color w:val="auto"/>
                <w:sz w:val="24"/>
                <w:szCs w:val="24"/>
                <w:highlight w:val="none"/>
              </w:rPr>
              <w:t>②</w:t>
            </w:r>
            <w:r>
              <w:rPr>
                <w:rFonts w:ascii="Times New Roman" w:hAnsi="Times New Roman" w:cs="Times New Roman"/>
                <w:color w:val="auto"/>
                <w:sz w:val="24"/>
                <w:szCs w:val="24"/>
                <w:highlight w:val="none"/>
              </w:rPr>
              <w:t>当企业存在多种风险物质时，则按下式计算：</w:t>
            </w:r>
          </w:p>
          <w:p w14:paraId="1AEDBE52">
            <w:pPr>
              <w:pStyle w:val="64"/>
              <w:ind w:firstLine="480"/>
              <w:jc w:val="center"/>
              <w:rPr>
                <w:rFonts w:eastAsiaTheme="minorEastAsia"/>
                <w:color w:val="auto"/>
                <w:szCs w:val="24"/>
                <w:highlight w:val="none"/>
                <w:vertAlign w:val="subscript"/>
              </w:rPr>
            </w:pPr>
            <w:r>
              <w:rPr>
                <w:rFonts w:eastAsiaTheme="minorEastAsia"/>
                <w:color w:val="auto"/>
                <w:szCs w:val="24"/>
                <w:highlight w:val="none"/>
              </w:rPr>
              <w:t>Q=q</w:t>
            </w:r>
            <w:r>
              <w:rPr>
                <w:rFonts w:eastAsiaTheme="minorEastAsia"/>
                <w:color w:val="auto"/>
                <w:szCs w:val="24"/>
                <w:highlight w:val="none"/>
                <w:vertAlign w:val="subscript"/>
              </w:rPr>
              <w:t>1</w:t>
            </w:r>
            <w:r>
              <w:rPr>
                <w:rFonts w:eastAsiaTheme="minorEastAsia"/>
                <w:color w:val="auto"/>
                <w:szCs w:val="24"/>
                <w:highlight w:val="none"/>
              </w:rPr>
              <w:t>/Q</w:t>
            </w:r>
            <w:r>
              <w:rPr>
                <w:rFonts w:eastAsiaTheme="minorEastAsia"/>
                <w:color w:val="auto"/>
                <w:szCs w:val="24"/>
                <w:highlight w:val="none"/>
                <w:vertAlign w:val="subscript"/>
              </w:rPr>
              <w:t>1</w:t>
            </w:r>
            <w:r>
              <w:rPr>
                <w:rFonts w:eastAsiaTheme="minorEastAsia"/>
                <w:color w:val="auto"/>
                <w:szCs w:val="24"/>
                <w:highlight w:val="none"/>
              </w:rPr>
              <w:t>+q</w:t>
            </w:r>
            <w:r>
              <w:rPr>
                <w:rFonts w:eastAsiaTheme="minorEastAsia"/>
                <w:color w:val="auto"/>
                <w:szCs w:val="24"/>
                <w:highlight w:val="none"/>
                <w:vertAlign w:val="subscript"/>
              </w:rPr>
              <w:t>2</w:t>
            </w:r>
            <w:r>
              <w:rPr>
                <w:rFonts w:eastAsiaTheme="minorEastAsia"/>
                <w:color w:val="auto"/>
                <w:szCs w:val="24"/>
                <w:highlight w:val="none"/>
              </w:rPr>
              <w:t>/Q</w:t>
            </w:r>
            <w:r>
              <w:rPr>
                <w:rFonts w:eastAsiaTheme="minorEastAsia"/>
                <w:color w:val="auto"/>
                <w:szCs w:val="24"/>
                <w:highlight w:val="none"/>
                <w:vertAlign w:val="subscript"/>
              </w:rPr>
              <w:t>2</w:t>
            </w:r>
            <w:r>
              <w:rPr>
                <w:rFonts w:eastAsiaTheme="minorEastAsia"/>
                <w:color w:val="auto"/>
                <w:szCs w:val="24"/>
                <w:highlight w:val="none"/>
              </w:rPr>
              <w:t>+</w:t>
            </w:r>
            <w:r>
              <w:rPr>
                <w:rFonts w:eastAsiaTheme="minorEastAsia"/>
                <w:color w:val="auto"/>
                <w:spacing w:val="-4"/>
                <w:szCs w:val="24"/>
                <w:highlight w:val="none"/>
              </w:rPr>
              <w:t>…</w:t>
            </w:r>
            <w:r>
              <w:rPr>
                <w:rFonts w:eastAsiaTheme="minorEastAsia"/>
                <w:color w:val="auto"/>
                <w:szCs w:val="24"/>
                <w:highlight w:val="none"/>
              </w:rPr>
              <w:t>+q</w:t>
            </w:r>
            <w:r>
              <w:rPr>
                <w:rFonts w:eastAsiaTheme="minorEastAsia"/>
                <w:color w:val="auto"/>
                <w:szCs w:val="24"/>
                <w:highlight w:val="none"/>
                <w:vertAlign w:val="subscript"/>
              </w:rPr>
              <w:t>n</w:t>
            </w:r>
            <w:r>
              <w:rPr>
                <w:rFonts w:eastAsiaTheme="minorEastAsia"/>
                <w:color w:val="auto"/>
                <w:szCs w:val="24"/>
                <w:highlight w:val="none"/>
              </w:rPr>
              <w:t>/Q</w:t>
            </w:r>
            <w:r>
              <w:rPr>
                <w:rFonts w:eastAsiaTheme="minorEastAsia"/>
                <w:color w:val="auto"/>
                <w:szCs w:val="24"/>
                <w:highlight w:val="none"/>
                <w:vertAlign w:val="subscript"/>
              </w:rPr>
              <w:t>n</w:t>
            </w:r>
          </w:p>
          <w:p w14:paraId="7FEF977A">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式中：q1，q2，…，qn——每种风险物质的存在量，t；</w:t>
            </w:r>
          </w:p>
          <w:p w14:paraId="1D63C146">
            <w:pPr>
              <w:spacing w:line="360" w:lineRule="auto"/>
              <w:ind w:firstLine="1200" w:firstLineChars="5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Q1，Q2，…，Qn——每种风险物质的临界量，t。</w:t>
            </w:r>
          </w:p>
          <w:p w14:paraId="60AB36DA">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当Q＜1时，该项目环境风险潜势为Ⅰ级。 </w:t>
            </w:r>
          </w:p>
          <w:p w14:paraId="632D12EC">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当Q≥1时，将Q值划分为：（1）1≤ Q＜10；（2）10≤Q＜100；（3）Q≥100。</w:t>
            </w:r>
          </w:p>
          <w:p w14:paraId="708DADE5">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根据计算</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本项目危险物质数量与临界量的比值见下表</w:t>
            </w:r>
            <w:r>
              <w:rPr>
                <w:rFonts w:hint="eastAsia" w:ascii="Times New Roman" w:hAnsi="Times New Roman" w:cs="Times New Roman"/>
                <w:color w:val="auto"/>
                <w:sz w:val="24"/>
                <w:szCs w:val="24"/>
                <w:highlight w:val="none"/>
              </w:rPr>
              <w:t>。</w:t>
            </w:r>
          </w:p>
          <w:p w14:paraId="7C94A921">
            <w:pPr>
              <w:pStyle w:val="117"/>
              <w:bidi w:val="0"/>
              <w:rPr>
                <w:color w:val="auto"/>
              </w:rPr>
            </w:pPr>
            <w:r>
              <w:rPr>
                <w:color w:val="auto"/>
              </w:rPr>
              <w:t>危险物质数量与临界量比值计算表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380"/>
              <w:gridCol w:w="2088"/>
              <w:gridCol w:w="1686"/>
              <w:gridCol w:w="1776"/>
            </w:tblGrid>
            <w:tr w14:paraId="0AA4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tcBorders>
                    <w:top w:val="single" w:color="auto" w:sz="12" w:space="0"/>
                  </w:tcBorders>
                  <w:vAlign w:val="center"/>
                </w:tcPr>
                <w:p w14:paraId="381D66FC">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序号</w:t>
                  </w:r>
                </w:p>
              </w:tc>
              <w:tc>
                <w:tcPr>
                  <w:tcW w:w="2527" w:type="dxa"/>
                  <w:tcBorders>
                    <w:top w:val="single" w:color="auto" w:sz="12" w:space="0"/>
                  </w:tcBorders>
                  <w:vAlign w:val="center"/>
                </w:tcPr>
                <w:p w14:paraId="75E292AD">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危险物质</w:t>
                  </w:r>
                </w:p>
              </w:tc>
              <w:tc>
                <w:tcPr>
                  <w:tcW w:w="2215" w:type="dxa"/>
                  <w:tcBorders>
                    <w:top w:val="single" w:color="auto" w:sz="12" w:space="0"/>
                  </w:tcBorders>
                  <w:vAlign w:val="center"/>
                </w:tcPr>
                <w:p w14:paraId="0A41D5A3">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最大储存量（</w:t>
                  </w:r>
                  <w:r>
                    <w:rPr>
                      <w:rFonts w:ascii="Times New Roman" w:hAnsi="Times New Roman" w:cs="Times New Roman"/>
                      <w:b/>
                      <w:bCs/>
                      <w:i/>
                      <w:color w:val="auto"/>
                      <w:szCs w:val="21"/>
                      <w:highlight w:val="none"/>
                    </w:rPr>
                    <w:t>q</w:t>
                  </w:r>
                  <w:r>
                    <w:rPr>
                      <w:rFonts w:ascii="Times New Roman" w:hAnsi="Times New Roman" w:cs="Times New Roman"/>
                      <w:b/>
                      <w:bCs/>
                      <w:color w:val="auto"/>
                      <w:szCs w:val="21"/>
                      <w:highlight w:val="none"/>
                    </w:rPr>
                    <w:t>）</w:t>
                  </w:r>
                </w:p>
              </w:tc>
              <w:tc>
                <w:tcPr>
                  <w:tcW w:w="1786" w:type="dxa"/>
                  <w:tcBorders>
                    <w:top w:val="single" w:color="auto" w:sz="12" w:space="0"/>
                  </w:tcBorders>
                  <w:vAlign w:val="center"/>
                </w:tcPr>
                <w:p w14:paraId="01688A08">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临界量（</w:t>
                  </w:r>
                  <w:r>
                    <w:rPr>
                      <w:rFonts w:ascii="Times New Roman" w:hAnsi="Times New Roman" w:cs="Times New Roman"/>
                      <w:b/>
                      <w:bCs/>
                      <w:i/>
                      <w:color w:val="auto"/>
                      <w:szCs w:val="21"/>
                      <w:highlight w:val="none"/>
                    </w:rPr>
                    <w:t>Q</w:t>
                  </w:r>
                  <w:r>
                    <w:rPr>
                      <w:rFonts w:ascii="Times New Roman" w:hAnsi="Times New Roman" w:cs="Times New Roman"/>
                      <w:b/>
                      <w:bCs/>
                      <w:color w:val="auto"/>
                      <w:szCs w:val="21"/>
                      <w:highlight w:val="none"/>
                    </w:rPr>
                    <w:t>）</w:t>
                  </w:r>
                </w:p>
              </w:tc>
              <w:tc>
                <w:tcPr>
                  <w:tcW w:w="1881" w:type="dxa"/>
                  <w:tcBorders>
                    <w:top w:val="single" w:color="auto" w:sz="12" w:space="0"/>
                    <w:right w:val="nil"/>
                  </w:tcBorders>
                  <w:vAlign w:val="center"/>
                </w:tcPr>
                <w:p w14:paraId="0F29430A">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比值（</w:t>
                  </w:r>
                  <w:r>
                    <w:rPr>
                      <w:rFonts w:ascii="Times New Roman" w:hAnsi="Times New Roman" w:cs="Times New Roman"/>
                      <w:b/>
                      <w:bCs/>
                      <w:i/>
                      <w:color w:val="auto"/>
                      <w:szCs w:val="21"/>
                      <w:highlight w:val="none"/>
                    </w:rPr>
                    <w:t>Q</w:t>
                  </w:r>
                  <w:r>
                    <w:rPr>
                      <w:rFonts w:ascii="Times New Roman" w:hAnsi="Times New Roman" w:cs="Times New Roman"/>
                      <w:b/>
                      <w:bCs/>
                      <w:color w:val="auto"/>
                      <w:szCs w:val="21"/>
                      <w:highlight w:val="none"/>
                    </w:rPr>
                    <w:t>）</w:t>
                  </w:r>
                </w:p>
              </w:tc>
            </w:tr>
            <w:tr w14:paraId="3076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21" w:type="dxa"/>
                  <w:tcBorders>
                    <w:left w:val="nil"/>
                  </w:tcBorders>
                  <w:vAlign w:val="center"/>
                </w:tcPr>
                <w:p w14:paraId="36614AAC">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2527" w:type="dxa"/>
                  <w:vAlign w:val="center"/>
                </w:tcPr>
                <w:p w14:paraId="17650042">
                  <w:pPr>
                    <w:keepNext w:val="0"/>
                    <w:keepLines w:val="0"/>
                    <w:pageBreakBefore w:val="0"/>
                    <w:kinsoku/>
                    <w:wordWrap/>
                    <w:overflowPunct/>
                    <w:topLinePunct w:val="0"/>
                    <w:autoSpaceDE/>
                    <w:autoSpaceDN/>
                    <w:bidi w:val="0"/>
                    <w:adjustRightInd/>
                    <w:snapToGrid/>
                    <w:jc w:val="center"/>
                    <w:textAlignment w:val="auto"/>
                    <w:rPr>
                      <w:rFonts w:ascii="Times New Roman" w:hAnsi="Times New Roman" w:cs="Times New Roman"/>
                      <w:bCs/>
                      <w:color w:val="auto"/>
                      <w:szCs w:val="21"/>
                      <w:highlight w:val="none"/>
                    </w:rPr>
                  </w:pPr>
                  <w:r>
                    <w:rPr>
                      <w:rFonts w:hint="eastAsia" w:ascii="Times New Roman" w:hAnsi="Times New Roman" w:cs="Times New Roman"/>
                      <w:bCs/>
                      <w:color w:val="auto"/>
                      <w:szCs w:val="21"/>
                      <w:highlight w:val="none"/>
                      <w:lang w:val="en-US" w:eastAsia="zh-CN"/>
                    </w:rPr>
                    <w:t>盐酸</w:t>
                  </w:r>
                </w:p>
              </w:tc>
              <w:tc>
                <w:tcPr>
                  <w:tcW w:w="2215" w:type="dxa"/>
                  <w:vAlign w:val="center"/>
                </w:tcPr>
                <w:p w14:paraId="0D1D8DD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0.0024</w:t>
                  </w:r>
                </w:p>
              </w:tc>
              <w:tc>
                <w:tcPr>
                  <w:tcW w:w="1786" w:type="dxa"/>
                  <w:vAlign w:val="center"/>
                </w:tcPr>
                <w:p w14:paraId="588994B3">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7.5</w:t>
                  </w:r>
                </w:p>
              </w:tc>
              <w:tc>
                <w:tcPr>
                  <w:tcW w:w="1881" w:type="dxa"/>
                  <w:tcBorders>
                    <w:right w:val="nil"/>
                  </w:tcBorders>
                  <w:vAlign w:val="center"/>
                </w:tcPr>
                <w:p w14:paraId="5E36D4B1">
                  <w:pPr>
                    <w:keepNext w:val="0"/>
                    <w:keepLines w:val="0"/>
                    <w:widowControl/>
                    <w:suppressLineNumbers w:val="0"/>
                    <w:jc w:val="center"/>
                    <w:textAlignment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0.00032</w:t>
                  </w:r>
                </w:p>
              </w:tc>
            </w:tr>
            <w:tr w14:paraId="6314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tcBorders>
                    <w:left w:val="nil"/>
                  </w:tcBorders>
                  <w:vAlign w:val="center"/>
                </w:tcPr>
                <w:p w14:paraId="06E9D7E5">
                  <w:pPr>
                    <w:jc w:val="center"/>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2</w:t>
                  </w:r>
                </w:p>
              </w:tc>
              <w:tc>
                <w:tcPr>
                  <w:tcW w:w="2527" w:type="dxa"/>
                  <w:vAlign w:val="center"/>
                </w:tcPr>
                <w:p w14:paraId="5D8FE9A8">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氨水</w:t>
                  </w:r>
                </w:p>
              </w:tc>
              <w:tc>
                <w:tcPr>
                  <w:tcW w:w="2215" w:type="dxa"/>
                  <w:vAlign w:val="center"/>
                </w:tcPr>
                <w:p w14:paraId="78D437D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0.0009</w:t>
                  </w:r>
                </w:p>
              </w:tc>
              <w:tc>
                <w:tcPr>
                  <w:tcW w:w="1786" w:type="dxa"/>
                  <w:vAlign w:val="center"/>
                </w:tcPr>
                <w:p w14:paraId="56BB1EA6">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w:t>
                  </w:r>
                </w:p>
              </w:tc>
              <w:tc>
                <w:tcPr>
                  <w:tcW w:w="1881" w:type="dxa"/>
                  <w:tcBorders>
                    <w:right w:val="nil"/>
                  </w:tcBorders>
                  <w:vAlign w:val="center"/>
                </w:tcPr>
                <w:p w14:paraId="751648EE">
                  <w:pPr>
                    <w:keepNext w:val="0"/>
                    <w:keepLines w:val="0"/>
                    <w:widowControl/>
                    <w:suppressLineNumbers w:val="0"/>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0.00018</w:t>
                  </w:r>
                </w:p>
              </w:tc>
            </w:tr>
            <w:tr w14:paraId="169A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tcBorders>
                    <w:left w:val="nil"/>
                  </w:tcBorders>
                  <w:vAlign w:val="center"/>
                </w:tcPr>
                <w:p w14:paraId="2FECAA5A">
                  <w:pPr>
                    <w:jc w:val="center"/>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3</w:t>
                  </w:r>
                </w:p>
              </w:tc>
              <w:tc>
                <w:tcPr>
                  <w:tcW w:w="2527" w:type="dxa"/>
                  <w:vAlign w:val="center"/>
                </w:tcPr>
                <w:p w14:paraId="285A3588">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硫酸</w:t>
                  </w:r>
                </w:p>
              </w:tc>
              <w:tc>
                <w:tcPr>
                  <w:tcW w:w="2215" w:type="dxa"/>
                  <w:vAlign w:val="center"/>
                </w:tcPr>
                <w:p w14:paraId="71D661D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0.0037</w:t>
                  </w:r>
                </w:p>
              </w:tc>
              <w:tc>
                <w:tcPr>
                  <w:tcW w:w="1786" w:type="dxa"/>
                  <w:vAlign w:val="center"/>
                </w:tcPr>
                <w:p w14:paraId="189CD48D">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w:t>
                  </w:r>
                </w:p>
              </w:tc>
              <w:tc>
                <w:tcPr>
                  <w:tcW w:w="1881" w:type="dxa"/>
                  <w:tcBorders>
                    <w:right w:val="nil"/>
                  </w:tcBorders>
                  <w:vAlign w:val="center"/>
                </w:tcPr>
                <w:p w14:paraId="53981795">
                  <w:pPr>
                    <w:keepNext w:val="0"/>
                    <w:keepLines w:val="0"/>
                    <w:widowControl/>
                    <w:suppressLineNumbers w:val="0"/>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0.00037</w:t>
                  </w:r>
                </w:p>
              </w:tc>
            </w:tr>
            <w:tr w14:paraId="131C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tcBorders>
                    <w:left w:val="nil"/>
                  </w:tcBorders>
                  <w:vAlign w:val="center"/>
                </w:tcPr>
                <w:p w14:paraId="1CB1BEC4">
                  <w:pPr>
                    <w:jc w:val="center"/>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4</w:t>
                  </w:r>
                </w:p>
              </w:tc>
              <w:tc>
                <w:tcPr>
                  <w:tcW w:w="2527" w:type="dxa"/>
                  <w:vAlign w:val="center"/>
                </w:tcPr>
                <w:p w14:paraId="481B64D1">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乙醇</w:t>
                  </w:r>
                </w:p>
              </w:tc>
              <w:tc>
                <w:tcPr>
                  <w:tcW w:w="2215" w:type="dxa"/>
                  <w:vAlign w:val="center"/>
                </w:tcPr>
                <w:p w14:paraId="62A4815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0.0020</w:t>
                  </w:r>
                </w:p>
              </w:tc>
              <w:tc>
                <w:tcPr>
                  <w:tcW w:w="1786" w:type="dxa"/>
                  <w:vAlign w:val="center"/>
                </w:tcPr>
                <w:p w14:paraId="34218735">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500</w:t>
                  </w:r>
                </w:p>
              </w:tc>
              <w:tc>
                <w:tcPr>
                  <w:tcW w:w="1881" w:type="dxa"/>
                  <w:tcBorders>
                    <w:right w:val="nil"/>
                  </w:tcBorders>
                  <w:vAlign w:val="center"/>
                </w:tcPr>
                <w:p w14:paraId="2E848940">
                  <w:pPr>
                    <w:keepNext w:val="0"/>
                    <w:keepLines w:val="0"/>
                    <w:widowControl/>
                    <w:suppressLineNumbers w:val="0"/>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0.000004</w:t>
                  </w:r>
                </w:p>
              </w:tc>
            </w:tr>
            <w:tr w14:paraId="06DF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tcBorders>
                    <w:left w:val="nil"/>
                  </w:tcBorders>
                  <w:vAlign w:val="center"/>
                </w:tcPr>
                <w:p w14:paraId="0E31CEA3">
                  <w:pPr>
                    <w:jc w:val="center"/>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5</w:t>
                  </w:r>
                </w:p>
              </w:tc>
              <w:tc>
                <w:tcPr>
                  <w:tcW w:w="2527" w:type="dxa"/>
                  <w:vAlign w:val="center"/>
                </w:tcPr>
                <w:p w14:paraId="356A76D9">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过氧化氢</w:t>
                  </w:r>
                </w:p>
              </w:tc>
              <w:tc>
                <w:tcPr>
                  <w:tcW w:w="2215" w:type="dxa"/>
                  <w:vAlign w:val="center"/>
                </w:tcPr>
                <w:p w14:paraId="759B18A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0.0022</w:t>
                  </w:r>
                </w:p>
              </w:tc>
              <w:tc>
                <w:tcPr>
                  <w:tcW w:w="1786" w:type="dxa"/>
                  <w:vAlign w:val="center"/>
                </w:tcPr>
                <w:p w14:paraId="08085E46">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200</w:t>
                  </w:r>
                </w:p>
              </w:tc>
              <w:tc>
                <w:tcPr>
                  <w:tcW w:w="1881" w:type="dxa"/>
                  <w:tcBorders>
                    <w:right w:val="nil"/>
                  </w:tcBorders>
                  <w:vAlign w:val="center"/>
                </w:tcPr>
                <w:p w14:paraId="5BB357DC">
                  <w:pPr>
                    <w:keepNext w:val="0"/>
                    <w:keepLines w:val="0"/>
                    <w:widowControl/>
                    <w:suppressLineNumbers w:val="0"/>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0.000011</w:t>
                  </w:r>
                </w:p>
              </w:tc>
            </w:tr>
            <w:tr w14:paraId="5BC5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49" w:type="dxa"/>
                  <w:gridSpan w:val="4"/>
                  <w:tcBorders>
                    <w:left w:val="nil"/>
                    <w:bottom w:val="single" w:color="auto" w:sz="12" w:space="0"/>
                  </w:tcBorders>
                  <w:vAlign w:val="center"/>
                </w:tcPr>
                <w:p w14:paraId="245DE49F">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合计</w:t>
                  </w:r>
                </w:p>
              </w:tc>
              <w:tc>
                <w:tcPr>
                  <w:tcW w:w="1881" w:type="dxa"/>
                  <w:tcBorders>
                    <w:bottom w:val="single" w:color="auto" w:sz="12" w:space="0"/>
                    <w:right w:val="nil"/>
                  </w:tcBorders>
                  <w:vAlign w:val="center"/>
                </w:tcPr>
                <w:p w14:paraId="24E13AFE">
                  <w:pPr>
                    <w:widowControl/>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0.000885</w:t>
                  </w:r>
                </w:p>
              </w:tc>
            </w:tr>
          </w:tbl>
          <w:p w14:paraId="38589A6C">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由上表可知，本项目Q值=</w:t>
            </w:r>
            <w:r>
              <w:rPr>
                <w:rFonts w:hint="eastAsia" w:ascii="Times New Roman" w:hAnsi="Times New Roman" w:cs="Times New Roman"/>
                <w:color w:val="auto"/>
                <w:sz w:val="24"/>
                <w:szCs w:val="24"/>
                <w:highlight w:val="none"/>
                <w:lang w:val="en-US" w:eastAsia="zh-CN"/>
              </w:rPr>
              <w:t>0.000885</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rPr>
              <w:t>1</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rPr>
              <w:t>因此，该项目环境风险潜势为</w:t>
            </w:r>
            <w:r>
              <w:rPr>
                <w:rFonts w:ascii="Times New Roman" w:hAnsi="Times New Roman" w:cs="Times New Roman"/>
                <w:color w:val="auto"/>
                <w:sz w:val="24"/>
                <w:szCs w:val="24"/>
                <w:highlight w:val="none"/>
              </w:rPr>
              <w:t>I</w:t>
            </w:r>
            <w:r>
              <w:rPr>
                <w:rFonts w:hint="eastAsia" w:ascii="Times New Roman" w:hAnsi="Times New Roman" w:cs="Times New Roman"/>
                <w:color w:val="auto"/>
                <w:sz w:val="24"/>
                <w:szCs w:val="24"/>
                <w:highlight w:val="none"/>
              </w:rPr>
              <w:t>，故本次评价需开展简单分析。</w:t>
            </w:r>
          </w:p>
          <w:p w14:paraId="62426739">
            <w:pPr>
              <w:spacing w:line="360" w:lineRule="auto"/>
              <w:ind w:firstLine="482" w:firstLineChars="200"/>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4、环境风险识别</w:t>
            </w:r>
          </w:p>
          <w:p w14:paraId="21CB0BDF">
            <w:pPr>
              <w:spacing w:line="360" w:lineRule="auto"/>
              <w:ind w:firstLine="480" w:firstLineChars="200"/>
              <w:rPr>
                <w:color w:val="auto"/>
                <w:sz w:val="24"/>
              </w:rPr>
            </w:pPr>
            <w:r>
              <w:rPr>
                <w:color w:val="auto"/>
                <w:sz w:val="24"/>
              </w:rPr>
              <w:t>环境风险识别内容包括物质危险性识别和危险物质向环境转移的途径识别。</w:t>
            </w:r>
          </w:p>
          <w:p w14:paraId="0321C42C">
            <w:pPr>
              <w:spacing w:line="360" w:lineRule="auto"/>
              <w:ind w:firstLine="480" w:firstLineChars="200"/>
              <w:rPr>
                <w:color w:val="auto"/>
                <w:sz w:val="24"/>
              </w:rPr>
            </w:pPr>
            <w:r>
              <w:rPr>
                <w:color w:val="auto"/>
                <w:sz w:val="24"/>
              </w:rPr>
              <w:t>物质危险性识别：包括主要原辅材料、污染物、火灾和爆炸伴生/次生物等。</w:t>
            </w:r>
          </w:p>
          <w:p w14:paraId="59B3F80E">
            <w:pPr>
              <w:spacing w:line="360" w:lineRule="auto"/>
              <w:ind w:firstLine="480" w:firstLineChars="200"/>
              <w:rPr>
                <w:color w:val="auto"/>
                <w:sz w:val="24"/>
              </w:rPr>
            </w:pPr>
            <w:r>
              <w:rPr>
                <w:color w:val="auto"/>
                <w:sz w:val="24"/>
              </w:rPr>
              <w:t>危险物质向环境转移的途径识别：包括分析危险物质特性及可能的环境风险类型，识别危险物质影响环境的途径，分析可能影响的环境敏感目标。</w:t>
            </w:r>
          </w:p>
          <w:p w14:paraId="78843CD1">
            <w:pPr>
              <w:spacing w:line="360" w:lineRule="auto"/>
              <w:ind w:firstLine="482" w:firstLineChars="200"/>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5、环境风险防范措施及应急要求</w:t>
            </w:r>
          </w:p>
          <w:p w14:paraId="33A9F2A8">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 xml:space="preserve">①火灾、爆炸风险防范措施 </w:t>
            </w:r>
          </w:p>
          <w:p w14:paraId="5F519AED">
            <w:pPr>
              <w:spacing w:line="360" w:lineRule="auto"/>
              <w:ind w:firstLine="480" w:firstLineChars="200"/>
              <w:rPr>
                <w:rFonts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 xml:space="preserve">）校园内加强管理，宣传火灾风险防范意识。 </w:t>
            </w:r>
          </w:p>
          <w:p w14:paraId="215427F3">
            <w:pPr>
              <w:spacing w:line="360" w:lineRule="auto"/>
              <w:ind w:firstLine="480" w:firstLineChars="200"/>
              <w:rPr>
                <w:rFonts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 xml:space="preserve">）在校园内设置相关消防灭火器材，如灭火器等消防设施。 </w:t>
            </w:r>
          </w:p>
          <w:p w14:paraId="048EC388">
            <w:pPr>
              <w:spacing w:line="360" w:lineRule="auto"/>
              <w:ind w:firstLine="480" w:firstLineChars="200"/>
              <w:rPr>
                <w:rFonts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 xml:space="preserve">）对校园内电器、电线等定期进行检查，消除安全隐患。 </w:t>
            </w:r>
          </w:p>
          <w:p w14:paraId="6FEA8F04">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 xml:space="preserve">本次环评要求：学校在后续运营中继续加强管理，定期对校园内电器、电线等进行检查，对易燃化学品避免阳光直射、暴晒，远离热源、电源和火源，提升人员火灾风险防范意识。加强管理，严格控制实验药剂的储存量，降低风险物质整体存在量，以从源头上降低环境风险。 </w:t>
            </w:r>
          </w:p>
          <w:p w14:paraId="4C75A9DC">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 xml:space="preserve">②泄漏风险防范措施 </w:t>
            </w:r>
          </w:p>
          <w:p w14:paraId="363832F3">
            <w:pPr>
              <w:spacing w:line="360" w:lineRule="auto"/>
              <w:ind w:firstLine="480" w:firstLineChars="200"/>
              <w:rPr>
                <w:rFonts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 xml:space="preserve">）危废暂存间应进行重点防渗、防腐处理； </w:t>
            </w:r>
          </w:p>
          <w:p w14:paraId="0937D0C6">
            <w:pPr>
              <w:spacing w:line="360" w:lineRule="auto"/>
              <w:ind w:firstLine="480" w:firstLineChars="200"/>
              <w:rPr>
                <w:rFonts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 xml:space="preserve">）对危废暂存间内的危险废物应以符合要求的专门容器盛装，各类液体物料和危险废物按要求分类存放并设置警示标识； </w:t>
            </w:r>
          </w:p>
          <w:p w14:paraId="2FEF93DC">
            <w:pPr>
              <w:spacing w:line="360" w:lineRule="auto"/>
              <w:ind w:firstLine="480" w:firstLineChars="200"/>
              <w:rPr>
                <w:rFonts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 xml:space="preserve">）应指定专人对产生的危险废物及时收集，危废操作人员必须经过培训并具备相应知识； </w:t>
            </w:r>
          </w:p>
          <w:p w14:paraId="56187721">
            <w:pPr>
              <w:spacing w:line="360" w:lineRule="auto"/>
              <w:ind w:firstLine="480" w:firstLineChars="200"/>
              <w:rPr>
                <w:rFonts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 xml:space="preserve">）包装容器必须完好无损，没有腐蚀、污染、损毁或其他能导致其包装效能减弱的缺陷； </w:t>
            </w:r>
          </w:p>
          <w:p w14:paraId="1D8023C2">
            <w:pPr>
              <w:spacing w:line="360" w:lineRule="auto"/>
              <w:ind w:firstLine="480" w:firstLineChars="200"/>
              <w:rPr>
                <w:rFonts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val="en-US" w:eastAsia="zh-CN"/>
              </w:rPr>
              <w:t>）液态物料及危废采用专用容器收集且下设边缘不低于</w:t>
            </w:r>
            <w:r>
              <w:rPr>
                <w:rFonts w:hint="default" w:ascii="Times New Roman" w:hAnsi="Times New Roman" w:cs="Times New Roman"/>
                <w:color w:val="auto"/>
                <w:sz w:val="24"/>
                <w:szCs w:val="24"/>
                <w:highlight w:val="none"/>
                <w:lang w:val="en-US" w:eastAsia="zh-CN"/>
              </w:rPr>
              <w:t>10cm</w:t>
            </w:r>
            <w:r>
              <w:rPr>
                <w:rFonts w:hint="eastAsia" w:ascii="Times New Roman" w:hAnsi="Times New Roman" w:cs="Times New Roman"/>
                <w:color w:val="auto"/>
                <w:sz w:val="24"/>
                <w:szCs w:val="24"/>
                <w:highlight w:val="none"/>
                <w:lang w:val="en-US" w:eastAsia="zh-CN"/>
              </w:rPr>
              <w:t xml:space="preserve">高的防渗托盘，并设置空桶作备用收容设施。 </w:t>
            </w:r>
          </w:p>
          <w:p w14:paraId="03558998">
            <w:pPr>
              <w:spacing w:line="360" w:lineRule="auto"/>
              <w:ind w:firstLine="480" w:firstLineChars="200"/>
              <w:rPr>
                <w:rFonts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6</w:t>
            </w:r>
            <w:r>
              <w:rPr>
                <w:rFonts w:hint="eastAsia" w:ascii="Times New Roman" w:hAnsi="Times New Roman" w:cs="Times New Roman"/>
                <w:color w:val="auto"/>
                <w:sz w:val="24"/>
                <w:szCs w:val="24"/>
                <w:highlight w:val="none"/>
                <w:lang w:val="en-US" w:eastAsia="zh-CN"/>
              </w:rPr>
              <w:t xml:space="preserve">）本项目危废暂存间距离实验室有一定距离，应提前确定运输路线，确保专用运输工具状态完好，应避免下课期间和人员活动频繁期间运输，极端天气禁止开展收运作业，避免人为泄漏。 </w:t>
            </w:r>
          </w:p>
          <w:p w14:paraId="6525FBC7">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 xml:space="preserve">③泄漏和火灾带来的次生环境风险 </w:t>
            </w:r>
          </w:p>
          <w:p w14:paraId="76C66349">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 xml:space="preserve">发生火灾事故释放出的大量热量可将人体灼伤，燃气和缺氧均会对人体产生危害，同时还造成财产损失，对环境的危害主要是火灾和爆炸事故发生后产生大量烟气污染环境空气。泄漏事故发生后，由于泄漏物料及消防水不能及时收集，可通过下渗及地下径流等对项目区及下游地区浅层地下水造成污染。因此及时将事故废水通过防渗地沟收集至事故收集装置中，避免出现泄漏的物料和消防水漫流的情况，从而不会通过下渗污染项目区周围地下水，避免对地下水造成环境污染。 </w:t>
            </w:r>
          </w:p>
          <w:p w14:paraId="6E1EC70C">
            <w:pPr>
              <w:spacing w:line="360" w:lineRule="auto"/>
              <w:ind w:firstLine="482" w:firstLineChars="200"/>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 xml:space="preserve">需加强的措施： </w:t>
            </w:r>
          </w:p>
          <w:p w14:paraId="24A10B32">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 xml:space="preserve">实验室安全应急措施： </w:t>
            </w:r>
          </w:p>
          <w:p w14:paraId="2127C599">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①安全预案指导思想：实验室如发生事故，首先关注人的生命，迅速报警，同时全力排险，抢救财产，保护好现场。 </w:t>
            </w:r>
          </w:p>
          <w:p w14:paraId="17D9A6EC">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②一旦发生火灾后应立即用砂子、食盐、纯碱等或用玻璃布、消防被覆盖灭火。灭火后，及时清理现场。 </w:t>
            </w:r>
          </w:p>
          <w:p w14:paraId="5BBABA02">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③电器着火时应急处理：及时切断电源，用二氧化碳灭火器进行灭火，灭火后，及时保护与清理现场。 </w:t>
            </w:r>
          </w:p>
          <w:p w14:paraId="714C2B25">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④实验室发生化学品泄漏时的应急处理如下： </w:t>
            </w:r>
          </w:p>
          <w:p w14:paraId="63B05029">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及时疏散实验室人员，立即佩戴好防毒面具，关闭化学反应器，打开窗户，加强通风；检查泄漏点并及时堵塞：对于液体泄漏，用拖把或其它能够吸液的物质处理现场。实验室一旦发生化学品中毒，应及时送往医院进行抢救。发生火灾时，立即切断电源与组织人员排水。 </w:t>
            </w:r>
          </w:p>
          <w:p w14:paraId="65E221F3">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⑤加强危险化学品管理： </w:t>
            </w:r>
          </w:p>
          <w:p w14:paraId="04E055BD">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本项目使用的乙醇等易燃易爆化学品，用量较少，但其存放至实验区仍存在一定的安全隐患和环境风险。根据《危险化学品安全管理条例》，本项目必须加强安全防护，采取以下环境风险防范措施： </w:t>
            </w:r>
          </w:p>
          <w:p w14:paraId="7FAB69DB">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A、加强实验室监督管理制度，完善监控及门禁制度，危险化学品设置独立的存储间且由专人保管。</w:t>
            </w:r>
          </w:p>
          <w:p w14:paraId="1ACC6B25">
            <w:pPr>
              <w:spacing w:line="360" w:lineRule="auto"/>
              <w:ind w:firstLine="480" w:firstLineChars="200"/>
              <w:rPr>
                <w:rFonts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B</w:t>
            </w:r>
            <w:r>
              <w:rPr>
                <w:rFonts w:hint="eastAsia" w:ascii="Times New Roman" w:hAnsi="Times New Roman" w:cs="Times New Roman"/>
                <w:color w:val="auto"/>
                <w:sz w:val="24"/>
                <w:szCs w:val="24"/>
                <w:highlight w:val="none"/>
                <w:lang w:val="en-US" w:eastAsia="zh-CN"/>
              </w:rPr>
              <w:t xml:space="preserve">、加强员工消防安全教育，定期开展消防应急演练；定期开展环境风险事 </w:t>
            </w:r>
          </w:p>
          <w:p w14:paraId="2BD1855C">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 xml:space="preserve">故应急处置培训。 </w:t>
            </w:r>
          </w:p>
          <w:p w14:paraId="580370EC">
            <w:pPr>
              <w:spacing w:line="360" w:lineRule="auto"/>
              <w:ind w:firstLine="480" w:firstLineChars="200"/>
              <w:rPr>
                <w:rFonts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C</w:t>
            </w:r>
            <w:r>
              <w:rPr>
                <w:rFonts w:hint="eastAsia" w:ascii="Times New Roman" w:hAnsi="Times New Roman" w:cs="Times New Roman"/>
                <w:color w:val="auto"/>
                <w:sz w:val="24"/>
                <w:szCs w:val="24"/>
                <w:highlight w:val="none"/>
                <w:lang w:val="en-US" w:eastAsia="zh-CN"/>
              </w:rPr>
              <w:t xml:space="preserve">、组织实验操作人员定期进行技能培训，提高实验人员专业技能。 </w:t>
            </w:r>
          </w:p>
          <w:p w14:paraId="62A11CDE">
            <w:pPr>
              <w:spacing w:line="360" w:lineRule="auto"/>
              <w:ind w:firstLine="480" w:firstLineChars="200"/>
              <w:rPr>
                <w:rFonts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D</w:t>
            </w:r>
            <w:r>
              <w:rPr>
                <w:rFonts w:hint="eastAsia" w:ascii="Times New Roman" w:hAnsi="Times New Roman" w:cs="Times New Roman"/>
                <w:color w:val="auto"/>
                <w:sz w:val="24"/>
                <w:szCs w:val="24"/>
                <w:highlight w:val="none"/>
                <w:lang w:val="en-US" w:eastAsia="zh-CN"/>
              </w:rPr>
              <w:t xml:space="preserve">、各类试剂分类储存，采取登记领取制度，尽可能减少危险化学品储存量。 </w:t>
            </w:r>
          </w:p>
          <w:p w14:paraId="06D5C126">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⑥严格按照本报告危险废物收集、贮存和处置，贮存场所严格按照本报告要求建设，经收集后定期交由有资质的单位处置并做好进出台账，转移过程严格遵循转移联单制度。严格按照本报告要求实施后，本项目危险废物对周围环境影响较小。</w:t>
            </w:r>
          </w:p>
          <w:p w14:paraId="765ACCF1">
            <w:pPr>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 xml:space="preserve">）环境监管要求 </w:t>
            </w:r>
          </w:p>
          <w:p w14:paraId="141F6ADE">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为学校，故学校为环境监管责任主体，负有管理责任。学校必须保证设备完好，并维持正常运行。实验室老师须负责化学品的出入库登记台账及管理，实验室内必须配置必要的应急器材，由后勤部进行管理，定期进行检查。</w:t>
            </w:r>
          </w:p>
          <w:p w14:paraId="3ECAE314">
            <w:pPr>
              <w:spacing w:line="360" w:lineRule="auto"/>
              <w:jc w:val="left"/>
              <w:rPr>
                <w:rFonts w:cs="Calibri"/>
                <w:b/>
                <w:color w:val="auto"/>
                <w:sz w:val="24"/>
                <w:szCs w:val="24"/>
                <w:highlight w:val="none"/>
              </w:rPr>
            </w:pPr>
            <w:r>
              <w:rPr>
                <w:rFonts w:hint="eastAsia" w:cs="Calibri"/>
                <w:b/>
                <w:color w:val="auto"/>
                <w:sz w:val="24"/>
                <w:szCs w:val="24"/>
                <w:highlight w:val="none"/>
                <w:lang w:val="en-US" w:eastAsia="zh-CN"/>
              </w:rPr>
              <w:t>七</w:t>
            </w:r>
            <w:r>
              <w:rPr>
                <w:rFonts w:hint="eastAsia" w:cs="Calibri"/>
                <w:b/>
                <w:color w:val="auto"/>
                <w:sz w:val="24"/>
                <w:szCs w:val="24"/>
                <w:highlight w:val="none"/>
              </w:rPr>
              <w:t>、规范排污口</w:t>
            </w:r>
          </w:p>
          <w:p w14:paraId="1D4BB236">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根据《环境保护图形标志</w:t>
            </w:r>
            <w:r>
              <w:rPr>
                <w:rFonts w:hint="eastAsia" w:ascii="Times New Roman" w:hAnsi="Times New Roman" w:cs="Times New Roman"/>
                <w:color w:val="auto"/>
                <w:sz w:val="24"/>
                <w:szCs w:val="24"/>
                <w:highlight w:val="none"/>
                <w:lang w:val="en-US" w:eastAsia="zh-CN"/>
              </w:rPr>
              <w:t>-</w:t>
            </w:r>
            <w:r>
              <w:rPr>
                <w:rFonts w:ascii="Times New Roman" w:hAnsi="Times New Roman" w:cs="Times New Roman"/>
                <w:color w:val="auto"/>
                <w:sz w:val="24"/>
                <w:szCs w:val="24"/>
                <w:highlight w:val="none"/>
              </w:rPr>
              <w:t>排放口（源）》（GB15562.1-1995）和《排污口规范化整治要求（试行）》（环监</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1996</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470号）、《危险废物识别标志设置技术规范》（HJ1276-2022）的要求，企业所有排放口（包括气、水、声、固体废物），必须按照</w:t>
            </w:r>
            <w:r>
              <w:rPr>
                <w:rFonts w:hint="eastAsia" w:ascii="宋体" w:hAnsi="宋体" w:eastAsia="宋体" w:cs="宋体"/>
                <w:color w:val="auto"/>
                <w:sz w:val="24"/>
                <w:szCs w:val="24"/>
                <w:highlight w:val="none"/>
              </w:rPr>
              <w:t>“</w:t>
            </w:r>
            <w:r>
              <w:rPr>
                <w:rFonts w:ascii="Times New Roman" w:hAnsi="Times New Roman" w:cs="Times New Roman"/>
                <w:color w:val="auto"/>
                <w:sz w:val="24"/>
                <w:szCs w:val="24"/>
                <w:highlight w:val="none"/>
              </w:rPr>
              <w:t>便于计量监测、便于日常现场监督检查</w:t>
            </w:r>
            <w:r>
              <w:rPr>
                <w:rFonts w:hint="eastAsia" w:ascii="宋体" w:hAnsi="宋体" w:eastAsia="宋体" w:cs="宋体"/>
                <w:color w:val="auto"/>
                <w:sz w:val="24"/>
                <w:szCs w:val="24"/>
                <w:highlight w:val="none"/>
              </w:rPr>
              <w:t>”</w:t>
            </w:r>
            <w:r>
              <w:rPr>
                <w:rFonts w:ascii="Times New Roman" w:hAnsi="Times New Roman" w:cs="Times New Roman"/>
                <w:color w:val="auto"/>
                <w:sz w:val="24"/>
                <w:szCs w:val="24"/>
                <w:highlight w:val="none"/>
              </w:rPr>
              <w:t>的原则和规范化要求，设置与之相适应的环境保护图形标志牌。</w:t>
            </w:r>
          </w:p>
          <w:p w14:paraId="153CB0FD">
            <w:pPr>
              <w:spacing w:line="360" w:lineRule="auto"/>
              <w:ind w:firstLine="482" w:firstLineChars="200"/>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1、固定噪声源</w:t>
            </w:r>
          </w:p>
          <w:p w14:paraId="5E0D238D">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对固定噪声源进行治理，在边界噪声敏感点，且对外界影响最大处设标志牌。</w:t>
            </w:r>
          </w:p>
          <w:p w14:paraId="451FB771">
            <w:pPr>
              <w:spacing w:line="360" w:lineRule="auto"/>
              <w:ind w:firstLine="482" w:firstLineChars="200"/>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2、设置标志牌要求</w:t>
            </w:r>
          </w:p>
          <w:p w14:paraId="495F160E">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环境保护图形标志牌由</w:t>
            </w:r>
            <w:r>
              <w:rPr>
                <w:rFonts w:hint="eastAsia" w:ascii="Times New Roman" w:hAnsi="Times New Roman" w:cs="Times New Roman"/>
                <w:color w:val="auto"/>
                <w:sz w:val="24"/>
                <w:szCs w:val="24"/>
                <w:highlight w:val="none"/>
                <w:lang w:eastAsia="zh-CN"/>
              </w:rPr>
              <w:t>生态环境部</w:t>
            </w:r>
            <w:r>
              <w:rPr>
                <w:rFonts w:ascii="Times New Roman" w:hAnsi="Times New Roman" w:cs="Times New Roman"/>
                <w:color w:val="auto"/>
                <w:sz w:val="24"/>
                <w:szCs w:val="24"/>
                <w:highlight w:val="none"/>
              </w:rPr>
              <w:t>统一定点制作，企业排污口分布图由市环境监管部门统一绘制。排放一般污染物排污口（源），设置提示式标志牌，排放有毒有害等污染物的排污口设置警告式标志牌。标志牌设置位置在排污口附近且醒目处，高度为标志牌上缘离地面2m；排污口附近1m范围内有建筑物的，设平面式标志牌，无建筑物的设立式标志牌。规范化排污口的有关设置（如图形标志牌、监控装置等）属环保设施，排污单位必须负责日常的维护保养，任何单位和个人不得擅自拆除，如需变更的须报环境监管部门同意并办理变更手续。</w:t>
            </w:r>
          </w:p>
          <w:p w14:paraId="2F834038">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本项目排污口设置牌可参照以下标识设置。</w:t>
            </w:r>
          </w:p>
          <w:p w14:paraId="3D1C69DF">
            <w:pPr>
              <w:pStyle w:val="117"/>
              <w:bidi w:val="0"/>
              <w:rPr>
                <w:color w:val="auto"/>
              </w:rPr>
            </w:pPr>
            <w:r>
              <w:rPr>
                <w:color w:val="auto"/>
              </w:rPr>
              <w:t>排放源图形标识</w:t>
            </w:r>
          </w:p>
          <w:tbl>
            <w:tblPr>
              <w:tblStyle w:val="40"/>
              <w:tblW w:w="89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782"/>
              <w:gridCol w:w="1584"/>
              <w:gridCol w:w="1616"/>
              <w:gridCol w:w="1636"/>
              <w:gridCol w:w="1563"/>
            </w:tblGrid>
            <w:tr w14:paraId="6CB0C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vAlign w:val="center"/>
                </w:tcPr>
                <w:p w14:paraId="17242E50">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排放口</w:t>
                  </w:r>
                </w:p>
              </w:tc>
              <w:tc>
                <w:tcPr>
                  <w:tcW w:w="999" w:type="pct"/>
                  <w:tcBorders>
                    <w:tl2br w:val="nil"/>
                    <w:tr2bl w:val="nil"/>
                  </w:tcBorders>
                  <w:vAlign w:val="center"/>
                </w:tcPr>
                <w:p w14:paraId="06930922">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废水排口</w:t>
                  </w:r>
                </w:p>
              </w:tc>
              <w:tc>
                <w:tcPr>
                  <w:tcW w:w="888" w:type="pct"/>
                  <w:tcBorders>
                    <w:tl2br w:val="nil"/>
                    <w:tr2bl w:val="nil"/>
                  </w:tcBorders>
                  <w:vAlign w:val="center"/>
                </w:tcPr>
                <w:p w14:paraId="6D25AAAF">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废气排口</w:t>
                  </w:r>
                </w:p>
              </w:tc>
              <w:tc>
                <w:tcPr>
                  <w:tcW w:w="906" w:type="pct"/>
                  <w:tcBorders>
                    <w:tl2br w:val="nil"/>
                    <w:tr2bl w:val="nil"/>
                  </w:tcBorders>
                  <w:vAlign w:val="center"/>
                </w:tcPr>
                <w:p w14:paraId="2D11477E">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噪声源</w:t>
                  </w:r>
                </w:p>
              </w:tc>
              <w:tc>
                <w:tcPr>
                  <w:tcW w:w="916" w:type="pct"/>
                  <w:tcBorders>
                    <w:tl2br w:val="nil"/>
                    <w:tr2bl w:val="nil"/>
                  </w:tcBorders>
                  <w:vAlign w:val="center"/>
                </w:tcPr>
                <w:p w14:paraId="26A3F98B">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固体废物堆场</w:t>
                  </w:r>
                </w:p>
              </w:tc>
              <w:tc>
                <w:tcPr>
                  <w:tcW w:w="876" w:type="pct"/>
                  <w:tcBorders>
                    <w:tl2br w:val="nil"/>
                    <w:tr2bl w:val="nil"/>
                  </w:tcBorders>
                  <w:vAlign w:val="center"/>
                </w:tcPr>
                <w:p w14:paraId="47B94E39">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危险废物处置场所</w:t>
                  </w:r>
                </w:p>
              </w:tc>
            </w:tr>
            <w:tr w14:paraId="61E24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vAlign w:val="center"/>
                </w:tcPr>
                <w:p w14:paraId="7B2462DE">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图形符号</w:t>
                  </w:r>
                </w:p>
              </w:tc>
              <w:tc>
                <w:tcPr>
                  <w:tcW w:w="999" w:type="pct"/>
                  <w:tcBorders>
                    <w:tl2br w:val="nil"/>
                    <w:tr2bl w:val="nil"/>
                  </w:tcBorders>
                  <w:vAlign w:val="center"/>
                </w:tcPr>
                <w:p w14:paraId="514008F2">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drawing>
                      <wp:inline distT="0" distB="0" distL="114300" distR="114300">
                        <wp:extent cx="897890" cy="930275"/>
                        <wp:effectExtent l="0" t="0" r="16510" b="317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44"/>
                                <a:srcRect l="10242" r="2303"/>
                                <a:stretch>
                                  <a:fillRect/>
                                </a:stretch>
                              </pic:blipFill>
                              <pic:spPr>
                                <a:xfrm>
                                  <a:off x="0" y="0"/>
                                  <a:ext cx="897890" cy="930275"/>
                                </a:xfrm>
                                <a:prstGeom prst="rect">
                                  <a:avLst/>
                                </a:prstGeom>
                                <a:noFill/>
                                <a:ln>
                                  <a:noFill/>
                                </a:ln>
                              </pic:spPr>
                            </pic:pic>
                          </a:graphicData>
                        </a:graphic>
                      </wp:inline>
                    </w:drawing>
                  </w:r>
                </w:p>
              </w:tc>
              <w:tc>
                <w:tcPr>
                  <w:tcW w:w="888" w:type="pct"/>
                  <w:tcBorders>
                    <w:tl2br w:val="nil"/>
                    <w:tr2bl w:val="nil"/>
                  </w:tcBorders>
                  <w:vAlign w:val="center"/>
                </w:tcPr>
                <w:p w14:paraId="389B972C">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drawing>
                      <wp:inline distT="0" distB="0" distL="114300" distR="114300">
                        <wp:extent cx="899160" cy="896620"/>
                        <wp:effectExtent l="0" t="0" r="15240" b="1778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45"/>
                                <a:srcRect l="4373" r="2408"/>
                                <a:stretch>
                                  <a:fillRect/>
                                </a:stretch>
                              </pic:blipFill>
                              <pic:spPr>
                                <a:xfrm>
                                  <a:off x="0" y="0"/>
                                  <a:ext cx="899160" cy="896620"/>
                                </a:xfrm>
                                <a:prstGeom prst="rect">
                                  <a:avLst/>
                                </a:prstGeom>
                                <a:noFill/>
                                <a:ln>
                                  <a:noFill/>
                                </a:ln>
                              </pic:spPr>
                            </pic:pic>
                          </a:graphicData>
                        </a:graphic>
                      </wp:inline>
                    </w:drawing>
                  </w:r>
                </w:p>
              </w:tc>
              <w:tc>
                <w:tcPr>
                  <w:tcW w:w="906" w:type="pct"/>
                  <w:tcBorders>
                    <w:tl2br w:val="nil"/>
                    <w:tr2bl w:val="nil"/>
                  </w:tcBorders>
                  <w:vAlign w:val="center"/>
                </w:tcPr>
                <w:p w14:paraId="1A132826">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drawing>
                      <wp:inline distT="0" distB="0" distL="114300" distR="114300">
                        <wp:extent cx="863600" cy="929005"/>
                        <wp:effectExtent l="0" t="0" r="12700" b="444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46"/>
                                <a:srcRect l="9212"/>
                                <a:stretch>
                                  <a:fillRect/>
                                </a:stretch>
                              </pic:blipFill>
                              <pic:spPr>
                                <a:xfrm>
                                  <a:off x="0" y="0"/>
                                  <a:ext cx="863600" cy="929005"/>
                                </a:xfrm>
                                <a:prstGeom prst="rect">
                                  <a:avLst/>
                                </a:prstGeom>
                                <a:noFill/>
                                <a:ln>
                                  <a:noFill/>
                                </a:ln>
                              </pic:spPr>
                            </pic:pic>
                          </a:graphicData>
                        </a:graphic>
                      </wp:inline>
                    </w:drawing>
                  </w:r>
                </w:p>
              </w:tc>
              <w:tc>
                <w:tcPr>
                  <w:tcW w:w="916" w:type="pct"/>
                  <w:tcBorders>
                    <w:tl2br w:val="nil"/>
                    <w:tr2bl w:val="nil"/>
                  </w:tcBorders>
                  <w:vAlign w:val="center"/>
                </w:tcPr>
                <w:p w14:paraId="55816993">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drawing>
                      <wp:inline distT="0" distB="0" distL="114300" distR="114300">
                        <wp:extent cx="858520" cy="921385"/>
                        <wp:effectExtent l="0" t="0" r="17780" b="1206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47"/>
                                <a:srcRect l="6142" r="3604"/>
                                <a:stretch>
                                  <a:fillRect/>
                                </a:stretch>
                              </pic:blipFill>
                              <pic:spPr>
                                <a:xfrm>
                                  <a:off x="0" y="0"/>
                                  <a:ext cx="858520" cy="921385"/>
                                </a:xfrm>
                                <a:prstGeom prst="rect">
                                  <a:avLst/>
                                </a:prstGeom>
                                <a:noFill/>
                                <a:ln>
                                  <a:noFill/>
                                </a:ln>
                              </pic:spPr>
                            </pic:pic>
                          </a:graphicData>
                        </a:graphic>
                      </wp:inline>
                    </w:drawing>
                  </w:r>
                </w:p>
              </w:tc>
              <w:tc>
                <w:tcPr>
                  <w:tcW w:w="876" w:type="pct"/>
                  <w:tcBorders>
                    <w:tl2br w:val="nil"/>
                    <w:tr2bl w:val="nil"/>
                  </w:tcBorders>
                  <w:vAlign w:val="center"/>
                </w:tcPr>
                <w:p w14:paraId="73185D03">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drawing>
                      <wp:inline distT="0" distB="0" distL="114300" distR="114300">
                        <wp:extent cx="870585" cy="897890"/>
                        <wp:effectExtent l="0" t="0" r="5715" b="1651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48"/>
                                <a:stretch>
                                  <a:fillRect/>
                                </a:stretch>
                              </pic:blipFill>
                              <pic:spPr>
                                <a:xfrm>
                                  <a:off x="0" y="0"/>
                                  <a:ext cx="870585" cy="897890"/>
                                </a:xfrm>
                                <a:prstGeom prst="rect">
                                  <a:avLst/>
                                </a:prstGeom>
                                <a:noFill/>
                                <a:ln>
                                  <a:noFill/>
                                </a:ln>
                              </pic:spPr>
                            </pic:pic>
                          </a:graphicData>
                        </a:graphic>
                      </wp:inline>
                    </w:drawing>
                  </w:r>
                </w:p>
              </w:tc>
            </w:tr>
            <w:tr w14:paraId="705C1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vAlign w:val="center"/>
                </w:tcPr>
                <w:p w14:paraId="03AE28A5">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背景颜色</w:t>
                  </w:r>
                </w:p>
              </w:tc>
              <w:tc>
                <w:tcPr>
                  <w:tcW w:w="3710" w:type="pct"/>
                  <w:gridSpan w:val="4"/>
                  <w:tcBorders>
                    <w:tl2br w:val="nil"/>
                    <w:tr2bl w:val="nil"/>
                  </w:tcBorders>
                  <w:vAlign w:val="center"/>
                </w:tcPr>
                <w:p w14:paraId="01ADFD98">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绿色</w:t>
                  </w:r>
                </w:p>
              </w:tc>
              <w:tc>
                <w:tcPr>
                  <w:tcW w:w="876" w:type="pct"/>
                  <w:tcBorders>
                    <w:tl2br w:val="nil"/>
                    <w:tr2bl w:val="nil"/>
                  </w:tcBorders>
                  <w:vAlign w:val="center"/>
                </w:tcPr>
                <w:p w14:paraId="56306213">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黄色</w:t>
                  </w:r>
                </w:p>
              </w:tc>
            </w:tr>
            <w:tr w14:paraId="49D6C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vAlign w:val="center"/>
                </w:tcPr>
                <w:p w14:paraId="561E01FD">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图形颜色</w:t>
                  </w:r>
                </w:p>
              </w:tc>
              <w:tc>
                <w:tcPr>
                  <w:tcW w:w="3710" w:type="pct"/>
                  <w:gridSpan w:val="4"/>
                  <w:tcBorders>
                    <w:tl2br w:val="nil"/>
                    <w:tr2bl w:val="nil"/>
                  </w:tcBorders>
                  <w:vAlign w:val="center"/>
                </w:tcPr>
                <w:p w14:paraId="3830DA9A">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白色</w:t>
                  </w:r>
                </w:p>
              </w:tc>
              <w:tc>
                <w:tcPr>
                  <w:tcW w:w="876" w:type="pct"/>
                  <w:tcBorders>
                    <w:tl2br w:val="nil"/>
                    <w:tr2bl w:val="nil"/>
                  </w:tcBorders>
                  <w:vAlign w:val="center"/>
                </w:tcPr>
                <w:p w14:paraId="4C122E85">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黑色</w:t>
                  </w:r>
                </w:p>
              </w:tc>
            </w:tr>
          </w:tbl>
          <w:p w14:paraId="7C6E2786">
            <w:pPr>
              <w:spacing w:line="360" w:lineRule="auto"/>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八</w:t>
            </w:r>
            <w:r>
              <w:rPr>
                <w:rFonts w:hint="eastAsia" w:ascii="Times New Roman" w:hAnsi="Times New Roman" w:cs="Times New Roman"/>
                <w:b/>
                <w:color w:val="auto"/>
                <w:sz w:val="24"/>
                <w:szCs w:val="24"/>
                <w:highlight w:val="none"/>
              </w:rPr>
              <w:t>、环保投资</w:t>
            </w:r>
          </w:p>
          <w:p w14:paraId="2B41E47D">
            <w:pPr>
              <w:spacing w:line="360" w:lineRule="auto"/>
              <w:ind w:firstLine="480" w:firstLineChars="200"/>
              <w:rPr>
                <w:color w:val="auto"/>
                <w:highlight w:val="none"/>
              </w:rPr>
            </w:pPr>
            <w:r>
              <w:rPr>
                <w:rFonts w:ascii="Times New Roman" w:hAnsi="Times New Roman" w:cs="Times New Roman"/>
                <w:color w:val="auto"/>
                <w:sz w:val="24"/>
                <w:szCs w:val="24"/>
                <w:highlight w:val="none"/>
              </w:rPr>
              <w:t>本项目总投资为</w:t>
            </w:r>
            <w:r>
              <w:rPr>
                <w:rFonts w:hint="eastAsia" w:ascii="Times New Roman" w:hAnsi="Times New Roman" w:cs="Times New Roman"/>
                <w:color w:val="auto"/>
                <w:sz w:val="24"/>
                <w:szCs w:val="24"/>
                <w:highlight w:val="none"/>
                <w:lang w:val="en-US" w:eastAsia="zh-CN"/>
              </w:rPr>
              <w:t>1000</w:t>
            </w:r>
            <w:r>
              <w:rPr>
                <w:rFonts w:ascii="Times New Roman" w:hAnsi="Times New Roman" w:cs="Times New Roman"/>
                <w:color w:val="auto"/>
                <w:sz w:val="24"/>
                <w:szCs w:val="24"/>
                <w:highlight w:val="none"/>
              </w:rPr>
              <w:t>万元，环保投资</w:t>
            </w:r>
            <w:r>
              <w:rPr>
                <w:rFonts w:hint="eastAsia" w:ascii="Times New Roman" w:hAnsi="Times New Roman" w:cs="Times New Roman"/>
                <w:color w:val="auto"/>
                <w:sz w:val="24"/>
                <w:szCs w:val="24"/>
                <w:highlight w:val="none"/>
                <w:lang w:val="en-US" w:eastAsia="zh-CN"/>
              </w:rPr>
              <w:t>45</w:t>
            </w:r>
            <w:r>
              <w:rPr>
                <w:rFonts w:hint="eastAsia" w:ascii="Times New Roman" w:hAnsi="Times New Roman" w:cs="Times New Roman"/>
                <w:color w:val="auto"/>
                <w:sz w:val="24"/>
                <w:szCs w:val="24"/>
                <w:highlight w:val="none"/>
              </w:rPr>
              <w:t>万元</w:t>
            </w:r>
            <w:r>
              <w:rPr>
                <w:rFonts w:ascii="Times New Roman" w:hAnsi="Times New Roman" w:cs="Times New Roman"/>
                <w:color w:val="auto"/>
                <w:sz w:val="24"/>
                <w:szCs w:val="24"/>
                <w:highlight w:val="none"/>
              </w:rPr>
              <w:t>，占总投资的</w:t>
            </w:r>
            <w:r>
              <w:rPr>
                <w:rFonts w:hint="eastAsia" w:ascii="Times New Roman" w:hAnsi="Times New Roman" w:cs="Times New Roman"/>
                <w:color w:val="auto"/>
                <w:sz w:val="24"/>
                <w:szCs w:val="24"/>
                <w:highlight w:val="none"/>
                <w:lang w:val="en-US" w:eastAsia="zh-CN"/>
              </w:rPr>
              <w:t>4.5</w: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环保投资能够满足本项目环境保护相关措施投入所需，投资情况如下表所示。</w:t>
            </w:r>
          </w:p>
          <w:p w14:paraId="362414C0">
            <w:pPr>
              <w:pStyle w:val="117"/>
              <w:bidi w:val="0"/>
              <w:rPr>
                <w:color w:val="auto"/>
              </w:rPr>
            </w:pPr>
            <w:r>
              <w:rPr>
                <w:color w:val="auto"/>
              </w:rPr>
              <w:t>本项目环保投资一览表</w:t>
            </w:r>
            <w:r>
              <w:rPr>
                <w:rFonts w:hint="eastAsia"/>
                <w:color w:val="auto"/>
              </w:rPr>
              <w:t xml:space="preserve"> </w:t>
            </w:r>
            <w:r>
              <w:rPr>
                <w:color w:val="auto"/>
              </w:rPr>
              <w:t xml:space="preserve">   单位</w:t>
            </w:r>
            <w:r>
              <w:rPr>
                <w:rFonts w:hint="eastAsia"/>
                <w:color w:val="auto"/>
              </w:rPr>
              <w:t>：</w:t>
            </w:r>
            <w:r>
              <w:rPr>
                <w:color w:val="auto"/>
              </w:rPr>
              <w:t>万元</w:t>
            </w:r>
          </w:p>
          <w:tbl>
            <w:tblPr>
              <w:tblStyle w:val="4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003"/>
              <w:gridCol w:w="1147"/>
              <w:gridCol w:w="4299"/>
              <w:gridCol w:w="768"/>
              <w:gridCol w:w="793"/>
            </w:tblGrid>
            <w:tr w14:paraId="6C80D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3" w:type="pct"/>
                  <w:gridSpan w:val="3"/>
                  <w:tcBorders>
                    <w:tl2br w:val="nil"/>
                    <w:tr2bl w:val="nil"/>
                  </w:tcBorders>
                  <w:noWrap w:val="0"/>
                  <w:vAlign w:val="center"/>
                </w:tcPr>
                <w:p w14:paraId="7A4D838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2440" w:type="pct"/>
                  <w:tcBorders>
                    <w:tl2br w:val="nil"/>
                    <w:tr2bl w:val="nil"/>
                  </w:tcBorders>
                  <w:noWrap w:val="0"/>
                  <w:vAlign w:val="center"/>
                </w:tcPr>
                <w:p w14:paraId="6FEE134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治理措施</w:t>
                  </w:r>
                </w:p>
              </w:tc>
              <w:tc>
                <w:tcPr>
                  <w:tcW w:w="435" w:type="pct"/>
                  <w:tcBorders>
                    <w:tl2br w:val="nil"/>
                    <w:tr2bl w:val="nil"/>
                  </w:tcBorders>
                  <w:noWrap w:val="0"/>
                  <w:vAlign w:val="center"/>
                </w:tcPr>
                <w:p w14:paraId="3DD3F3A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投资</w:t>
                  </w:r>
                </w:p>
              </w:tc>
              <w:tc>
                <w:tcPr>
                  <w:tcW w:w="450" w:type="pct"/>
                  <w:tcBorders>
                    <w:tl2br w:val="nil"/>
                    <w:tr2bl w:val="nil"/>
                  </w:tcBorders>
                  <w:noWrap w:val="0"/>
                  <w:vAlign w:val="center"/>
                </w:tcPr>
                <w:p w14:paraId="6FD2CE18">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14:paraId="2F65F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restart"/>
                  <w:tcBorders>
                    <w:tl2br w:val="nil"/>
                    <w:tr2bl w:val="nil"/>
                  </w:tcBorders>
                  <w:noWrap w:val="0"/>
                  <w:vAlign w:val="center"/>
                </w:tcPr>
                <w:p w14:paraId="0C4983EC">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w:t>
                  </w:r>
                </w:p>
              </w:tc>
              <w:tc>
                <w:tcPr>
                  <w:tcW w:w="569" w:type="pct"/>
                  <w:vMerge w:val="restart"/>
                  <w:tcBorders>
                    <w:tl2br w:val="nil"/>
                    <w:tr2bl w:val="nil"/>
                  </w:tcBorders>
                  <w:noWrap w:val="0"/>
                  <w:vAlign w:val="center"/>
                </w:tcPr>
                <w:p w14:paraId="09D8471B">
                  <w:pPr>
                    <w:widowControl/>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废气</w:t>
                  </w:r>
                  <w:r>
                    <w:rPr>
                      <w:rFonts w:hint="default" w:ascii="Times New Roman" w:hAnsi="Times New Roman" w:eastAsia="宋体" w:cs="Times New Roman"/>
                      <w:color w:val="auto"/>
                      <w:sz w:val="21"/>
                      <w:szCs w:val="21"/>
                    </w:rPr>
                    <w:t>治理</w:t>
                  </w:r>
                </w:p>
              </w:tc>
              <w:tc>
                <w:tcPr>
                  <w:tcW w:w="651" w:type="pct"/>
                  <w:tcBorders>
                    <w:tl2br w:val="nil"/>
                    <w:tr2bl w:val="nil"/>
                  </w:tcBorders>
                  <w:noWrap w:val="0"/>
                  <w:vAlign w:val="center"/>
                </w:tcPr>
                <w:p w14:paraId="322E274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扬尘</w:t>
                  </w:r>
                </w:p>
              </w:tc>
              <w:tc>
                <w:tcPr>
                  <w:tcW w:w="2440" w:type="pct"/>
                  <w:tcBorders>
                    <w:tl2br w:val="nil"/>
                    <w:tr2bl w:val="nil"/>
                  </w:tcBorders>
                  <w:noWrap w:val="0"/>
                  <w:vAlign w:val="center"/>
                </w:tcPr>
                <w:p w14:paraId="732664A5">
                  <w:pPr>
                    <w:rPr>
                      <w:rFonts w:hint="eastAsia" w:ascii="Times New Roman" w:hAnsi="Times New Roman" w:cs="Times New Roman"/>
                      <w:bCs/>
                      <w:color w:val="auto"/>
                      <w:highlight w:val="none"/>
                      <w:lang w:val="en-US" w:eastAsia="zh-CN"/>
                    </w:rPr>
                  </w:pPr>
                  <w:r>
                    <w:rPr>
                      <w:rFonts w:hint="eastAsia" w:ascii="Times New Roman" w:hAnsi="Times New Roman"/>
                      <w:color w:val="auto"/>
                      <w:vertAlign w:val="baseline"/>
                    </w:rPr>
                    <w:t>工地周边围挡、物料堆放覆盖、出入车辆冲洗、施工现场道路及材料堆场硬化、工地湿法作业及渣土车辆密闭运输。</w:t>
                  </w:r>
                </w:p>
              </w:tc>
              <w:tc>
                <w:tcPr>
                  <w:tcW w:w="435" w:type="pct"/>
                  <w:vMerge w:val="restart"/>
                  <w:tcBorders>
                    <w:tl2br w:val="nil"/>
                    <w:tr2bl w:val="nil"/>
                  </w:tcBorders>
                  <w:noWrap w:val="0"/>
                  <w:vAlign w:val="center"/>
                </w:tcPr>
                <w:p w14:paraId="353DE1AC">
                  <w:pPr>
                    <w:pStyle w:val="112"/>
                    <w:adjustRightInd/>
                    <w:spacing w:before="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4</w:t>
                  </w:r>
                </w:p>
              </w:tc>
              <w:tc>
                <w:tcPr>
                  <w:tcW w:w="450" w:type="pct"/>
                  <w:vMerge w:val="restart"/>
                  <w:tcBorders>
                    <w:tl2br w:val="nil"/>
                    <w:tr2bl w:val="nil"/>
                  </w:tcBorders>
                  <w:noWrap w:val="0"/>
                  <w:vAlign w:val="center"/>
                </w:tcPr>
                <w:p w14:paraId="7D8FE669">
                  <w:pPr>
                    <w:adjustRightInd/>
                    <w:spacing w:before="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新建</w:t>
                  </w:r>
                </w:p>
              </w:tc>
            </w:tr>
            <w:tr w14:paraId="1E359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1DF50625">
                  <w:pPr>
                    <w:widowControl/>
                    <w:jc w:val="center"/>
                    <w:rPr>
                      <w:rFonts w:hint="eastAsia" w:ascii="Times New Roman" w:hAnsi="Times New Roman" w:eastAsia="宋体" w:cs="Times New Roman"/>
                      <w:color w:val="auto"/>
                      <w:sz w:val="21"/>
                      <w:szCs w:val="21"/>
                      <w:lang w:val="en-US" w:eastAsia="zh-CN"/>
                    </w:rPr>
                  </w:pPr>
                </w:p>
              </w:tc>
              <w:tc>
                <w:tcPr>
                  <w:tcW w:w="569" w:type="pct"/>
                  <w:vMerge w:val="continue"/>
                  <w:tcBorders>
                    <w:tl2br w:val="nil"/>
                    <w:tr2bl w:val="nil"/>
                  </w:tcBorders>
                  <w:noWrap w:val="0"/>
                  <w:vAlign w:val="center"/>
                </w:tcPr>
                <w:p w14:paraId="44137853">
                  <w:pPr>
                    <w:widowControl/>
                    <w:jc w:val="center"/>
                    <w:rPr>
                      <w:rFonts w:hint="default" w:ascii="Times New Roman" w:hAnsi="Times New Roman" w:eastAsia="宋体" w:cs="Times New Roman"/>
                      <w:color w:val="auto"/>
                      <w:sz w:val="21"/>
                      <w:szCs w:val="21"/>
                    </w:rPr>
                  </w:pPr>
                </w:p>
              </w:tc>
              <w:tc>
                <w:tcPr>
                  <w:tcW w:w="651" w:type="pct"/>
                  <w:tcBorders>
                    <w:tl2br w:val="nil"/>
                    <w:tr2bl w:val="nil"/>
                  </w:tcBorders>
                  <w:noWrap w:val="0"/>
                  <w:vAlign w:val="center"/>
                </w:tcPr>
                <w:p w14:paraId="6A966227">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施工机械废气</w:t>
                  </w:r>
                </w:p>
              </w:tc>
              <w:tc>
                <w:tcPr>
                  <w:tcW w:w="2440" w:type="pct"/>
                  <w:tcBorders>
                    <w:tl2br w:val="nil"/>
                    <w:tr2bl w:val="nil"/>
                  </w:tcBorders>
                  <w:noWrap w:val="0"/>
                  <w:vAlign w:val="center"/>
                </w:tcPr>
                <w:p w14:paraId="1B73E46A">
                  <w:pPr>
                    <w:rPr>
                      <w:rFonts w:hint="eastAsia" w:ascii="Times New Roman" w:hAnsi="Times New Roman" w:cs="Times New Roman"/>
                      <w:bCs/>
                      <w:color w:val="auto"/>
                      <w:highlight w:val="none"/>
                      <w:lang w:val="en-US" w:eastAsia="zh-CN"/>
                    </w:rPr>
                  </w:pPr>
                  <w:r>
                    <w:rPr>
                      <w:rFonts w:hint="eastAsia" w:ascii="Times New Roman" w:hAnsi="Times New Roman"/>
                      <w:color w:val="auto"/>
                      <w:vertAlign w:val="baseline"/>
                    </w:rPr>
                    <w:t>加强施工机械保养、防止机械超负荷工作、使用达到国内</w:t>
                  </w:r>
                  <w:r>
                    <w:rPr>
                      <w:rFonts w:ascii="Times New Roman" w:hAnsi="Times New Roman"/>
                      <w:color w:val="auto"/>
                      <w:vertAlign w:val="baseline"/>
                    </w:rPr>
                    <w:t>6b</w:t>
                  </w:r>
                  <w:r>
                    <w:rPr>
                      <w:rFonts w:hint="eastAsia" w:ascii="Times New Roman" w:hAnsi="Times New Roman"/>
                      <w:color w:val="auto"/>
                      <w:vertAlign w:val="baseline"/>
                    </w:rPr>
                    <w:t>及以上排放标准（含燃气）的车辆或新能源车。</w:t>
                  </w:r>
                </w:p>
              </w:tc>
              <w:tc>
                <w:tcPr>
                  <w:tcW w:w="435" w:type="pct"/>
                  <w:vMerge w:val="continue"/>
                  <w:tcBorders>
                    <w:tl2br w:val="nil"/>
                    <w:tr2bl w:val="nil"/>
                  </w:tcBorders>
                  <w:noWrap w:val="0"/>
                  <w:vAlign w:val="center"/>
                </w:tcPr>
                <w:p w14:paraId="33829BF6">
                  <w:pPr>
                    <w:pStyle w:val="112"/>
                    <w:adjustRightInd/>
                    <w:spacing w:before="0"/>
                    <w:rPr>
                      <w:rFonts w:hint="eastAsia" w:ascii="Times New Roman" w:hAnsi="Times New Roman" w:eastAsia="宋体" w:cs="Times New Roman"/>
                      <w:color w:val="auto"/>
                      <w:kern w:val="2"/>
                      <w:sz w:val="21"/>
                      <w:szCs w:val="21"/>
                      <w:lang w:val="en-US" w:eastAsia="zh-CN"/>
                    </w:rPr>
                  </w:pPr>
                </w:p>
              </w:tc>
              <w:tc>
                <w:tcPr>
                  <w:tcW w:w="450" w:type="pct"/>
                  <w:vMerge w:val="continue"/>
                  <w:tcBorders>
                    <w:tl2br w:val="nil"/>
                    <w:tr2bl w:val="nil"/>
                  </w:tcBorders>
                  <w:noWrap w:val="0"/>
                  <w:vAlign w:val="center"/>
                </w:tcPr>
                <w:p w14:paraId="32CC5178">
                  <w:pPr>
                    <w:adjustRightInd/>
                    <w:spacing w:before="0"/>
                    <w:jc w:val="center"/>
                    <w:rPr>
                      <w:rFonts w:hint="eastAsia" w:ascii="Times New Roman" w:hAnsi="Times New Roman" w:eastAsia="宋体" w:cs="Times New Roman"/>
                      <w:color w:val="auto"/>
                      <w:kern w:val="2"/>
                      <w:sz w:val="21"/>
                      <w:szCs w:val="21"/>
                      <w:lang w:val="en-US" w:eastAsia="zh-CN"/>
                    </w:rPr>
                  </w:pPr>
                </w:p>
              </w:tc>
            </w:tr>
            <w:tr w14:paraId="6FFD1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6D9828F0">
                  <w:pPr>
                    <w:widowControl/>
                    <w:jc w:val="center"/>
                    <w:rPr>
                      <w:rFonts w:hint="eastAsia" w:ascii="Times New Roman" w:hAnsi="Times New Roman" w:eastAsia="宋体" w:cs="Times New Roman"/>
                      <w:color w:val="auto"/>
                      <w:sz w:val="21"/>
                      <w:szCs w:val="21"/>
                      <w:lang w:val="en-US" w:eastAsia="zh-CN"/>
                    </w:rPr>
                  </w:pPr>
                </w:p>
              </w:tc>
              <w:tc>
                <w:tcPr>
                  <w:tcW w:w="569" w:type="pct"/>
                  <w:vMerge w:val="continue"/>
                  <w:tcBorders>
                    <w:tl2br w:val="nil"/>
                    <w:tr2bl w:val="nil"/>
                  </w:tcBorders>
                  <w:noWrap w:val="0"/>
                  <w:vAlign w:val="center"/>
                </w:tcPr>
                <w:p w14:paraId="279D5D9D">
                  <w:pPr>
                    <w:widowControl/>
                    <w:jc w:val="center"/>
                    <w:rPr>
                      <w:rFonts w:hint="default" w:ascii="Times New Roman" w:hAnsi="Times New Roman" w:eastAsia="宋体" w:cs="Times New Roman"/>
                      <w:color w:val="auto"/>
                      <w:sz w:val="21"/>
                      <w:szCs w:val="21"/>
                    </w:rPr>
                  </w:pPr>
                </w:p>
              </w:tc>
              <w:tc>
                <w:tcPr>
                  <w:tcW w:w="651" w:type="pct"/>
                  <w:tcBorders>
                    <w:tl2br w:val="nil"/>
                    <w:tr2bl w:val="nil"/>
                  </w:tcBorders>
                  <w:noWrap w:val="0"/>
                  <w:vAlign w:val="center"/>
                </w:tcPr>
                <w:p w14:paraId="2BDE1EF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装修废气</w:t>
                  </w:r>
                </w:p>
              </w:tc>
              <w:tc>
                <w:tcPr>
                  <w:tcW w:w="2440" w:type="pct"/>
                  <w:tcBorders>
                    <w:tl2br w:val="nil"/>
                    <w:tr2bl w:val="nil"/>
                  </w:tcBorders>
                  <w:noWrap w:val="0"/>
                  <w:vAlign w:val="center"/>
                </w:tcPr>
                <w:p w14:paraId="1D1FDB51">
                  <w:pPr>
                    <w:rPr>
                      <w:rFonts w:hint="eastAsia" w:ascii="Times New Roman" w:hAnsi="Times New Roman"/>
                      <w:color w:val="auto"/>
                      <w:vertAlign w:val="baseline"/>
                    </w:rPr>
                  </w:pPr>
                  <w:r>
                    <w:rPr>
                      <w:rFonts w:hint="eastAsia" w:ascii="Times New Roman" w:hAnsi="Times New Roman"/>
                      <w:color w:val="auto"/>
                      <w:vertAlign w:val="baseline"/>
                    </w:rPr>
                    <w:t>使用环保型涂料，加强通风换气。</w:t>
                  </w:r>
                </w:p>
              </w:tc>
              <w:tc>
                <w:tcPr>
                  <w:tcW w:w="435" w:type="pct"/>
                  <w:vMerge w:val="continue"/>
                  <w:tcBorders>
                    <w:tl2br w:val="nil"/>
                    <w:tr2bl w:val="nil"/>
                  </w:tcBorders>
                  <w:noWrap w:val="0"/>
                  <w:vAlign w:val="center"/>
                </w:tcPr>
                <w:p w14:paraId="654400D8">
                  <w:pPr>
                    <w:pStyle w:val="112"/>
                    <w:adjustRightInd/>
                    <w:spacing w:before="0"/>
                    <w:rPr>
                      <w:rFonts w:hint="eastAsia" w:ascii="Times New Roman" w:hAnsi="Times New Roman" w:eastAsia="宋体" w:cs="Times New Roman"/>
                      <w:color w:val="auto"/>
                      <w:kern w:val="2"/>
                      <w:sz w:val="21"/>
                      <w:szCs w:val="21"/>
                      <w:lang w:val="en-US" w:eastAsia="zh-CN"/>
                    </w:rPr>
                  </w:pPr>
                </w:p>
              </w:tc>
              <w:tc>
                <w:tcPr>
                  <w:tcW w:w="450" w:type="pct"/>
                  <w:vMerge w:val="continue"/>
                  <w:tcBorders>
                    <w:tl2br w:val="nil"/>
                    <w:tr2bl w:val="nil"/>
                  </w:tcBorders>
                  <w:noWrap w:val="0"/>
                  <w:vAlign w:val="center"/>
                </w:tcPr>
                <w:p w14:paraId="673A5F5A">
                  <w:pPr>
                    <w:adjustRightInd/>
                    <w:spacing w:before="0"/>
                    <w:jc w:val="center"/>
                    <w:rPr>
                      <w:rFonts w:hint="eastAsia" w:ascii="Times New Roman" w:hAnsi="Times New Roman" w:eastAsia="宋体" w:cs="Times New Roman"/>
                      <w:color w:val="auto"/>
                      <w:kern w:val="2"/>
                      <w:sz w:val="21"/>
                      <w:szCs w:val="21"/>
                      <w:lang w:val="en-US" w:eastAsia="zh-CN"/>
                    </w:rPr>
                  </w:pPr>
                </w:p>
              </w:tc>
            </w:tr>
            <w:tr w14:paraId="7B2AD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4CA9DB17">
                  <w:pPr>
                    <w:widowControl/>
                    <w:jc w:val="center"/>
                    <w:rPr>
                      <w:rFonts w:hint="eastAsia" w:ascii="Times New Roman" w:hAnsi="Times New Roman" w:eastAsia="宋体" w:cs="Times New Roman"/>
                      <w:color w:val="auto"/>
                      <w:sz w:val="21"/>
                      <w:szCs w:val="21"/>
                      <w:lang w:val="en-US" w:eastAsia="zh-CN"/>
                    </w:rPr>
                  </w:pPr>
                </w:p>
              </w:tc>
              <w:tc>
                <w:tcPr>
                  <w:tcW w:w="569" w:type="pct"/>
                  <w:vMerge w:val="restart"/>
                  <w:tcBorders>
                    <w:tl2br w:val="nil"/>
                    <w:tr2bl w:val="nil"/>
                  </w:tcBorders>
                  <w:noWrap w:val="0"/>
                  <w:vAlign w:val="center"/>
                </w:tcPr>
                <w:p w14:paraId="37D22E1F">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废水治理</w:t>
                  </w:r>
                </w:p>
              </w:tc>
              <w:tc>
                <w:tcPr>
                  <w:tcW w:w="651" w:type="pct"/>
                  <w:tcBorders>
                    <w:tl2br w:val="nil"/>
                    <w:tr2bl w:val="nil"/>
                  </w:tcBorders>
                  <w:noWrap w:val="0"/>
                  <w:vAlign w:val="center"/>
                </w:tcPr>
                <w:p w14:paraId="6756616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施工期废水</w:t>
                  </w:r>
                </w:p>
              </w:tc>
              <w:tc>
                <w:tcPr>
                  <w:tcW w:w="2440" w:type="pct"/>
                  <w:tcBorders>
                    <w:tl2br w:val="nil"/>
                    <w:tr2bl w:val="nil"/>
                  </w:tcBorders>
                  <w:noWrap w:val="0"/>
                  <w:vAlign w:val="center"/>
                </w:tcPr>
                <w:p w14:paraId="464EB619">
                  <w:pPr>
                    <w:rPr>
                      <w:rFonts w:hint="eastAsia" w:ascii="Times New Roman" w:hAnsi="Times New Roman" w:cs="Times New Roman"/>
                      <w:bCs/>
                      <w:color w:val="auto"/>
                      <w:highlight w:val="none"/>
                      <w:lang w:val="en-US" w:eastAsia="zh-CN"/>
                    </w:rPr>
                  </w:pPr>
                  <w:r>
                    <w:rPr>
                      <w:color w:val="auto"/>
                    </w:rPr>
                    <w:t>施工现场出入口设置车辆冲洗设施和排水、废浆沉淀设施</w:t>
                  </w:r>
                  <w:r>
                    <w:rPr>
                      <w:rFonts w:hint="eastAsia"/>
                      <w:color w:val="auto"/>
                    </w:rPr>
                    <w:t>；施工废水经隔油沉淀池沉淀后全部回用；</w:t>
                  </w:r>
                </w:p>
              </w:tc>
              <w:tc>
                <w:tcPr>
                  <w:tcW w:w="435" w:type="pct"/>
                  <w:tcBorders>
                    <w:tl2br w:val="nil"/>
                    <w:tr2bl w:val="nil"/>
                  </w:tcBorders>
                  <w:noWrap w:val="0"/>
                  <w:vAlign w:val="center"/>
                </w:tcPr>
                <w:p w14:paraId="42B5B558">
                  <w:pPr>
                    <w:pStyle w:val="112"/>
                    <w:adjustRightInd/>
                    <w:spacing w:before="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w:t>
                  </w:r>
                </w:p>
              </w:tc>
              <w:tc>
                <w:tcPr>
                  <w:tcW w:w="450" w:type="pct"/>
                  <w:tcBorders>
                    <w:tl2br w:val="nil"/>
                    <w:tr2bl w:val="nil"/>
                  </w:tcBorders>
                  <w:noWrap w:val="0"/>
                  <w:vAlign w:val="center"/>
                </w:tcPr>
                <w:p w14:paraId="3C649723">
                  <w:pPr>
                    <w:adjustRightInd/>
                    <w:spacing w:before="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新建</w:t>
                  </w:r>
                </w:p>
              </w:tc>
            </w:tr>
            <w:tr w14:paraId="4BADA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353213D0">
                  <w:pPr>
                    <w:widowControl/>
                    <w:jc w:val="center"/>
                    <w:rPr>
                      <w:rFonts w:hint="eastAsia" w:ascii="Times New Roman" w:hAnsi="Times New Roman" w:eastAsia="宋体" w:cs="Times New Roman"/>
                      <w:color w:val="auto"/>
                      <w:sz w:val="21"/>
                      <w:szCs w:val="21"/>
                      <w:lang w:val="en-US" w:eastAsia="zh-CN"/>
                    </w:rPr>
                  </w:pPr>
                </w:p>
              </w:tc>
              <w:tc>
                <w:tcPr>
                  <w:tcW w:w="569" w:type="pct"/>
                  <w:vMerge w:val="continue"/>
                  <w:tcBorders>
                    <w:tl2br w:val="nil"/>
                    <w:tr2bl w:val="nil"/>
                  </w:tcBorders>
                  <w:noWrap w:val="0"/>
                  <w:vAlign w:val="center"/>
                </w:tcPr>
                <w:p w14:paraId="7EC25FDA">
                  <w:pPr>
                    <w:widowControl/>
                    <w:jc w:val="center"/>
                    <w:rPr>
                      <w:rFonts w:hint="eastAsia" w:ascii="Times New Roman" w:hAnsi="Times New Roman" w:eastAsia="宋体" w:cs="Times New Roman"/>
                      <w:color w:val="auto"/>
                      <w:sz w:val="21"/>
                      <w:szCs w:val="21"/>
                      <w:lang w:val="en-US" w:eastAsia="zh-CN"/>
                    </w:rPr>
                  </w:pPr>
                </w:p>
              </w:tc>
              <w:tc>
                <w:tcPr>
                  <w:tcW w:w="651" w:type="pct"/>
                  <w:tcBorders>
                    <w:tl2br w:val="nil"/>
                    <w:tr2bl w:val="nil"/>
                  </w:tcBorders>
                  <w:noWrap w:val="0"/>
                  <w:vAlign w:val="center"/>
                </w:tcPr>
                <w:p w14:paraId="6CBA8358">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施工期生活污水</w:t>
                  </w:r>
                </w:p>
              </w:tc>
              <w:tc>
                <w:tcPr>
                  <w:tcW w:w="2440" w:type="pct"/>
                  <w:tcBorders>
                    <w:tl2br w:val="nil"/>
                    <w:tr2bl w:val="nil"/>
                  </w:tcBorders>
                  <w:noWrap w:val="0"/>
                  <w:vAlign w:val="center"/>
                </w:tcPr>
                <w:p w14:paraId="67EC351D">
                  <w:pPr>
                    <w:rPr>
                      <w:rFonts w:hint="default" w:eastAsiaTheme="minorEastAsia"/>
                      <w:color w:val="auto"/>
                      <w:lang w:val="en-US" w:eastAsia="zh-CN"/>
                    </w:rPr>
                  </w:pPr>
                  <w:r>
                    <w:rPr>
                      <w:rFonts w:hint="eastAsia"/>
                      <w:color w:val="auto"/>
                      <w:lang w:val="en-US" w:eastAsia="zh-CN"/>
                    </w:rPr>
                    <w:t>依托学校已建预处理池处理</w:t>
                  </w:r>
                </w:p>
              </w:tc>
              <w:tc>
                <w:tcPr>
                  <w:tcW w:w="435" w:type="pct"/>
                  <w:tcBorders>
                    <w:tl2br w:val="nil"/>
                    <w:tr2bl w:val="nil"/>
                  </w:tcBorders>
                  <w:noWrap w:val="0"/>
                  <w:vAlign w:val="center"/>
                </w:tcPr>
                <w:p w14:paraId="3E650914">
                  <w:pPr>
                    <w:pStyle w:val="112"/>
                    <w:adjustRightInd/>
                    <w:spacing w:before="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w:t>
                  </w:r>
                </w:p>
              </w:tc>
              <w:tc>
                <w:tcPr>
                  <w:tcW w:w="450" w:type="pct"/>
                  <w:tcBorders>
                    <w:tl2br w:val="nil"/>
                    <w:tr2bl w:val="nil"/>
                  </w:tcBorders>
                  <w:noWrap w:val="0"/>
                  <w:vAlign w:val="center"/>
                </w:tcPr>
                <w:p w14:paraId="194C23B8">
                  <w:pPr>
                    <w:adjustRightInd/>
                    <w:spacing w:before="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利旧</w:t>
                  </w:r>
                </w:p>
              </w:tc>
            </w:tr>
            <w:tr w14:paraId="2B193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0B768504">
                  <w:pPr>
                    <w:widowControl/>
                    <w:jc w:val="center"/>
                    <w:rPr>
                      <w:rFonts w:hint="eastAsia" w:ascii="Times New Roman" w:hAnsi="Times New Roman" w:eastAsia="宋体" w:cs="Times New Roman"/>
                      <w:color w:val="auto"/>
                      <w:sz w:val="21"/>
                      <w:szCs w:val="21"/>
                      <w:lang w:val="en-US" w:eastAsia="zh-CN"/>
                    </w:rPr>
                  </w:pPr>
                </w:p>
              </w:tc>
              <w:tc>
                <w:tcPr>
                  <w:tcW w:w="569" w:type="pct"/>
                  <w:tcBorders>
                    <w:tl2br w:val="nil"/>
                    <w:tr2bl w:val="nil"/>
                  </w:tcBorders>
                  <w:noWrap w:val="0"/>
                  <w:vAlign w:val="center"/>
                </w:tcPr>
                <w:p w14:paraId="7D2986E7">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噪声治理</w:t>
                  </w:r>
                </w:p>
              </w:tc>
              <w:tc>
                <w:tcPr>
                  <w:tcW w:w="651" w:type="pct"/>
                  <w:tcBorders>
                    <w:tl2br w:val="nil"/>
                    <w:tr2bl w:val="nil"/>
                  </w:tcBorders>
                  <w:noWrap w:val="0"/>
                  <w:vAlign w:val="center"/>
                </w:tcPr>
                <w:p w14:paraId="33C0A6E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施工噪声</w:t>
                  </w:r>
                </w:p>
              </w:tc>
              <w:tc>
                <w:tcPr>
                  <w:tcW w:w="2440" w:type="pct"/>
                  <w:tcBorders>
                    <w:tl2br w:val="nil"/>
                    <w:tr2bl w:val="nil"/>
                  </w:tcBorders>
                  <w:noWrap w:val="0"/>
                  <w:vAlign w:val="center"/>
                </w:tcPr>
                <w:p w14:paraId="37B89966">
                  <w:pPr>
                    <w:rPr>
                      <w:rFonts w:hint="eastAsia" w:ascii="Times New Roman" w:hAnsi="Times New Roman" w:cs="Times New Roman"/>
                      <w:bCs/>
                      <w:color w:val="auto"/>
                      <w:highlight w:val="none"/>
                      <w:lang w:val="en-US" w:eastAsia="zh-CN"/>
                    </w:rPr>
                  </w:pPr>
                  <w:r>
                    <w:rPr>
                      <w:color w:val="auto"/>
                    </w:rPr>
                    <w:t>选用低噪声设备、</w:t>
                  </w:r>
                  <w:r>
                    <w:rPr>
                      <w:rFonts w:hint="eastAsia"/>
                      <w:color w:val="auto"/>
                    </w:rPr>
                    <w:t>合理布局，</w:t>
                  </w:r>
                  <w:r>
                    <w:rPr>
                      <w:color w:val="auto"/>
                    </w:rPr>
                    <w:t>合理安排施工时间等</w:t>
                  </w:r>
                  <w:r>
                    <w:rPr>
                      <w:rFonts w:hint="eastAsia"/>
                      <w:color w:val="auto"/>
                    </w:rPr>
                    <w:t>，禁止夜间施工</w:t>
                  </w:r>
                </w:p>
              </w:tc>
              <w:tc>
                <w:tcPr>
                  <w:tcW w:w="435" w:type="pct"/>
                  <w:tcBorders>
                    <w:tl2br w:val="nil"/>
                    <w:tr2bl w:val="nil"/>
                  </w:tcBorders>
                  <w:noWrap w:val="0"/>
                  <w:vAlign w:val="center"/>
                </w:tcPr>
                <w:p w14:paraId="34C559B1">
                  <w:pPr>
                    <w:pStyle w:val="112"/>
                    <w:adjustRightInd/>
                    <w:spacing w:before="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w:t>
                  </w:r>
                </w:p>
              </w:tc>
              <w:tc>
                <w:tcPr>
                  <w:tcW w:w="450" w:type="pct"/>
                  <w:tcBorders>
                    <w:tl2br w:val="nil"/>
                    <w:tr2bl w:val="nil"/>
                  </w:tcBorders>
                  <w:noWrap w:val="0"/>
                  <w:vAlign w:val="center"/>
                </w:tcPr>
                <w:p w14:paraId="02386225">
                  <w:pPr>
                    <w:adjustRightInd/>
                    <w:spacing w:before="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新建</w:t>
                  </w:r>
                </w:p>
              </w:tc>
            </w:tr>
            <w:tr w14:paraId="54BD1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3B10167F">
                  <w:pPr>
                    <w:widowControl/>
                    <w:jc w:val="center"/>
                    <w:rPr>
                      <w:rFonts w:hint="eastAsia" w:ascii="Times New Roman" w:hAnsi="Times New Roman" w:eastAsia="宋体" w:cs="Times New Roman"/>
                      <w:color w:val="auto"/>
                      <w:sz w:val="21"/>
                      <w:szCs w:val="21"/>
                      <w:lang w:val="en-US" w:eastAsia="zh-CN"/>
                    </w:rPr>
                  </w:pPr>
                </w:p>
              </w:tc>
              <w:tc>
                <w:tcPr>
                  <w:tcW w:w="569" w:type="pct"/>
                  <w:vMerge w:val="restart"/>
                  <w:tcBorders>
                    <w:tl2br w:val="nil"/>
                    <w:tr2bl w:val="nil"/>
                  </w:tcBorders>
                  <w:noWrap w:val="0"/>
                  <w:vAlign w:val="center"/>
                </w:tcPr>
                <w:p w14:paraId="0E62172E">
                  <w:pPr>
                    <w:widowControl/>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固废治理</w:t>
                  </w:r>
                </w:p>
              </w:tc>
              <w:tc>
                <w:tcPr>
                  <w:tcW w:w="651" w:type="pct"/>
                  <w:tcBorders>
                    <w:tl2br w:val="nil"/>
                    <w:tr2bl w:val="nil"/>
                  </w:tcBorders>
                  <w:noWrap w:val="0"/>
                  <w:vAlign w:val="center"/>
                </w:tcPr>
                <w:p w14:paraId="4C0524AC">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土石方</w:t>
                  </w:r>
                </w:p>
              </w:tc>
              <w:tc>
                <w:tcPr>
                  <w:tcW w:w="2440" w:type="pct"/>
                  <w:tcBorders>
                    <w:tl2br w:val="nil"/>
                    <w:tr2bl w:val="nil"/>
                  </w:tcBorders>
                  <w:noWrap w:val="0"/>
                  <w:vAlign w:val="center"/>
                </w:tcPr>
                <w:p w14:paraId="3754F196">
                  <w:pPr>
                    <w:spacing w:line="276" w:lineRule="auto"/>
                    <w:jc w:val="center"/>
                    <w:rPr>
                      <w:rFonts w:hint="default" w:ascii="Times New Roman" w:hAnsi="Times New Roman" w:cs="Times New Roman"/>
                      <w:bCs/>
                      <w:color w:val="auto"/>
                      <w:highlight w:val="none"/>
                      <w:lang w:val="en-US" w:eastAsia="zh-CN"/>
                    </w:rPr>
                  </w:pPr>
                  <w:r>
                    <w:rPr>
                      <w:rFonts w:hint="default" w:ascii="Times New Roman" w:hAnsi="Times New Roman" w:cs="Times New Roman"/>
                      <w:bCs/>
                      <w:color w:val="auto"/>
                    </w:rPr>
                    <w:t>土石方：</w:t>
                  </w:r>
                  <w:r>
                    <w:rPr>
                      <w:rFonts w:hint="default" w:ascii="Times New Roman" w:hAnsi="Times New Roman" w:cs="Times New Roman"/>
                      <w:bCs/>
                      <w:color w:val="auto"/>
                      <w:lang w:val="en-US" w:eastAsia="zh-CN"/>
                    </w:rPr>
                    <w:t>废弃土石方</w:t>
                  </w:r>
                  <w:r>
                    <w:rPr>
                      <w:rFonts w:hint="default" w:ascii="Times New Roman" w:hAnsi="Times New Roman" w:cs="Times New Roman"/>
                      <w:bCs/>
                      <w:color w:val="auto"/>
                    </w:rPr>
                    <w:t>均委托专业渣土运输公司运至政府指定的</w:t>
                  </w:r>
                  <w:r>
                    <w:rPr>
                      <w:rFonts w:hint="default" w:ascii="Times New Roman" w:hAnsi="Times New Roman" w:cs="Times New Roman"/>
                      <w:bCs/>
                      <w:color w:val="auto"/>
                      <w:lang w:val="en-US" w:eastAsia="zh-CN"/>
                    </w:rPr>
                    <w:t>废弃土石方</w:t>
                  </w:r>
                  <w:r>
                    <w:rPr>
                      <w:rFonts w:hint="default" w:ascii="Times New Roman" w:hAnsi="Times New Roman" w:cs="Times New Roman"/>
                      <w:bCs/>
                      <w:color w:val="auto"/>
                    </w:rPr>
                    <w:t>场进行处置；开挖的土石方采取防雨布覆盖，临时堆场四周设置编织袋拦挡措施，并设置导流明渠。</w:t>
                  </w:r>
                </w:p>
              </w:tc>
              <w:tc>
                <w:tcPr>
                  <w:tcW w:w="435" w:type="pct"/>
                  <w:tcBorders>
                    <w:tl2br w:val="nil"/>
                    <w:tr2bl w:val="nil"/>
                  </w:tcBorders>
                  <w:noWrap w:val="0"/>
                  <w:vAlign w:val="center"/>
                </w:tcPr>
                <w:p w14:paraId="5D904E47">
                  <w:pPr>
                    <w:spacing w:line="276" w:lineRule="auto"/>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lang w:val="en-US" w:eastAsia="zh-CN"/>
                    </w:rPr>
                    <w:t>2</w:t>
                  </w:r>
                </w:p>
              </w:tc>
              <w:tc>
                <w:tcPr>
                  <w:tcW w:w="450" w:type="pct"/>
                  <w:tcBorders>
                    <w:tl2br w:val="nil"/>
                    <w:tr2bl w:val="nil"/>
                  </w:tcBorders>
                  <w:noWrap w:val="0"/>
                  <w:vAlign w:val="center"/>
                </w:tcPr>
                <w:p w14:paraId="27565ACB">
                  <w:pPr>
                    <w:adjustRightInd/>
                    <w:spacing w:before="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新建</w:t>
                  </w:r>
                </w:p>
              </w:tc>
            </w:tr>
            <w:tr w14:paraId="35CB5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31C4D987">
                  <w:pPr>
                    <w:widowControl/>
                    <w:jc w:val="center"/>
                    <w:rPr>
                      <w:rFonts w:hint="eastAsia" w:ascii="Times New Roman" w:hAnsi="Times New Roman" w:eastAsia="宋体" w:cs="Times New Roman"/>
                      <w:color w:val="auto"/>
                      <w:sz w:val="21"/>
                      <w:szCs w:val="21"/>
                      <w:lang w:val="en-US" w:eastAsia="zh-CN"/>
                    </w:rPr>
                  </w:pPr>
                </w:p>
              </w:tc>
              <w:tc>
                <w:tcPr>
                  <w:tcW w:w="569" w:type="pct"/>
                  <w:vMerge w:val="continue"/>
                  <w:tcBorders>
                    <w:tl2br w:val="nil"/>
                    <w:tr2bl w:val="nil"/>
                  </w:tcBorders>
                  <w:noWrap w:val="0"/>
                  <w:vAlign w:val="center"/>
                </w:tcPr>
                <w:p w14:paraId="5F117F0F">
                  <w:pPr>
                    <w:widowControl/>
                    <w:jc w:val="center"/>
                    <w:rPr>
                      <w:rFonts w:hint="eastAsia" w:ascii="Times New Roman" w:hAnsi="Times New Roman" w:eastAsia="宋体" w:cs="Times New Roman"/>
                      <w:color w:val="auto"/>
                      <w:sz w:val="21"/>
                      <w:szCs w:val="21"/>
                      <w:lang w:val="en-US" w:eastAsia="zh-CN"/>
                    </w:rPr>
                  </w:pPr>
                </w:p>
              </w:tc>
              <w:tc>
                <w:tcPr>
                  <w:tcW w:w="651" w:type="pct"/>
                  <w:tcBorders>
                    <w:tl2br w:val="nil"/>
                    <w:tr2bl w:val="nil"/>
                  </w:tcBorders>
                  <w:noWrap w:val="0"/>
                  <w:vAlign w:val="center"/>
                </w:tcPr>
                <w:p w14:paraId="2382926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建筑垃圾</w:t>
                  </w:r>
                </w:p>
              </w:tc>
              <w:tc>
                <w:tcPr>
                  <w:tcW w:w="2440" w:type="pct"/>
                  <w:tcBorders>
                    <w:tl2br w:val="nil"/>
                    <w:tr2bl w:val="nil"/>
                  </w:tcBorders>
                  <w:noWrap w:val="0"/>
                  <w:vAlign w:val="center"/>
                </w:tcPr>
                <w:p w14:paraId="2E0CC6F2">
                  <w:pPr>
                    <w:spacing w:line="276" w:lineRule="auto"/>
                    <w:jc w:val="center"/>
                    <w:rPr>
                      <w:rFonts w:hint="default" w:ascii="Times New Roman" w:hAnsi="Times New Roman" w:cs="Times New Roman"/>
                      <w:bCs/>
                      <w:color w:val="auto"/>
                      <w:highlight w:val="none"/>
                      <w:lang w:val="en-US" w:eastAsia="zh-CN"/>
                    </w:rPr>
                  </w:pPr>
                  <w:r>
                    <w:rPr>
                      <w:rFonts w:hint="default" w:ascii="Times New Roman" w:hAnsi="Times New Roman" w:cs="Times New Roman"/>
                      <w:bCs/>
                      <w:color w:val="auto"/>
                    </w:rPr>
                    <w:t>建筑垃圾：</w:t>
                  </w:r>
                  <w:r>
                    <w:rPr>
                      <w:rFonts w:hint="default" w:ascii="Times New Roman" w:hAnsi="Times New Roman" w:cs="Times New Roman"/>
                      <w:bCs/>
                      <w:color w:val="auto"/>
                      <w:lang w:val="en-US" w:eastAsia="zh-CN"/>
                    </w:rPr>
                    <w:t>能</w:t>
                  </w:r>
                  <w:r>
                    <w:rPr>
                      <w:rFonts w:hint="default" w:ascii="Times New Roman" w:hAnsi="Times New Roman" w:cs="Times New Roman"/>
                      <w:bCs/>
                      <w:color w:val="auto"/>
                    </w:rPr>
                    <w:t>回收利用</w:t>
                  </w:r>
                  <w:r>
                    <w:rPr>
                      <w:rFonts w:hint="default" w:ascii="Times New Roman" w:hAnsi="Times New Roman" w:cs="Times New Roman"/>
                      <w:bCs/>
                      <w:color w:val="auto"/>
                      <w:lang w:val="en-US" w:eastAsia="zh-CN"/>
                    </w:rPr>
                    <w:t>的，分类</w:t>
                  </w:r>
                  <w:r>
                    <w:rPr>
                      <w:rFonts w:hint="default" w:ascii="Times New Roman" w:hAnsi="Times New Roman" w:cs="Times New Roman"/>
                      <w:bCs/>
                      <w:color w:val="auto"/>
                    </w:rPr>
                    <w:t>收集后运往废品回收站，不</w:t>
                  </w:r>
                  <w:r>
                    <w:rPr>
                      <w:rFonts w:hint="default" w:ascii="Times New Roman" w:hAnsi="Times New Roman" w:cs="Times New Roman"/>
                      <w:bCs/>
                      <w:color w:val="auto"/>
                      <w:lang w:val="en-US" w:eastAsia="zh-CN"/>
                    </w:rPr>
                    <w:t>能</w:t>
                  </w:r>
                  <w:r>
                    <w:rPr>
                      <w:rFonts w:hint="default" w:ascii="Times New Roman" w:hAnsi="Times New Roman" w:cs="Times New Roman"/>
                      <w:bCs/>
                      <w:color w:val="auto"/>
                    </w:rPr>
                    <w:t>回收利用的</w:t>
                  </w:r>
                  <w:r>
                    <w:rPr>
                      <w:rFonts w:hint="default" w:ascii="Times New Roman" w:hAnsi="Times New Roman" w:cs="Times New Roman"/>
                      <w:bCs/>
                      <w:color w:val="auto"/>
                      <w:lang w:val="en-US" w:eastAsia="zh-CN"/>
                    </w:rPr>
                    <w:t>运至</w:t>
                  </w:r>
                  <w:r>
                    <w:rPr>
                      <w:rFonts w:hint="default" w:ascii="Times New Roman" w:hAnsi="Times New Roman" w:cs="Times New Roman"/>
                      <w:bCs/>
                      <w:color w:val="auto"/>
                    </w:rPr>
                    <w:t>政府指定建筑垃圾堆场处置</w:t>
                  </w:r>
                  <w:r>
                    <w:rPr>
                      <w:rFonts w:hint="default" w:ascii="Times New Roman" w:hAnsi="Times New Roman" w:cs="Times New Roman"/>
                      <w:bCs/>
                      <w:color w:val="auto"/>
                      <w:lang w:eastAsia="zh-CN"/>
                    </w:rPr>
                    <w:t>。</w:t>
                  </w:r>
                </w:p>
              </w:tc>
              <w:tc>
                <w:tcPr>
                  <w:tcW w:w="435" w:type="pct"/>
                  <w:tcBorders>
                    <w:tl2br w:val="nil"/>
                    <w:tr2bl w:val="nil"/>
                  </w:tcBorders>
                  <w:noWrap w:val="0"/>
                  <w:vAlign w:val="center"/>
                </w:tcPr>
                <w:p w14:paraId="0D8FF57A">
                  <w:pPr>
                    <w:spacing w:line="276" w:lineRule="auto"/>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lang w:val="en-US" w:eastAsia="zh-CN"/>
                    </w:rPr>
                    <w:t>1</w:t>
                  </w:r>
                </w:p>
              </w:tc>
              <w:tc>
                <w:tcPr>
                  <w:tcW w:w="450" w:type="pct"/>
                  <w:tcBorders>
                    <w:tl2br w:val="nil"/>
                    <w:tr2bl w:val="nil"/>
                  </w:tcBorders>
                  <w:noWrap w:val="0"/>
                  <w:vAlign w:val="center"/>
                </w:tcPr>
                <w:p w14:paraId="7B4E19D3">
                  <w:pPr>
                    <w:adjustRightInd/>
                    <w:spacing w:before="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新建</w:t>
                  </w:r>
                </w:p>
              </w:tc>
            </w:tr>
            <w:tr w14:paraId="40F619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32CDD7EC">
                  <w:pPr>
                    <w:widowControl/>
                    <w:jc w:val="center"/>
                    <w:rPr>
                      <w:rFonts w:hint="eastAsia" w:ascii="Times New Roman" w:hAnsi="Times New Roman" w:eastAsia="宋体" w:cs="Times New Roman"/>
                      <w:color w:val="auto"/>
                      <w:sz w:val="21"/>
                      <w:szCs w:val="21"/>
                      <w:lang w:val="en-US" w:eastAsia="zh-CN"/>
                    </w:rPr>
                  </w:pPr>
                </w:p>
              </w:tc>
              <w:tc>
                <w:tcPr>
                  <w:tcW w:w="569" w:type="pct"/>
                  <w:vMerge w:val="continue"/>
                  <w:tcBorders>
                    <w:tl2br w:val="nil"/>
                    <w:tr2bl w:val="nil"/>
                  </w:tcBorders>
                  <w:noWrap w:val="0"/>
                  <w:vAlign w:val="center"/>
                </w:tcPr>
                <w:p w14:paraId="28C3BD8A">
                  <w:pPr>
                    <w:widowControl/>
                    <w:jc w:val="center"/>
                    <w:rPr>
                      <w:rFonts w:hint="eastAsia" w:ascii="Times New Roman" w:hAnsi="Times New Roman" w:eastAsia="宋体" w:cs="Times New Roman"/>
                      <w:color w:val="auto"/>
                      <w:sz w:val="21"/>
                      <w:szCs w:val="21"/>
                      <w:lang w:val="en-US" w:eastAsia="zh-CN"/>
                    </w:rPr>
                  </w:pPr>
                </w:p>
              </w:tc>
              <w:tc>
                <w:tcPr>
                  <w:tcW w:w="651" w:type="pct"/>
                  <w:tcBorders>
                    <w:tl2br w:val="nil"/>
                    <w:tr2bl w:val="nil"/>
                  </w:tcBorders>
                  <w:noWrap w:val="0"/>
                  <w:vAlign w:val="center"/>
                </w:tcPr>
                <w:p w14:paraId="72A04259">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装修垃圾</w:t>
                  </w:r>
                </w:p>
              </w:tc>
              <w:tc>
                <w:tcPr>
                  <w:tcW w:w="2440" w:type="pct"/>
                  <w:tcBorders>
                    <w:tl2br w:val="nil"/>
                    <w:tr2bl w:val="nil"/>
                  </w:tcBorders>
                  <w:noWrap w:val="0"/>
                  <w:vAlign w:val="center"/>
                </w:tcPr>
                <w:p w14:paraId="45E47B94">
                  <w:pPr>
                    <w:spacing w:line="276" w:lineRule="auto"/>
                    <w:jc w:val="center"/>
                    <w:rPr>
                      <w:rFonts w:hint="default" w:ascii="Times New Roman" w:hAnsi="Times New Roman" w:cs="Times New Roman"/>
                      <w:bCs/>
                      <w:color w:val="auto"/>
                      <w:highlight w:val="none"/>
                      <w:lang w:val="en-US" w:eastAsia="zh-CN"/>
                    </w:rPr>
                  </w:pPr>
                  <w:r>
                    <w:rPr>
                      <w:rFonts w:hint="default" w:ascii="Times New Roman" w:hAnsi="Times New Roman" w:cs="Times New Roman"/>
                      <w:color w:val="auto"/>
                    </w:rPr>
                    <w:t>装修垃圾：能回收</w:t>
                  </w:r>
                  <w:r>
                    <w:rPr>
                      <w:rFonts w:hint="default" w:ascii="Times New Roman" w:hAnsi="Times New Roman" w:cs="Times New Roman"/>
                      <w:color w:val="auto"/>
                      <w:lang w:val="en-US" w:eastAsia="zh-CN"/>
                    </w:rPr>
                    <w:t>利用的分类</w:t>
                  </w:r>
                  <w:r>
                    <w:rPr>
                      <w:rFonts w:hint="default" w:ascii="Times New Roman" w:hAnsi="Times New Roman" w:cs="Times New Roman"/>
                      <w:color w:val="auto"/>
                    </w:rPr>
                    <w:t>收集后运往废品回收站，不能回收</w:t>
                  </w:r>
                  <w:r>
                    <w:rPr>
                      <w:rFonts w:hint="default" w:ascii="Times New Roman" w:hAnsi="Times New Roman" w:cs="Times New Roman"/>
                      <w:color w:val="auto"/>
                      <w:lang w:val="en-US" w:eastAsia="zh-CN"/>
                    </w:rPr>
                    <w:t>利用的</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运至政府指定地点处置</w:t>
                  </w:r>
                  <w:r>
                    <w:rPr>
                      <w:rFonts w:hint="default" w:ascii="Times New Roman" w:hAnsi="Times New Roman" w:cs="Times New Roman"/>
                      <w:color w:val="auto"/>
                    </w:rPr>
                    <w:t>。</w:t>
                  </w:r>
                </w:p>
              </w:tc>
              <w:tc>
                <w:tcPr>
                  <w:tcW w:w="435" w:type="pct"/>
                  <w:tcBorders>
                    <w:tl2br w:val="nil"/>
                    <w:tr2bl w:val="nil"/>
                  </w:tcBorders>
                  <w:noWrap w:val="0"/>
                  <w:vAlign w:val="center"/>
                </w:tcPr>
                <w:p w14:paraId="7ADCA9C5">
                  <w:pPr>
                    <w:spacing w:line="276"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lang w:val="en-US" w:eastAsia="zh-CN"/>
                    </w:rPr>
                    <w:t>1</w:t>
                  </w:r>
                </w:p>
              </w:tc>
              <w:tc>
                <w:tcPr>
                  <w:tcW w:w="450" w:type="pct"/>
                  <w:tcBorders>
                    <w:tl2br w:val="nil"/>
                    <w:tr2bl w:val="nil"/>
                  </w:tcBorders>
                  <w:noWrap w:val="0"/>
                  <w:vAlign w:val="center"/>
                </w:tcPr>
                <w:p w14:paraId="10E7DB50">
                  <w:pPr>
                    <w:adjustRightInd/>
                    <w:spacing w:before="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新建</w:t>
                  </w:r>
                </w:p>
              </w:tc>
            </w:tr>
            <w:tr w14:paraId="3317C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684ED46C">
                  <w:pPr>
                    <w:widowControl/>
                    <w:jc w:val="center"/>
                    <w:rPr>
                      <w:rFonts w:hint="eastAsia" w:ascii="Times New Roman" w:hAnsi="Times New Roman" w:eastAsia="宋体" w:cs="Times New Roman"/>
                      <w:color w:val="auto"/>
                      <w:sz w:val="21"/>
                      <w:szCs w:val="21"/>
                      <w:lang w:val="en-US" w:eastAsia="zh-CN"/>
                    </w:rPr>
                  </w:pPr>
                </w:p>
              </w:tc>
              <w:tc>
                <w:tcPr>
                  <w:tcW w:w="569" w:type="pct"/>
                  <w:vMerge w:val="continue"/>
                  <w:tcBorders>
                    <w:tl2br w:val="nil"/>
                    <w:tr2bl w:val="nil"/>
                  </w:tcBorders>
                  <w:noWrap w:val="0"/>
                  <w:vAlign w:val="center"/>
                </w:tcPr>
                <w:p w14:paraId="49974B94">
                  <w:pPr>
                    <w:widowControl/>
                    <w:jc w:val="center"/>
                    <w:rPr>
                      <w:rFonts w:hint="eastAsia" w:ascii="Times New Roman" w:hAnsi="Times New Roman" w:eastAsia="宋体" w:cs="Times New Roman"/>
                      <w:color w:val="auto"/>
                      <w:sz w:val="21"/>
                      <w:szCs w:val="21"/>
                      <w:lang w:val="en-US" w:eastAsia="zh-CN"/>
                    </w:rPr>
                  </w:pPr>
                </w:p>
              </w:tc>
              <w:tc>
                <w:tcPr>
                  <w:tcW w:w="651" w:type="pct"/>
                  <w:tcBorders>
                    <w:tl2br w:val="nil"/>
                    <w:tr2bl w:val="nil"/>
                  </w:tcBorders>
                  <w:noWrap w:val="0"/>
                  <w:vAlign w:val="center"/>
                </w:tcPr>
                <w:p w14:paraId="6400DCC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生活垃圾</w:t>
                  </w:r>
                </w:p>
              </w:tc>
              <w:tc>
                <w:tcPr>
                  <w:tcW w:w="2440" w:type="pct"/>
                  <w:tcBorders>
                    <w:tl2br w:val="nil"/>
                    <w:tr2bl w:val="nil"/>
                  </w:tcBorders>
                  <w:noWrap w:val="0"/>
                  <w:vAlign w:val="center"/>
                </w:tcPr>
                <w:p w14:paraId="433A34E0">
                  <w:pPr>
                    <w:spacing w:line="276" w:lineRule="auto"/>
                    <w:jc w:val="center"/>
                    <w:rPr>
                      <w:rFonts w:hint="default" w:ascii="Times New Roman" w:hAnsi="Times New Roman" w:cs="Times New Roman"/>
                      <w:bCs/>
                      <w:color w:val="auto"/>
                      <w:highlight w:val="none"/>
                      <w:lang w:val="en-US" w:eastAsia="zh-CN"/>
                    </w:rPr>
                  </w:pPr>
                  <w:r>
                    <w:rPr>
                      <w:rFonts w:hint="default" w:ascii="Times New Roman" w:hAnsi="Times New Roman" w:cs="Times New Roman"/>
                      <w:color w:val="auto"/>
                    </w:rPr>
                    <w:t>生活垃圾交由环卫部门清运处理。</w:t>
                  </w:r>
                </w:p>
              </w:tc>
              <w:tc>
                <w:tcPr>
                  <w:tcW w:w="435" w:type="pct"/>
                  <w:tcBorders>
                    <w:tl2br w:val="nil"/>
                    <w:tr2bl w:val="nil"/>
                  </w:tcBorders>
                  <w:noWrap w:val="0"/>
                  <w:vAlign w:val="center"/>
                </w:tcPr>
                <w:p w14:paraId="447EB6FC">
                  <w:pPr>
                    <w:spacing w:line="276" w:lineRule="auto"/>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lang w:val="en-US" w:eastAsia="zh-CN"/>
                    </w:rPr>
                    <w:t>/</w:t>
                  </w:r>
                </w:p>
              </w:tc>
              <w:tc>
                <w:tcPr>
                  <w:tcW w:w="450" w:type="pct"/>
                  <w:tcBorders>
                    <w:tl2br w:val="nil"/>
                    <w:tr2bl w:val="nil"/>
                  </w:tcBorders>
                  <w:noWrap w:val="0"/>
                  <w:vAlign w:val="center"/>
                </w:tcPr>
                <w:p w14:paraId="060547D6">
                  <w:pPr>
                    <w:adjustRightInd/>
                    <w:spacing w:before="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利旧</w:t>
                  </w:r>
                </w:p>
              </w:tc>
            </w:tr>
            <w:tr w14:paraId="190A5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420D44CF">
                  <w:pPr>
                    <w:widowControl/>
                    <w:jc w:val="center"/>
                    <w:rPr>
                      <w:rFonts w:hint="eastAsia" w:ascii="Times New Roman" w:hAnsi="Times New Roman" w:eastAsia="宋体" w:cs="Times New Roman"/>
                      <w:color w:val="auto"/>
                      <w:sz w:val="21"/>
                      <w:szCs w:val="21"/>
                      <w:lang w:val="en-US" w:eastAsia="zh-CN"/>
                    </w:rPr>
                  </w:pPr>
                </w:p>
              </w:tc>
              <w:tc>
                <w:tcPr>
                  <w:tcW w:w="569" w:type="pct"/>
                  <w:vMerge w:val="continue"/>
                  <w:tcBorders>
                    <w:tl2br w:val="nil"/>
                    <w:tr2bl w:val="nil"/>
                  </w:tcBorders>
                  <w:noWrap w:val="0"/>
                  <w:vAlign w:val="center"/>
                </w:tcPr>
                <w:p w14:paraId="4D88C0C6">
                  <w:pPr>
                    <w:widowControl/>
                    <w:jc w:val="center"/>
                    <w:rPr>
                      <w:rFonts w:hint="eastAsia" w:ascii="Times New Roman" w:hAnsi="Times New Roman" w:eastAsia="宋体" w:cs="Times New Roman"/>
                      <w:color w:val="auto"/>
                      <w:sz w:val="21"/>
                      <w:szCs w:val="21"/>
                      <w:lang w:val="en-US" w:eastAsia="zh-CN"/>
                    </w:rPr>
                  </w:pPr>
                </w:p>
              </w:tc>
              <w:tc>
                <w:tcPr>
                  <w:tcW w:w="651" w:type="pct"/>
                  <w:tcBorders>
                    <w:tl2br w:val="nil"/>
                    <w:tr2bl w:val="nil"/>
                  </w:tcBorders>
                  <w:noWrap w:val="0"/>
                  <w:vAlign w:val="center"/>
                </w:tcPr>
                <w:p w14:paraId="662A45B8">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隔油池油污</w:t>
                  </w:r>
                </w:p>
              </w:tc>
              <w:tc>
                <w:tcPr>
                  <w:tcW w:w="2440" w:type="pct"/>
                  <w:tcBorders>
                    <w:tl2br w:val="nil"/>
                    <w:tr2bl w:val="nil"/>
                  </w:tcBorders>
                  <w:noWrap w:val="0"/>
                  <w:vAlign w:val="center"/>
                </w:tcPr>
                <w:p w14:paraId="739C9244">
                  <w:pPr>
                    <w:adjustRightInd w:val="0"/>
                    <w:snapToGrid w:val="0"/>
                    <w:jc w:val="center"/>
                    <w:rPr>
                      <w:rFonts w:hint="default" w:ascii="Times New Roman" w:hAnsi="Times New Roman" w:cs="Times New Roman"/>
                      <w:bCs/>
                      <w:color w:val="auto"/>
                      <w:highlight w:val="none"/>
                      <w:lang w:val="en-US" w:eastAsia="zh-CN"/>
                    </w:rPr>
                  </w:pPr>
                  <w:r>
                    <w:rPr>
                      <w:rFonts w:hint="default" w:ascii="Times New Roman" w:hAnsi="Times New Roman" w:cs="Times New Roman"/>
                      <w:color w:val="auto"/>
                    </w:rPr>
                    <w:t>隔油池油污经打捞后立即交由有危废资质单位处置，场内不暂存；沉淀池清掏的污泥定期委托环卫部门清运处理。</w:t>
                  </w:r>
                </w:p>
              </w:tc>
              <w:tc>
                <w:tcPr>
                  <w:tcW w:w="435" w:type="pct"/>
                  <w:tcBorders>
                    <w:tl2br w:val="nil"/>
                    <w:tr2bl w:val="nil"/>
                  </w:tcBorders>
                  <w:noWrap w:val="0"/>
                  <w:vAlign w:val="center"/>
                </w:tcPr>
                <w:p w14:paraId="0A1F17FB">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lang w:val="en-US" w:eastAsia="zh-CN"/>
                    </w:rPr>
                    <w:t>1</w:t>
                  </w:r>
                </w:p>
              </w:tc>
              <w:tc>
                <w:tcPr>
                  <w:tcW w:w="450" w:type="pct"/>
                  <w:tcBorders>
                    <w:tl2br w:val="nil"/>
                    <w:tr2bl w:val="nil"/>
                  </w:tcBorders>
                  <w:noWrap w:val="0"/>
                  <w:vAlign w:val="center"/>
                </w:tcPr>
                <w:p w14:paraId="7CD3CBA6">
                  <w:pPr>
                    <w:adjustRightInd/>
                    <w:spacing w:before="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新建</w:t>
                  </w:r>
                </w:p>
              </w:tc>
            </w:tr>
            <w:tr w14:paraId="39DC2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restart"/>
                  <w:tcBorders>
                    <w:tl2br w:val="nil"/>
                    <w:tr2bl w:val="nil"/>
                  </w:tcBorders>
                  <w:noWrap w:val="0"/>
                  <w:vAlign w:val="center"/>
                </w:tcPr>
                <w:p w14:paraId="623615CA">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运营期</w:t>
                  </w:r>
                </w:p>
              </w:tc>
              <w:tc>
                <w:tcPr>
                  <w:tcW w:w="569" w:type="pct"/>
                  <w:tcBorders>
                    <w:tl2br w:val="nil"/>
                    <w:tr2bl w:val="nil"/>
                  </w:tcBorders>
                  <w:noWrap w:val="0"/>
                  <w:vAlign w:val="center"/>
                </w:tcPr>
                <w:p w14:paraId="104064B6">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废水治理</w:t>
                  </w:r>
                </w:p>
              </w:tc>
              <w:tc>
                <w:tcPr>
                  <w:tcW w:w="651" w:type="pct"/>
                  <w:tcBorders>
                    <w:tl2br w:val="nil"/>
                    <w:tr2bl w:val="nil"/>
                  </w:tcBorders>
                  <w:noWrap w:val="0"/>
                  <w:vAlign w:val="center"/>
                </w:tcPr>
                <w:p w14:paraId="1E02BDD0">
                  <w:pPr>
                    <w:adjustRightInd w:val="0"/>
                    <w:snapToGrid w:val="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实验废水</w:t>
                  </w:r>
                </w:p>
              </w:tc>
              <w:tc>
                <w:tcPr>
                  <w:tcW w:w="2440" w:type="pct"/>
                  <w:tcBorders>
                    <w:tl2br w:val="nil"/>
                    <w:tr2bl w:val="nil"/>
                  </w:tcBorders>
                  <w:noWrap w:val="0"/>
                  <w:vAlign w:val="center"/>
                </w:tcPr>
                <w:p w14:paraId="7D9358B1">
                  <w:pPr>
                    <w:rPr>
                      <w:rFonts w:hint="default" w:ascii="Times New Roman" w:hAnsi="Times New Roman" w:eastAsia="宋体" w:cs="Times New Roman"/>
                      <w:color w:val="auto"/>
                      <w:sz w:val="21"/>
                      <w:szCs w:val="21"/>
                      <w:lang w:val="en-US"/>
                    </w:rPr>
                  </w:pPr>
                  <w:r>
                    <w:rPr>
                      <w:rFonts w:hint="eastAsia" w:ascii="Times New Roman" w:hAnsi="Times New Roman" w:cs="Times New Roman"/>
                      <w:bCs/>
                      <w:color w:val="auto"/>
                      <w:highlight w:val="none"/>
                      <w:lang w:val="en-US" w:eastAsia="zh-CN"/>
                    </w:rPr>
                    <w:t>4次及以后清洗废水和实验辅助废水进入酸碱中和池中和后，依托已建预处理处理后排入市政污水管网。废水排放口设置标识标牌。</w:t>
                  </w:r>
                </w:p>
              </w:tc>
              <w:tc>
                <w:tcPr>
                  <w:tcW w:w="435" w:type="pct"/>
                  <w:tcBorders>
                    <w:tl2br w:val="nil"/>
                    <w:tr2bl w:val="nil"/>
                  </w:tcBorders>
                  <w:noWrap w:val="0"/>
                  <w:vAlign w:val="center"/>
                </w:tcPr>
                <w:p w14:paraId="3DC7B678">
                  <w:pPr>
                    <w:pStyle w:val="112"/>
                    <w:adjustRightInd/>
                    <w:spacing w:before="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5</w:t>
                  </w:r>
                </w:p>
              </w:tc>
              <w:tc>
                <w:tcPr>
                  <w:tcW w:w="450" w:type="pct"/>
                  <w:tcBorders>
                    <w:tl2br w:val="nil"/>
                    <w:tr2bl w:val="nil"/>
                  </w:tcBorders>
                  <w:noWrap w:val="0"/>
                  <w:vAlign w:val="center"/>
                </w:tcPr>
                <w:p w14:paraId="0844A1A9">
                  <w:pPr>
                    <w:adjustRightInd/>
                    <w:spacing w:before="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以新带老</w:t>
                  </w:r>
                </w:p>
              </w:tc>
            </w:tr>
            <w:tr w14:paraId="7DA78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481EF097">
                  <w:pPr>
                    <w:jc w:val="center"/>
                    <w:rPr>
                      <w:rFonts w:hint="default" w:ascii="Times New Roman" w:hAnsi="Times New Roman" w:eastAsia="宋体" w:cs="Times New Roman"/>
                      <w:color w:val="auto"/>
                      <w:sz w:val="21"/>
                      <w:szCs w:val="21"/>
                    </w:rPr>
                  </w:pPr>
                </w:p>
              </w:tc>
              <w:tc>
                <w:tcPr>
                  <w:tcW w:w="569" w:type="pct"/>
                  <w:tcBorders>
                    <w:tl2br w:val="nil"/>
                    <w:tr2bl w:val="nil"/>
                  </w:tcBorders>
                  <w:noWrap w:val="0"/>
                  <w:vAlign w:val="center"/>
                </w:tcPr>
                <w:p w14:paraId="4E6BE5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废气治理</w:t>
                  </w:r>
                </w:p>
              </w:tc>
              <w:tc>
                <w:tcPr>
                  <w:tcW w:w="651" w:type="pct"/>
                  <w:tcBorders>
                    <w:tl2br w:val="nil"/>
                    <w:tr2bl w:val="nil"/>
                  </w:tcBorders>
                  <w:noWrap w:val="0"/>
                  <w:vAlign w:val="center"/>
                </w:tcPr>
                <w:p w14:paraId="53F635F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实验废气</w:t>
                  </w:r>
                </w:p>
              </w:tc>
              <w:tc>
                <w:tcPr>
                  <w:tcW w:w="2440" w:type="pct"/>
                  <w:tcBorders>
                    <w:tl2br w:val="nil"/>
                    <w:tr2bl w:val="nil"/>
                  </w:tcBorders>
                  <w:noWrap w:val="0"/>
                  <w:vAlign w:val="center"/>
                </w:tcPr>
                <w:p w14:paraId="4799E8DA">
                  <w:pPr>
                    <w:rPr>
                      <w:rFonts w:hint="default" w:ascii="Times New Roman" w:hAnsi="Times New Roman" w:eastAsia="宋体" w:cs="Times New Roman"/>
                      <w:color w:val="auto"/>
                      <w:sz w:val="21"/>
                      <w:szCs w:val="21"/>
                    </w:rPr>
                  </w:pPr>
                  <w:r>
                    <w:rPr>
                      <w:rFonts w:hint="eastAsia" w:ascii="Times New Roman" w:hAnsi="Times New Roman" w:cs="Times New Roman"/>
                      <w:bCs/>
                      <w:color w:val="auto"/>
                      <w:highlight w:val="none"/>
                      <w:lang w:val="en-US" w:eastAsia="zh-CN"/>
                    </w:rPr>
                    <w:t>化学药品及仪器室内设置有药品柜，药品柜设有通风系统。化学实验配液由老师配制，在实验准备室设置通风橱1处，在通风橱内进行试剂配置，配置过程中产生的实验废气经收集后排出室外。学生操作实验台上方设置万向集气罩，实验操作产生的废气经集气罩收集后排出室外。</w:t>
                  </w:r>
                </w:p>
              </w:tc>
              <w:tc>
                <w:tcPr>
                  <w:tcW w:w="435" w:type="pct"/>
                  <w:tcBorders>
                    <w:tl2br w:val="nil"/>
                    <w:tr2bl w:val="nil"/>
                  </w:tcBorders>
                  <w:noWrap w:val="0"/>
                  <w:vAlign w:val="center"/>
                </w:tcPr>
                <w:p w14:paraId="00368D2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450" w:type="pct"/>
                  <w:tcBorders>
                    <w:tl2br w:val="nil"/>
                    <w:tr2bl w:val="nil"/>
                  </w:tcBorders>
                  <w:noWrap w:val="0"/>
                  <w:vAlign w:val="center"/>
                </w:tcPr>
                <w:p w14:paraId="28DE2C8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rPr>
                    <w:t>以新带老</w:t>
                  </w:r>
                </w:p>
              </w:tc>
            </w:tr>
            <w:tr w14:paraId="66CC8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1FD9FD72">
                  <w:pPr>
                    <w:widowControl/>
                    <w:jc w:val="center"/>
                    <w:rPr>
                      <w:rFonts w:hint="default" w:ascii="Times New Roman" w:hAnsi="Times New Roman" w:eastAsia="宋体" w:cs="Times New Roman"/>
                      <w:color w:val="auto"/>
                      <w:sz w:val="21"/>
                      <w:szCs w:val="21"/>
                    </w:rPr>
                  </w:pPr>
                </w:p>
              </w:tc>
              <w:tc>
                <w:tcPr>
                  <w:tcW w:w="569" w:type="pct"/>
                  <w:tcBorders>
                    <w:tl2br w:val="nil"/>
                    <w:tr2bl w:val="nil"/>
                  </w:tcBorders>
                  <w:noWrap w:val="0"/>
                  <w:vAlign w:val="center"/>
                </w:tcPr>
                <w:p w14:paraId="73A99205">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噪声治理</w:t>
                  </w:r>
                </w:p>
              </w:tc>
              <w:tc>
                <w:tcPr>
                  <w:tcW w:w="651" w:type="pct"/>
                  <w:tcBorders>
                    <w:tl2br w:val="nil"/>
                    <w:tr2bl w:val="nil"/>
                  </w:tcBorders>
                  <w:noWrap w:val="0"/>
                  <w:vAlign w:val="center"/>
                </w:tcPr>
                <w:p w14:paraId="22B920A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设备噪声</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学生社会生活噪声</w:t>
                  </w:r>
                </w:p>
              </w:tc>
              <w:tc>
                <w:tcPr>
                  <w:tcW w:w="2440" w:type="pct"/>
                  <w:tcBorders>
                    <w:tl2br w:val="nil"/>
                    <w:tr2bl w:val="nil"/>
                  </w:tcBorders>
                  <w:noWrap w:val="0"/>
                  <w:vAlign w:val="center"/>
                </w:tcPr>
                <w:p w14:paraId="4DE9A015">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选用低噪声设备、设置隔声和减振，加强管理等</w:t>
                  </w:r>
                </w:p>
              </w:tc>
              <w:tc>
                <w:tcPr>
                  <w:tcW w:w="435" w:type="pct"/>
                  <w:tcBorders>
                    <w:tl2br w:val="nil"/>
                    <w:tr2bl w:val="nil"/>
                  </w:tcBorders>
                  <w:noWrap w:val="0"/>
                  <w:vAlign w:val="center"/>
                </w:tcPr>
                <w:p w14:paraId="4E4C463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计入工程投资</w:t>
                  </w:r>
                </w:p>
              </w:tc>
              <w:tc>
                <w:tcPr>
                  <w:tcW w:w="450" w:type="pct"/>
                  <w:tcBorders>
                    <w:tl2br w:val="nil"/>
                    <w:tr2bl w:val="nil"/>
                  </w:tcBorders>
                  <w:noWrap w:val="0"/>
                  <w:vAlign w:val="center"/>
                </w:tcPr>
                <w:p w14:paraId="0B41333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4BACF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124FF29E">
                  <w:pPr>
                    <w:jc w:val="center"/>
                    <w:rPr>
                      <w:rFonts w:hint="default" w:ascii="Times New Roman" w:hAnsi="Times New Roman" w:eastAsia="宋体" w:cs="Times New Roman"/>
                      <w:color w:val="auto"/>
                      <w:sz w:val="21"/>
                      <w:szCs w:val="21"/>
                    </w:rPr>
                  </w:pPr>
                </w:p>
              </w:tc>
              <w:tc>
                <w:tcPr>
                  <w:tcW w:w="569" w:type="pct"/>
                  <w:vMerge w:val="restart"/>
                  <w:tcBorders>
                    <w:tl2br w:val="nil"/>
                    <w:tr2bl w:val="nil"/>
                  </w:tcBorders>
                  <w:noWrap w:val="0"/>
                  <w:vAlign w:val="center"/>
                </w:tcPr>
                <w:p w14:paraId="5F9212D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固废处置</w:t>
                  </w:r>
                </w:p>
              </w:tc>
              <w:tc>
                <w:tcPr>
                  <w:tcW w:w="651" w:type="pct"/>
                  <w:tcBorders>
                    <w:tl2br w:val="nil"/>
                    <w:tr2bl w:val="nil"/>
                  </w:tcBorders>
                  <w:noWrap w:val="0"/>
                  <w:vAlign w:val="center"/>
                </w:tcPr>
                <w:p w14:paraId="1B47509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2440" w:type="pct"/>
                  <w:tcBorders>
                    <w:tl2br w:val="nil"/>
                    <w:tr2bl w:val="nil"/>
                  </w:tcBorders>
                  <w:noWrap w:val="0"/>
                  <w:vAlign w:val="center"/>
                </w:tcPr>
                <w:p w14:paraId="573E0C4D">
                  <w:pPr>
                    <w:rPr>
                      <w:rFonts w:hint="default" w:ascii="Times New Roman" w:hAnsi="Times New Roman" w:eastAsia="宋体" w:cs="Times New Roman"/>
                      <w:color w:val="auto"/>
                      <w:sz w:val="21"/>
                      <w:szCs w:val="21"/>
                      <w:lang w:eastAsia="zh-CN"/>
                    </w:rPr>
                  </w:pPr>
                  <w:r>
                    <w:rPr>
                      <w:rFonts w:hint="eastAsia" w:ascii="Times New Roman" w:hAnsi="Times New Roman" w:cs="Times New Roman"/>
                      <w:bCs/>
                      <w:color w:val="auto"/>
                      <w:highlight w:val="none"/>
                      <w:lang w:val="en-US" w:eastAsia="zh-CN"/>
                    </w:rPr>
                    <w:t>实验室固体废物经垃圾桶收集后由环卫部门统一清运处置。</w:t>
                  </w:r>
                </w:p>
              </w:tc>
              <w:tc>
                <w:tcPr>
                  <w:tcW w:w="435" w:type="pct"/>
                  <w:tcBorders>
                    <w:tl2br w:val="nil"/>
                    <w:tr2bl w:val="nil"/>
                  </w:tcBorders>
                  <w:noWrap w:val="0"/>
                  <w:vAlign w:val="center"/>
                </w:tcPr>
                <w:p w14:paraId="05013D8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50" w:type="pct"/>
                  <w:tcBorders>
                    <w:tl2br w:val="nil"/>
                    <w:tr2bl w:val="nil"/>
                  </w:tcBorders>
                  <w:noWrap w:val="0"/>
                  <w:vAlign w:val="center"/>
                </w:tcPr>
                <w:p w14:paraId="38AAB1C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利旧</w:t>
                  </w:r>
                </w:p>
              </w:tc>
            </w:tr>
            <w:tr w14:paraId="7156DF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66128122">
                  <w:pPr>
                    <w:widowControl/>
                    <w:jc w:val="center"/>
                    <w:rPr>
                      <w:rFonts w:hint="default" w:ascii="Times New Roman" w:hAnsi="Times New Roman" w:eastAsia="宋体" w:cs="Times New Roman"/>
                      <w:color w:val="auto"/>
                      <w:sz w:val="21"/>
                      <w:szCs w:val="21"/>
                    </w:rPr>
                  </w:pPr>
                </w:p>
              </w:tc>
              <w:tc>
                <w:tcPr>
                  <w:tcW w:w="569" w:type="pct"/>
                  <w:vMerge w:val="continue"/>
                  <w:tcBorders>
                    <w:tl2br w:val="nil"/>
                    <w:tr2bl w:val="nil"/>
                  </w:tcBorders>
                  <w:noWrap w:val="0"/>
                  <w:vAlign w:val="center"/>
                </w:tcPr>
                <w:p w14:paraId="4E061124">
                  <w:pPr>
                    <w:widowControl/>
                    <w:jc w:val="center"/>
                    <w:rPr>
                      <w:rFonts w:hint="default" w:ascii="Times New Roman" w:hAnsi="Times New Roman" w:eastAsia="宋体" w:cs="Times New Roman"/>
                      <w:color w:val="auto"/>
                      <w:sz w:val="21"/>
                      <w:szCs w:val="21"/>
                    </w:rPr>
                  </w:pPr>
                </w:p>
              </w:tc>
              <w:tc>
                <w:tcPr>
                  <w:tcW w:w="651" w:type="pct"/>
                  <w:vMerge w:val="restart"/>
                  <w:tcBorders>
                    <w:tl2br w:val="nil"/>
                    <w:tr2bl w:val="nil"/>
                  </w:tcBorders>
                  <w:noWrap w:val="0"/>
                  <w:vAlign w:val="center"/>
                </w:tcPr>
                <w:p w14:paraId="26B6053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2440" w:type="pct"/>
                  <w:tcBorders>
                    <w:tl2br w:val="nil"/>
                    <w:tr2bl w:val="nil"/>
                  </w:tcBorders>
                  <w:noWrap w:val="0"/>
                  <w:vAlign w:val="center"/>
                </w:tcPr>
                <w:p w14:paraId="74F83800">
                  <w:pPr>
                    <w:rPr>
                      <w:rFonts w:hint="eastAsia" w:ascii="Times New Roman" w:hAnsi="Times New Roman" w:eastAsia="宋体" w:cs="Times New Roman"/>
                      <w:color w:val="auto"/>
                      <w:sz w:val="21"/>
                      <w:szCs w:val="21"/>
                      <w:lang w:eastAsia="zh-CN"/>
                    </w:rPr>
                  </w:pPr>
                  <w:r>
                    <w:rPr>
                      <w:rFonts w:hint="eastAsia" w:ascii="Times New Roman" w:hAnsi="Times New Roman" w:cs="Times New Roman"/>
                      <w:bCs/>
                      <w:color w:val="auto"/>
                      <w:highlight w:val="none"/>
                      <w:lang w:val="en-US" w:eastAsia="zh-CN"/>
                    </w:rPr>
                    <w:t>在实验楼2楼实验准备室内设置1间危废暂存间，面积约2m</w:t>
                  </w:r>
                  <w:r>
                    <w:rPr>
                      <w:rFonts w:hint="eastAsia" w:ascii="Times New Roman" w:hAnsi="Times New Roman" w:cs="Times New Roman"/>
                      <w:bCs/>
                      <w:color w:val="auto"/>
                      <w:highlight w:val="none"/>
                      <w:vertAlign w:val="superscript"/>
                      <w:lang w:val="en-US" w:eastAsia="zh-CN"/>
                    </w:rPr>
                    <w:t>2</w:t>
                  </w:r>
                  <w:r>
                    <w:rPr>
                      <w:rFonts w:hint="eastAsia" w:ascii="Times New Roman" w:hAnsi="Times New Roman" w:cs="Times New Roman"/>
                      <w:bCs/>
                      <w:color w:val="auto"/>
                      <w:highlight w:val="none"/>
                      <w:lang w:val="en-US" w:eastAsia="zh-CN"/>
                    </w:rPr>
                    <w:t>，用于暂存教学实验产生的危险废物，设置防渗托盘进行防渗处理，同时设置标识标牌，建立危险废物台账，危险废物暂存在危废暂存间内，定期交有危废处置单位运输处置。</w:t>
                  </w:r>
                </w:p>
              </w:tc>
              <w:tc>
                <w:tcPr>
                  <w:tcW w:w="435" w:type="pct"/>
                  <w:vMerge w:val="restart"/>
                  <w:tcBorders>
                    <w:tl2br w:val="nil"/>
                    <w:tr2bl w:val="nil"/>
                  </w:tcBorders>
                  <w:noWrap w:val="0"/>
                  <w:vAlign w:val="center"/>
                </w:tcPr>
                <w:p w14:paraId="1F3268E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450" w:type="pct"/>
                  <w:vMerge w:val="restart"/>
                  <w:tcBorders>
                    <w:tl2br w:val="nil"/>
                    <w:tr2bl w:val="nil"/>
                  </w:tcBorders>
                  <w:noWrap w:val="0"/>
                  <w:vAlign w:val="center"/>
                </w:tcPr>
                <w:p w14:paraId="3498FB3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rPr>
                    <w:t>以新带老</w:t>
                  </w:r>
                </w:p>
              </w:tc>
            </w:tr>
            <w:tr w14:paraId="2404E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32763B1D">
                  <w:pPr>
                    <w:rPr>
                      <w:rFonts w:hint="default" w:ascii="Times New Roman" w:hAnsi="Times New Roman" w:eastAsia="宋体" w:cs="Times New Roman"/>
                      <w:color w:val="auto"/>
                      <w:sz w:val="21"/>
                      <w:szCs w:val="21"/>
                    </w:rPr>
                  </w:pPr>
                </w:p>
              </w:tc>
              <w:tc>
                <w:tcPr>
                  <w:tcW w:w="569" w:type="pct"/>
                  <w:vMerge w:val="continue"/>
                  <w:tcBorders>
                    <w:tl2br w:val="nil"/>
                    <w:tr2bl w:val="nil"/>
                  </w:tcBorders>
                  <w:noWrap w:val="0"/>
                  <w:vAlign w:val="center"/>
                </w:tcPr>
                <w:p w14:paraId="4DB4A59E">
                  <w:pPr>
                    <w:rPr>
                      <w:rFonts w:hint="default" w:ascii="Times New Roman" w:hAnsi="Times New Roman" w:eastAsia="宋体" w:cs="Times New Roman"/>
                      <w:color w:val="auto"/>
                      <w:sz w:val="21"/>
                      <w:szCs w:val="21"/>
                    </w:rPr>
                  </w:pPr>
                </w:p>
              </w:tc>
              <w:tc>
                <w:tcPr>
                  <w:tcW w:w="651" w:type="pct"/>
                  <w:vMerge w:val="continue"/>
                  <w:tcBorders>
                    <w:tl2br w:val="nil"/>
                    <w:tr2bl w:val="nil"/>
                  </w:tcBorders>
                  <w:noWrap w:val="0"/>
                  <w:vAlign w:val="center"/>
                </w:tcPr>
                <w:p w14:paraId="0B4362CC">
                  <w:pPr>
                    <w:rPr>
                      <w:rFonts w:hint="default" w:ascii="Times New Roman" w:hAnsi="Times New Roman" w:eastAsia="宋体" w:cs="Times New Roman"/>
                      <w:color w:val="auto"/>
                      <w:sz w:val="21"/>
                      <w:szCs w:val="21"/>
                    </w:rPr>
                  </w:pPr>
                </w:p>
              </w:tc>
              <w:tc>
                <w:tcPr>
                  <w:tcW w:w="2440" w:type="pct"/>
                  <w:tcBorders>
                    <w:tl2br w:val="nil"/>
                    <w:tr2bl w:val="nil"/>
                  </w:tcBorders>
                  <w:noWrap w:val="0"/>
                  <w:vAlign w:val="center"/>
                </w:tcPr>
                <w:p w14:paraId="53F65D30">
                  <w:pP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Cs/>
                      <w:color w:val="auto"/>
                      <w:highlight w:val="none"/>
                      <w:lang w:val="en-US" w:eastAsia="zh-CN"/>
                    </w:rPr>
                    <w:t>实验室废液、前3次器皿清洗废水作为危废暂存在危废暂存间内，与有危废资质单位签订危废协议，定期交有资质单位运输处置。</w:t>
                  </w:r>
                </w:p>
              </w:tc>
              <w:tc>
                <w:tcPr>
                  <w:tcW w:w="435" w:type="pct"/>
                  <w:vMerge w:val="continue"/>
                  <w:tcBorders>
                    <w:tl2br w:val="nil"/>
                    <w:tr2bl w:val="nil"/>
                  </w:tcBorders>
                  <w:noWrap w:val="0"/>
                  <w:vAlign w:val="center"/>
                </w:tcPr>
                <w:p w14:paraId="31DF6849">
                  <w:pPr>
                    <w:rPr>
                      <w:rFonts w:hint="default" w:ascii="Times New Roman" w:hAnsi="Times New Roman" w:eastAsia="宋体" w:cs="Times New Roman"/>
                      <w:color w:val="auto"/>
                      <w:sz w:val="21"/>
                      <w:szCs w:val="21"/>
                    </w:rPr>
                  </w:pPr>
                </w:p>
              </w:tc>
              <w:tc>
                <w:tcPr>
                  <w:tcW w:w="450" w:type="pct"/>
                  <w:vMerge w:val="continue"/>
                  <w:tcBorders>
                    <w:tl2br w:val="nil"/>
                    <w:tr2bl w:val="nil"/>
                  </w:tcBorders>
                  <w:noWrap w:val="0"/>
                  <w:vAlign w:val="center"/>
                </w:tcPr>
                <w:p w14:paraId="7D0681F3">
                  <w:pPr>
                    <w:jc w:val="center"/>
                    <w:rPr>
                      <w:rFonts w:hint="default" w:ascii="Times New Roman" w:hAnsi="Times New Roman" w:eastAsia="宋体" w:cs="Times New Roman"/>
                      <w:color w:val="auto"/>
                      <w:sz w:val="21"/>
                      <w:szCs w:val="21"/>
                      <w:lang w:val="en-US" w:eastAsia="zh-CN"/>
                    </w:rPr>
                  </w:pPr>
                </w:p>
              </w:tc>
            </w:tr>
            <w:tr w14:paraId="48F1B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2972D12A">
                  <w:pPr>
                    <w:adjustRightInd w:val="0"/>
                    <w:snapToGrid w:val="0"/>
                    <w:jc w:val="center"/>
                    <w:rPr>
                      <w:rFonts w:hint="default" w:ascii="Times New Roman" w:hAnsi="Times New Roman" w:eastAsia="宋体" w:cs="Times New Roman"/>
                      <w:color w:val="auto"/>
                      <w:sz w:val="21"/>
                      <w:szCs w:val="21"/>
                    </w:rPr>
                  </w:pPr>
                </w:p>
              </w:tc>
              <w:tc>
                <w:tcPr>
                  <w:tcW w:w="569" w:type="pct"/>
                  <w:tcBorders>
                    <w:tl2br w:val="nil"/>
                    <w:tr2bl w:val="nil"/>
                  </w:tcBorders>
                  <w:noWrap w:val="0"/>
                  <w:vAlign w:val="center"/>
                </w:tcPr>
                <w:p w14:paraId="051B30B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土壤及地下水污染防治措施</w:t>
                  </w:r>
                </w:p>
              </w:tc>
              <w:tc>
                <w:tcPr>
                  <w:tcW w:w="651" w:type="pct"/>
                  <w:tcBorders>
                    <w:tl2br w:val="nil"/>
                    <w:tr2bl w:val="nil"/>
                  </w:tcBorders>
                  <w:noWrap w:val="0"/>
                  <w:vAlign w:val="center"/>
                </w:tcPr>
                <w:p w14:paraId="34E6063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分区防渗</w:t>
                  </w:r>
                </w:p>
              </w:tc>
              <w:tc>
                <w:tcPr>
                  <w:tcW w:w="2440" w:type="pct"/>
                  <w:tcBorders>
                    <w:tl2br w:val="nil"/>
                    <w:tr2bl w:val="nil"/>
                  </w:tcBorders>
                  <w:noWrap w:val="0"/>
                  <w:vAlign w:val="center"/>
                </w:tcPr>
                <w:p w14:paraId="11CA32A0">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rPr>
                    <w:t>①</w:t>
                  </w:r>
                  <w:r>
                    <w:rPr>
                      <w:rFonts w:hint="default" w:ascii="Times New Roman" w:hAnsi="Times New Roman" w:cs="Times New Roman"/>
                      <w:b w:val="0"/>
                      <w:bCs/>
                      <w:color w:val="auto"/>
                      <w:szCs w:val="21"/>
                      <w:highlight w:val="none"/>
                    </w:rPr>
                    <w:t>重点防渗区：</w:t>
                  </w:r>
                  <w:r>
                    <w:rPr>
                      <w:rFonts w:hint="default" w:ascii="Times New Roman" w:hAnsi="Times New Roman" w:cs="Times New Roman"/>
                      <w:b w:val="0"/>
                      <w:bCs/>
                      <w:color w:val="auto"/>
                      <w:szCs w:val="21"/>
                      <w:highlight w:val="none"/>
                      <w:lang w:val="en-US" w:eastAsia="zh-CN"/>
                    </w:rPr>
                    <w:t>危废暂存间地面</w:t>
                  </w:r>
                  <w:r>
                    <w:rPr>
                      <w:rFonts w:hint="default" w:ascii="Times New Roman" w:hAnsi="Times New Roman" w:cs="Times New Roman"/>
                      <w:b w:val="0"/>
                      <w:bCs/>
                      <w:color w:val="auto"/>
                      <w:sz w:val="21"/>
                      <w:szCs w:val="21"/>
                      <w:highlight w:val="none"/>
                    </w:rPr>
                    <w:t>采用抗渗混凝土、高密度聚乙烯膜、钠基膨润土防水毯或其他防渗性能等效的材料，裙脚同步防渗</w:t>
                  </w:r>
                  <w:r>
                    <w:rPr>
                      <w:rFonts w:hint="default" w:ascii="Times New Roman" w:hAnsi="Times New Roman"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lang w:val="en-US" w:eastAsia="zh-CN"/>
                    </w:rPr>
                    <w:t>液体容器底部增加托盘</w:t>
                  </w:r>
                  <w:r>
                    <w:rPr>
                      <w:rFonts w:hint="default" w:ascii="Times New Roman" w:hAnsi="Times New Roman" w:cs="Times New Roman"/>
                      <w:b w:val="0"/>
                      <w:bCs/>
                      <w:color w:val="auto"/>
                      <w:szCs w:val="21"/>
                      <w:highlight w:val="none"/>
                      <w:lang w:val="en-US" w:eastAsia="zh-CN"/>
                    </w:rPr>
                    <w:t>，</w:t>
                  </w:r>
                  <w:r>
                    <w:rPr>
                      <w:rFonts w:hint="default" w:ascii="Times New Roman" w:hAnsi="Times New Roman" w:cs="Times New Roman"/>
                      <w:b w:val="0"/>
                      <w:bCs/>
                      <w:color w:val="auto"/>
                      <w:szCs w:val="21"/>
                      <w:highlight w:val="none"/>
                    </w:rPr>
                    <w:t>防渗技术</w:t>
                  </w:r>
                  <w:r>
                    <w:rPr>
                      <w:rFonts w:hint="default" w:ascii="Times New Roman" w:hAnsi="Times New Roman" w:cs="Times New Roman"/>
                      <w:b w:val="0"/>
                      <w:bCs/>
                      <w:color w:val="auto"/>
                      <w:szCs w:val="21"/>
                      <w:highlight w:val="none"/>
                      <w:lang w:val="en-US" w:eastAsia="zh-CN"/>
                    </w:rPr>
                    <w:t>满足</w:t>
                  </w:r>
                  <w:r>
                    <w:rPr>
                      <w:rFonts w:hint="default" w:ascii="Times New Roman" w:hAnsi="Times New Roman" w:cs="Times New Roman"/>
                      <w:b w:val="0"/>
                      <w:bCs/>
                      <w:color w:val="auto"/>
                      <w:szCs w:val="21"/>
                      <w:highlight w:val="none"/>
                    </w:rPr>
                    <w:t>等效黏土防渗层Mb≥6.0m，K≤10</w:t>
                  </w:r>
                  <w:r>
                    <w:rPr>
                      <w:rFonts w:hint="default" w:ascii="Times New Roman" w:hAnsi="Times New Roman" w:cs="Times New Roman"/>
                      <w:b w:val="0"/>
                      <w:bCs/>
                      <w:color w:val="auto"/>
                      <w:szCs w:val="21"/>
                      <w:highlight w:val="none"/>
                      <w:vertAlign w:val="superscript"/>
                    </w:rPr>
                    <w:t>-</w:t>
                  </w:r>
                  <w:r>
                    <w:rPr>
                      <w:rFonts w:hint="default" w:ascii="Times New Roman" w:hAnsi="Times New Roman" w:cs="Times New Roman"/>
                      <w:b w:val="0"/>
                      <w:bCs/>
                      <w:color w:val="auto"/>
                      <w:szCs w:val="21"/>
                      <w:highlight w:val="none"/>
                      <w:vertAlign w:val="superscript"/>
                      <w:lang w:val="en-US" w:eastAsia="zh-CN"/>
                    </w:rPr>
                    <w:t>10</w:t>
                  </w:r>
                  <w:r>
                    <w:rPr>
                      <w:rFonts w:hint="default" w:ascii="Times New Roman" w:hAnsi="Times New Roman" w:cs="Times New Roman"/>
                      <w:b w:val="0"/>
                      <w:bCs/>
                      <w:color w:val="auto"/>
                      <w:szCs w:val="21"/>
                      <w:highlight w:val="none"/>
                    </w:rPr>
                    <w:t>cm/s</w:t>
                  </w:r>
                  <w:r>
                    <w:rPr>
                      <w:rFonts w:hint="default" w:ascii="Times New Roman" w:hAnsi="Times New Roman" w:cs="Times New Roman"/>
                      <w:b w:val="0"/>
                      <w:bCs/>
                      <w:color w:val="auto"/>
                      <w:szCs w:val="21"/>
                      <w:highlight w:val="none"/>
                      <w:lang w:val="en-US" w:eastAsia="zh-CN"/>
                    </w:rPr>
                    <w:t>的</w:t>
                  </w:r>
                  <w:r>
                    <w:rPr>
                      <w:rFonts w:hint="default" w:ascii="Times New Roman" w:hAnsi="Times New Roman" w:cs="Times New Roman"/>
                      <w:b w:val="0"/>
                      <w:bCs/>
                      <w:color w:val="auto"/>
                      <w:szCs w:val="21"/>
                      <w:highlight w:val="none"/>
                    </w:rPr>
                    <w:t>要求</w:t>
                  </w:r>
                  <w:r>
                    <w:rPr>
                      <w:rFonts w:hint="default" w:ascii="Times New Roman" w:hAnsi="Times New Roman" w:cs="Times New Roman"/>
                      <w:b w:val="0"/>
                      <w:bCs/>
                      <w:color w:val="auto"/>
                      <w:szCs w:val="21"/>
                      <w:highlight w:val="none"/>
                      <w:lang w:val="en-US" w:eastAsia="zh-CN"/>
                    </w:rPr>
                    <w:t>；</w:t>
                  </w:r>
                </w:p>
                <w:p w14:paraId="0A7E3F5D">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rPr>
                    <w:t>②</w:t>
                  </w:r>
                  <w:r>
                    <w:rPr>
                      <w:rFonts w:hint="default" w:ascii="Times New Roman" w:hAnsi="Times New Roman" w:eastAsia="宋体" w:cs="Times New Roman"/>
                      <w:b w:val="0"/>
                      <w:bCs/>
                      <w:color w:val="auto"/>
                      <w:szCs w:val="21"/>
                      <w:highlight w:val="none"/>
                      <w:lang w:val="en-US" w:eastAsia="zh-CN"/>
                    </w:rPr>
                    <w:t>一般防渗区：药品及仪器室地面</w:t>
                  </w:r>
                  <w:r>
                    <w:rPr>
                      <w:rFonts w:hint="default" w:ascii="Times New Roman" w:hAnsi="Times New Roman" w:eastAsia="宋体" w:cs="Times New Roman"/>
                      <w:b w:val="0"/>
                      <w:bCs/>
                      <w:color w:val="auto"/>
                      <w:szCs w:val="21"/>
                      <w:lang w:val="en-US" w:eastAsia="zh-CN"/>
                    </w:rPr>
                    <w:t>地面采用20cm厚P4等级混凝土进行防渗；酸碱中和池</w:t>
                  </w:r>
                  <w:r>
                    <w:rPr>
                      <w:rFonts w:hint="default" w:ascii="Times New Roman" w:hAnsi="Times New Roman" w:eastAsia="宋体" w:cs="Times New Roman"/>
                      <w:b w:val="0"/>
                      <w:bCs/>
                      <w:color w:val="auto"/>
                      <w:sz w:val="21"/>
                      <w:szCs w:val="21"/>
                      <w:lang w:val="en-US" w:eastAsia="zh-CN"/>
                    </w:rPr>
                    <w:t>池底、池壁采用20cm厚P4等级混凝土进行防渗</w:t>
                  </w:r>
                  <w:r>
                    <w:rPr>
                      <w:rFonts w:hint="default" w:ascii="Times New Roman" w:hAnsi="Times New Roman" w:eastAsia="宋体" w:cs="Times New Roman"/>
                      <w:b w:val="0"/>
                      <w:bCs/>
                      <w:color w:val="auto"/>
                      <w:szCs w:val="21"/>
                      <w:lang w:eastAsia="zh-CN"/>
                    </w:rPr>
                    <w:t>。</w:t>
                  </w:r>
                  <w:r>
                    <w:rPr>
                      <w:rFonts w:hint="default" w:ascii="Times New Roman" w:hAnsi="Times New Roman" w:cs="Times New Roman"/>
                      <w:b w:val="0"/>
                      <w:bCs/>
                      <w:color w:val="auto"/>
                      <w:szCs w:val="21"/>
                      <w:highlight w:val="none"/>
                    </w:rPr>
                    <w:t>防渗技术</w:t>
                  </w:r>
                  <w:r>
                    <w:rPr>
                      <w:rFonts w:hint="default" w:ascii="Times New Roman" w:hAnsi="Times New Roman" w:cs="Times New Roman"/>
                      <w:b w:val="0"/>
                      <w:bCs/>
                      <w:color w:val="auto"/>
                      <w:szCs w:val="21"/>
                      <w:highlight w:val="none"/>
                      <w:lang w:val="en-US" w:eastAsia="zh-CN"/>
                    </w:rPr>
                    <w:t>满足</w:t>
                  </w:r>
                  <w:r>
                    <w:rPr>
                      <w:rFonts w:hint="default" w:ascii="Times New Roman" w:hAnsi="Times New Roman" w:cs="Times New Roman"/>
                      <w:b w:val="0"/>
                      <w:bCs/>
                      <w:color w:val="auto"/>
                      <w:szCs w:val="21"/>
                      <w:highlight w:val="none"/>
                    </w:rPr>
                    <w:t>等效黏土防渗层Mb≥6.0m，K≤10</w:t>
                  </w:r>
                  <w:r>
                    <w:rPr>
                      <w:rFonts w:hint="default" w:ascii="Times New Roman" w:hAnsi="Times New Roman" w:cs="Times New Roman"/>
                      <w:b w:val="0"/>
                      <w:bCs/>
                      <w:color w:val="auto"/>
                      <w:szCs w:val="21"/>
                      <w:highlight w:val="none"/>
                      <w:vertAlign w:val="superscript"/>
                    </w:rPr>
                    <w:t>-</w:t>
                  </w:r>
                  <w:r>
                    <w:rPr>
                      <w:rFonts w:hint="default" w:ascii="Times New Roman" w:hAnsi="Times New Roman" w:cs="Times New Roman"/>
                      <w:b w:val="0"/>
                      <w:bCs/>
                      <w:color w:val="auto"/>
                      <w:szCs w:val="21"/>
                      <w:highlight w:val="none"/>
                      <w:vertAlign w:val="superscript"/>
                      <w:lang w:val="en-US" w:eastAsia="zh-CN"/>
                    </w:rPr>
                    <w:t>7</w:t>
                  </w:r>
                  <w:r>
                    <w:rPr>
                      <w:rFonts w:hint="default" w:ascii="Times New Roman" w:hAnsi="Times New Roman" w:cs="Times New Roman"/>
                      <w:b w:val="0"/>
                      <w:bCs/>
                      <w:color w:val="auto"/>
                      <w:szCs w:val="21"/>
                      <w:highlight w:val="none"/>
                    </w:rPr>
                    <w:t>cm/s</w:t>
                  </w:r>
                  <w:r>
                    <w:rPr>
                      <w:rFonts w:hint="default" w:ascii="Times New Roman" w:hAnsi="Times New Roman" w:cs="Times New Roman"/>
                      <w:b w:val="0"/>
                      <w:bCs/>
                      <w:color w:val="auto"/>
                      <w:szCs w:val="21"/>
                      <w:highlight w:val="none"/>
                      <w:lang w:val="en-US" w:eastAsia="zh-CN"/>
                    </w:rPr>
                    <w:t>的</w:t>
                  </w:r>
                  <w:r>
                    <w:rPr>
                      <w:rFonts w:hint="default" w:ascii="Times New Roman" w:hAnsi="Times New Roman" w:cs="Times New Roman"/>
                      <w:b w:val="0"/>
                      <w:bCs/>
                      <w:color w:val="auto"/>
                      <w:szCs w:val="21"/>
                      <w:highlight w:val="none"/>
                    </w:rPr>
                    <w:t>要求</w:t>
                  </w:r>
                  <w:r>
                    <w:rPr>
                      <w:rFonts w:hint="default" w:ascii="Times New Roman" w:hAnsi="Times New Roman" w:cs="Times New Roman"/>
                      <w:b w:val="0"/>
                      <w:bCs/>
                      <w:color w:val="auto"/>
                      <w:szCs w:val="21"/>
                      <w:highlight w:val="none"/>
                      <w:lang w:val="en-US" w:eastAsia="zh-CN"/>
                    </w:rPr>
                    <w:t>；</w:t>
                  </w:r>
                </w:p>
                <w:p w14:paraId="504AE6F8">
                  <w:pP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Cs w:val="21"/>
                      <w:highlight w:val="none"/>
                    </w:rPr>
                    <w:t>③</w:t>
                  </w:r>
                  <w:r>
                    <w:rPr>
                      <w:rFonts w:hint="default" w:ascii="Times New Roman" w:hAnsi="Times New Roman" w:cs="Times New Roman"/>
                      <w:b w:val="0"/>
                      <w:bCs/>
                      <w:color w:val="auto"/>
                      <w:szCs w:val="21"/>
                      <w:highlight w:val="none"/>
                    </w:rPr>
                    <w:t>简单防渗区：除重点防渗</w:t>
                  </w:r>
                  <w:r>
                    <w:rPr>
                      <w:rFonts w:hint="default" w:ascii="Times New Roman" w:hAnsi="Times New Roman" w:cs="Times New Roman"/>
                      <w:b w:val="0"/>
                      <w:bCs/>
                      <w:color w:val="auto"/>
                      <w:szCs w:val="21"/>
                      <w:highlight w:val="none"/>
                      <w:lang w:val="en-US" w:eastAsia="zh-CN"/>
                    </w:rPr>
                    <w:t>区</w:t>
                  </w:r>
                  <w:r>
                    <w:rPr>
                      <w:rFonts w:hint="default" w:ascii="Times New Roman" w:hAnsi="Times New Roman" w:cs="Times New Roman"/>
                      <w:b w:val="0"/>
                      <w:bCs/>
                      <w:color w:val="auto"/>
                      <w:szCs w:val="21"/>
                      <w:highlight w:val="none"/>
                      <w:lang w:eastAsia="zh-CN"/>
                    </w:rPr>
                    <w:t>、</w:t>
                  </w:r>
                  <w:r>
                    <w:rPr>
                      <w:rFonts w:hint="default" w:ascii="Times New Roman" w:hAnsi="Times New Roman" w:cs="Times New Roman"/>
                      <w:b w:val="0"/>
                      <w:bCs/>
                      <w:color w:val="auto"/>
                      <w:szCs w:val="21"/>
                      <w:highlight w:val="none"/>
                      <w:lang w:val="en-US" w:eastAsia="zh-CN"/>
                    </w:rPr>
                    <w:t>一般防渗区</w:t>
                  </w:r>
                  <w:r>
                    <w:rPr>
                      <w:rFonts w:hint="default" w:ascii="Times New Roman" w:hAnsi="Times New Roman" w:cs="Times New Roman"/>
                      <w:b w:val="0"/>
                      <w:bCs/>
                      <w:color w:val="auto"/>
                      <w:szCs w:val="21"/>
                      <w:highlight w:val="none"/>
                    </w:rPr>
                    <w:t>以外区域，防渗技术要求为一般地面硬化，采用防渗混凝土硬化。</w:t>
                  </w:r>
                </w:p>
              </w:tc>
              <w:tc>
                <w:tcPr>
                  <w:tcW w:w="435" w:type="pct"/>
                  <w:tcBorders>
                    <w:tl2br w:val="nil"/>
                    <w:tr2bl w:val="nil"/>
                  </w:tcBorders>
                  <w:noWrap w:val="0"/>
                  <w:vAlign w:val="center"/>
                </w:tcPr>
                <w:p w14:paraId="0A2BA68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450" w:type="pct"/>
                  <w:tcBorders>
                    <w:tl2br w:val="nil"/>
                    <w:tr2bl w:val="nil"/>
                  </w:tcBorders>
                  <w:noWrap w:val="0"/>
                  <w:vAlign w:val="center"/>
                </w:tcPr>
                <w:p w14:paraId="7FDBB01C">
                  <w:pPr>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kern w:val="2"/>
                      <w:sz w:val="21"/>
                      <w:szCs w:val="21"/>
                      <w:lang w:val="en-US" w:eastAsia="zh-CN"/>
                    </w:rPr>
                    <w:t>新建</w:t>
                  </w:r>
                </w:p>
              </w:tc>
            </w:tr>
            <w:tr w14:paraId="3894F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63F31F6F">
                  <w:pPr>
                    <w:jc w:val="center"/>
                    <w:rPr>
                      <w:rFonts w:hint="default" w:ascii="Times New Roman" w:hAnsi="Times New Roman" w:eastAsia="宋体" w:cs="Times New Roman"/>
                      <w:color w:val="auto"/>
                      <w:sz w:val="21"/>
                      <w:szCs w:val="21"/>
                    </w:rPr>
                  </w:pPr>
                </w:p>
              </w:tc>
              <w:tc>
                <w:tcPr>
                  <w:tcW w:w="569" w:type="pct"/>
                  <w:tcBorders>
                    <w:tl2br w:val="nil"/>
                    <w:tr2bl w:val="nil"/>
                  </w:tcBorders>
                  <w:noWrap w:val="0"/>
                  <w:vAlign w:val="center"/>
                </w:tcPr>
                <w:p w14:paraId="56EC4E6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651" w:type="pct"/>
                  <w:tcBorders>
                    <w:tl2br w:val="nil"/>
                    <w:tr2bl w:val="nil"/>
                  </w:tcBorders>
                  <w:noWrap w:val="0"/>
                  <w:vAlign w:val="center"/>
                </w:tcPr>
                <w:p w14:paraId="3FD2408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防范措施</w:t>
                  </w:r>
                </w:p>
              </w:tc>
              <w:tc>
                <w:tcPr>
                  <w:tcW w:w="2440" w:type="pct"/>
                  <w:tcBorders>
                    <w:tl2br w:val="nil"/>
                    <w:tr2bl w:val="nil"/>
                  </w:tcBorders>
                  <w:noWrap w:val="0"/>
                  <w:vAlign w:val="center"/>
                </w:tcPr>
                <w:p w14:paraId="522B1998">
                  <w:pPr>
                    <w:rPr>
                      <w:rFonts w:hint="default" w:ascii="Times New Roman" w:hAnsi="Times New Roman" w:eastAsia="宋体" w:cs="Times New Roman"/>
                      <w:color w:val="auto"/>
                      <w:sz w:val="21"/>
                      <w:szCs w:val="21"/>
                    </w:rPr>
                  </w:pPr>
                  <w:r>
                    <w:rPr>
                      <w:rFonts w:hint="eastAsia" w:ascii="Times New Roman" w:hAnsi="Times New Roman" w:cs="Times New Roman"/>
                      <w:color w:val="auto"/>
                      <w:szCs w:val="21"/>
                      <w:highlight w:val="none"/>
                    </w:rPr>
                    <w:t>危险废物均委托资质单位进行处置；根据防渗分区严格落实防渗措施；制定切合实际情况的应急预案等。</w:t>
                  </w:r>
                </w:p>
              </w:tc>
              <w:tc>
                <w:tcPr>
                  <w:tcW w:w="435" w:type="pct"/>
                  <w:tcBorders>
                    <w:tl2br w:val="nil"/>
                    <w:tr2bl w:val="nil"/>
                  </w:tcBorders>
                  <w:noWrap w:val="0"/>
                  <w:vAlign w:val="center"/>
                </w:tcPr>
                <w:p w14:paraId="3ED95E8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450" w:type="pct"/>
                  <w:tcBorders>
                    <w:tl2br w:val="nil"/>
                    <w:tr2bl w:val="nil"/>
                  </w:tcBorders>
                  <w:noWrap w:val="0"/>
                  <w:vAlign w:val="center"/>
                </w:tcPr>
                <w:p w14:paraId="611AA77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696C5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 w:type="pct"/>
                  <w:vMerge w:val="continue"/>
                  <w:tcBorders>
                    <w:tl2br w:val="nil"/>
                    <w:tr2bl w:val="nil"/>
                  </w:tcBorders>
                  <w:noWrap w:val="0"/>
                  <w:vAlign w:val="center"/>
                </w:tcPr>
                <w:p w14:paraId="321C4F61">
                  <w:pPr>
                    <w:jc w:val="center"/>
                    <w:rPr>
                      <w:rFonts w:hint="default" w:ascii="Times New Roman" w:hAnsi="Times New Roman" w:eastAsia="宋体" w:cs="Times New Roman"/>
                      <w:color w:val="auto"/>
                      <w:sz w:val="21"/>
                      <w:szCs w:val="21"/>
                    </w:rPr>
                  </w:pPr>
                </w:p>
              </w:tc>
              <w:tc>
                <w:tcPr>
                  <w:tcW w:w="569" w:type="pct"/>
                  <w:tcBorders>
                    <w:tl2br w:val="nil"/>
                    <w:tr2bl w:val="nil"/>
                  </w:tcBorders>
                  <w:noWrap w:val="0"/>
                  <w:vAlign w:val="center"/>
                </w:tcPr>
                <w:p w14:paraId="37BE510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环境管理</w:t>
                  </w:r>
                </w:p>
              </w:tc>
              <w:tc>
                <w:tcPr>
                  <w:tcW w:w="651" w:type="pct"/>
                  <w:tcBorders>
                    <w:tl2br w:val="nil"/>
                    <w:tr2bl w:val="nil"/>
                  </w:tcBorders>
                  <w:noWrap w:val="0"/>
                  <w:vAlign w:val="center"/>
                </w:tcPr>
                <w:p w14:paraId="76854F2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设置标识标牌</w:t>
                  </w:r>
                </w:p>
              </w:tc>
              <w:tc>
                <w:tcPr>
                  <w:tcW w:w="2440" w:type="pct"/>
                  <w:tcBorders>
                    <w:tl2br w:val="nil"/>
                    <w:tr2bl w:val="nil"/>
                  </w:tcBorders>
                  <w:noWrap w:val="0"/>
                  <w:vAlign w:val="center"/>
                </w:tcPr>
                <w:p w14:paraId="23F1C661">
                  <w:pPr>
                    <w:rPr>
                      <w:rFonts w:hint="eastAsia" w:ascii="Times New Roman" w:hAnsi="Times New Roman" w:cs="Times New Roman"/>
                      <w:color w:val="auto"/>
                      <w:szCs w:val="21"/>
                      <w:highlight w:val="none"/>
                    </w:rPr>
                  </w:pPr>
                  <w:r>
                    <w:rPr>
                      <w:rFonts w:hint="eastAsia" w:ascii="Times New Roman" w:hAnsi="Times New Roman" w:cs="Times New Roman"/>
                      <w:color w:val="auto"/>
                      <w:kern w:val="2"/>
                      <w:sz w:val="21"/>
                      <w:szCs w:val="21"/>
                      <w:lang w:val="en-US" w:eastAsia="zh-CN" w:bidi="ar-SA"/>
                    </w:rPr>
                    <w:t>规范排污口，设置标识标牌</w:t>
                  </w:r>
                </w:p>
              </w:tc>
              <w:tc>
                <w:tcPr>
                  <w:tcW w:w="435" w:type="pct"/>
                  <w:tcBorders>
                    <w:tl2br w:val="nil"/>
                    <w:tr2bl w:val="nil"/>
                  </w:tcBorders>
                  <w:noWrap w:val="0"/>
                  <w:vAlign w:val="center"/>
                </w:tcPr>
                <w:p w14:paraId="6AFEF65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450" w:type="pct"/>
                  <w:tcBorders>
                    <w:tl2br w:val="nil"/>
                    <w:tr2bl w:val="nil"/>
                  </w:tcBorders>
                  <w:noWrap w:val="0"/>
                  <w:vAlign w:val="center"/>
                </w:tcPr>
                <w:p w14:paraId="2A4B37F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3B92C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13" w:type="pct"/>
                  <w:gridSpan w:val="4"/>
                  <w:tcBorders>
                    <w:tl2br w:val="nil"/>
                    <w:tr2bl w:val="nil"/>
                  </w:tcBorders>
                  <w:noWrap w:val="0"/>
                  <w:vAlign w:val="center"/>
                </w:tcPr>
                <w:p w14:paraId="39B12A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435" w:type="pct"/>
                  <w:tcBorders>
                    <w:tl2br w:val="nil"/>
                    <w:tr2bl w:val="nil"/>
                  </w:tcBorders>
                  <w:noWrap w:val="0"/>
                  <w:vAlign w:val="center"/>
                </w:tcPr>
                <w:p w14:paraId="4A28890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450" w:type="pct"/>
                  <w:tcBorders>
                    <w:tl2br w:val="nil"/>
                    <w:tr2bl w:val="nil"/>
                  </w:tcBorders>
                  <w:noWrap w:val="0"/>
                  <w:vAlign w:val="center"/>
                </w:tcPr>
                <w:p w14:paraId="1B9D81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rPr>
                    <w:t>/</w:t>
                  </w:r>
                </w:p>
              </w:tc>
            </w:tr>
          </w:tbl>
          <w:p w14:paraId="4C3CD9BB">
            <w:pPr>
              <w:rPr>
                <w:color w:val="auto"/>
                <w:highlight w:val="none"/>
              </w:rPr>
            </w:pPr>
          </w:p>
          <w:p w14:paraId="52FCF025">
            <w:pPr>
              <w:rPr>
                <w:color w:val="auto"/>
                <w:highlight w:val="none"/>
              </w:rPr>
            </w:pPr>
          </w:p>
          <w:p w14:paraId="7E06331F">
            <w:pPr>
              <w:spacing w:line="360" w:lineRule="auto"/>
              <w:rPr>
                <w:color w:val="auto"/>
                <w:highlight w:val="none"/>
              </w:rPr>
            </w:pPr>
          </w:p>
        </w:tc>
      </w:tr>
    </w:tbl>
    <w:p w14:paraId="252536F1">
      <w:pPr>
        <w:pStyle w:val="36"/>
        <w:rPr>
          <w:rFonts w:ascii="黑体" w:hAnsi="黑体" w:eastAsia="黑体"/>
          <w:b w:val="0"/>
          <w:color w:val="auto"/>
          <w:sz w:val="30"/>
          <w:szCs w:val="30"/>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14:paraId="3E8ACF2C">
      <w:pPr>
        <w:pStyle w:val="36"/>
        <w:rPr>
          <w:rFonts w:ascii="黑体" w:hAnsi="黑体" w:eastAsia="黑体"/>
          <w:b w:val="0"/>
          <w:color w:val="auto"/>
          <w:sz w:val="30"/>
          <w:szCs w:val="30"/>
          <w:highlight w:val="none"/>
        </w:rPr>
      </w:pPr>
      <w:bookmarkStart w:id="7" w:name="_Toc130804819"/>
      <w:r>
        <w:rPr>
          <w:rFonts w:hint="eastAsia" w:ascii="黑体" w:hAnsi="黑体" w:eastAsia="黑体"/>
          <w:b w:val="0"/>
          <w:color w:val="auto"/>
          <w:sz w:val="30"/>
          <w:szCs w:val="30"/>
          <w:highlight w:val="none"/>
        </w:rPr>
        <w:t>五、环境保护措施监督检查清单</w:t>
      </w:r>
      <w:bookmarkEnd w:id="7"/>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2115"/>
        <w:gridCol w:w="1483"/>
        <w:gridCol w:w="2905"/>
        <w:gridCol w:w="2372"/>
      </w:tblGrid>
      <w:tr w14:paraId="38797B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5" w:type="pct"/>
            <w:tcBorders>
              <w:tl2br w:val="single" w:color="auto" w:sz="4" w:space="0"/>
            </w:tcBorders>
          </w:tcPr>
          <w:p w14:paraId="4CF3F89B">
            <w:pPr>
              <w:adjustRightInd w:val="0"/>
              <w:snapToGrid w:val="0"/>
              <w:ind w:firstLine="422" w:firstLineChars="200"/>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内容</w:t>
            </w:r>
          </w:p>
          <w:p w14:paraId="6A0CA01E">
            <w:pPr>
              <w:adjustRightInd w:val="0"/>
              <w:snapToGrid w:val="0"/>
              <w:jc w:val="left"/>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要素</w:t>
            </w:r>
          </w:p>
        </w:tc>
        <w:tc>
          <w:tcPr>
            <w:tcW w:w="1061" w:type="pct"/>
            <w:vAlign w:val="center"/>
          </w:tcPr>
          <w:p w14:paraId="1C048FB4">
            <w:pPr>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排放口（编号、名称）/污染源</w:t>
            </w:r>
          </w:p>
        </w:tc>
        <w:tc>
          <w:tcPr>
            <w:tcW w:w="744" w:type="pct"/>
            <w:vAlign w:val="center"/>
          </w:tcPr>
          <w:p w14:paraId="6F53130D">
            <w:pPr>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污染物项目</w:t>
            </w:r>
          </w:p>
        </w:tc>
        <w:tc>
          <w:tcPr>
            <w:tcW w:w="1458" w:type="pct"/>
            <w:vAlign w:val="center"/>
          </w:tcPr>
          <w:p w14:paraId="2EDEC5E4">
            <w:pPr>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环境保护措施</w:t>
            </w:r>
          </w:p>
        </w:tc>
        <w:tc>
          <w:tcPr>
            <w:tcW w:w="1190" w:type="pct"/>
            <w:vAlign w:val="center"/>
          </w:tcPr>
          <w:p w14:paraId="778B0111">
            <w:pPr>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执行标准</w:t>
            </w:r>
          </w:p>
        </w:tc>
      </w:tr>
      <w:tr w14:paraId="06A34A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545" w:type="pct"/>
            <w:vMerge w:val="restart"/>
            <w:vAlign w:val="center"/>
          </w:tcPr>
          <w:p w14:paraId="0E457E6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p>
        </w:tc>
        <w:tc>
          <w:tcPr>
            <w:tcW w:w="1061" w:type="pct"/>
            <w:vMerge w:val="restart"/>
            <w:vAlign w:val="center"/>
          </w:tcPr>
          <w:p w14:paraId="6959B800">
            <w:pPr>
              <w:adjustRightInd w:val="0"/>
              <w:snapToGrid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实验室废气</w:t>
            </w:r>
          </w:p>
        </w:tc>
        <w:tc>
          <w:tcPr>
            <w:tcW w:w="744" w:type="pct"/>
            <w:vAlign w:val="center"/>
          </w:tcPr>
          <w:p w14:paraId="0A5E9BA6">
            <w:pPr>
              <w:adjustRightInd w:val="0"/>
              <w:snapToGrid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氯化氢、硫酸雾</w:t>
            </w:r>
          </w:p>
        </w:tc>
        <w:tc>
          <w:tcPr>
            <w:tcW w:w="1458" w:type="pct"/>
            <w:vMerge w:val="restart"/>
            <w:vAlign w:val="center"/>
          </w:tcPr>
          <w:p w14:paraId="11445AC4">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化学药品及仪器室内设置有药品柜，药品柜设有通风系统。化学实验配液由老师配制，在实验准备室设置通风橱1处，在通风橱内进行试剂配置，配置过程中产生的实验废气经收集后排出室外。学生操作实验台上方设置万向集气罩，实验操作产生的废气经集气罩收集后排出室外。</w:t>
            </w:r>
          </w:p>
        </w:tc>
        <w:tc>
          <w:tcPr>
            <w:tcW w:w="1190" w:type="pct"/>
            <w:vAlign w:val="center"/>
          </w:tcPr>
          <w:p w14:paraId="644CB45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《大气污染物综合排放标准》（GB16297-1996）</w:t>
            </w:r>
          </w:p>
        </w:tc>
      </w:tr>
      <w:tr w14:paraId="4A347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545" w:type="pct"/>
            <w:vMerge w:val="continue"/>
            <w:vAlign w:val="center"/>
          </w:tcPr>
          <w:p w14:paraId="1E3EF843">
            <w:pPr>
              <w:adjustRightInd w:val="0"/>
              <w:snapToGrid w:val="0"/>
              <w:jc w:val="center"/>
              <w:rPr>
                <w:rFonts w:hint="default" w:ascii="Times New Roman" w:hAnsi="Times New Roman" w:cs="Times New Roman"/>
                <w:color w:val="auto"/>
                <w:sz w:val="21"/>
                <w:szCs w:val="21"/>
                <w:highlight w:val="none"/>
              </w:rPr>
            </w:pPr>
          </w:p>
        </w:tc>
        <w:tc>
          <w:tcPr>
            <w:tcW w:w="1061" w:type="pct"/>
            <w:vMerge w:val="continue"/>
            <w:vAlign w:val="center"/>
          </w:tcPr>
          <w:p w14:paraId="42500B1E">
            <w:pPr>
              <w:adjustRightInd w:val="0"/>
              <w:snapToGrid w:val="0"/>
              <w:jc w:val="center"/>
              <w:rPr>
                <w:rFonts w:hint="default" w:ascii="Times New Roman" w:hAnsi="Times New Roman" w:cs="Times New Roman"/>
                <w:color w:val="auto"/>
                <w:sz w:val="21"/>
                <w:szCs w:val="21"/>
                <w:highlight w:val="none"/>
                <w:lang w:val="en-US" w:eastAsia="zh-CN"/>
              </w:rPr>
            </w:pPr>
          </w:p>
        </w:tc>
        <w:tc>
          <w:tcPr>
            <w:tcW w:w="744" w:type="pct"/>
            <w:vAlign w:val="center"/>
          </w:tcPr>
          <w:p w14:paraId="1A4CA0AE">
            <w:pPr>
              <w:adjustRightInd w:val="0"/>
              <w:snapToGrid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氨</w:t>
            </w:r>
          </w:p>
        </w:tc>
        <w:tc>
          <w:tcPr>
            <w:tcW w:w="1458" w:type="pct"/>
            <w:vMerge w:val="continue"/>
            <w:vAlign w:val="center"/>
          </w:tcPr>
          <w:p w14:paraId="715D3216">
            <w:pPr>
              <w:adjustRightInd w:val="0"/>
              <w:snapToGrid w:val="0"/>
              <w:rPr>
                <w:rFonts w:hint="default" w:ascii="Times New Roman" w:hAnsi="Times New Roman" w:cs="Times New Roman"/>
                <w:bCs/>
                <w:color w:val="auto"/>
                <w:sz w:val="21"/>
                <w:szCs w:val="21"/>
                <w:highlight w:val="none"/>
                <w:lang w:val="en-US" w:eastAsia="zh-CN"/>
              </w:rPr>
            </w:pPr>
          </w:p>
        </w:tc>
        <w:tc>
          <w:tcPr>
            <w:tcW w:w="1190" w:type="pct"/>
            <w:vAlign w:val="center"/>
          </w:tcPr>
          <w:p w14:paraId="7AE74B6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《恶臭污染物排放标准》（GB14554-93）</w:t>
            </w:r>
          </w:p>
        </w:tc>
      </w:tr>
      <w:tr w14:paraId="6EA7C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5" w:type="pct"/>
            <w:vMerge w:val="continue"/>
            <w:vAlign w:val="center"/>
          </w:tcPr>
          <w:p w14:paraId="53B45EC7">
            <w:pPr>
              <w:adjustRightInd w:val="0"/>
              <w:snapToGrid w:val="0"/>
              <w:jc w:val="center"/>
              <w:rPr>
                <w:rFonts w:hint="default" w:ascii="Times New Roman" w:hAnsi="Times New Roman" w:cs="Times New Roman"/>
                <w:color w:val="auto"/>
                <w:sz w:val="21"/>
                <w:szCs w:val="21"/>
                <w:highlight w:val="none"/>
              </w:rPr>
            </w:pPr>
          </w:p>
        </w:tc>
        <w:tc>
          <w:tcPr>
            <w:tcW w:w="1061" w:type="pct"/>
            <w:vMerge w:val="continue"/>
            <w:vAlign w:val="center"/>
          </w:tcPr>
          <w:p w14:paraId="14AEDCD1">
            <w:pPr>
              <w:jc w:val="center"/>
              <w:rPr>
                <w:rFonts w:hint="default" w:ascii="Times New Roman" w:hAnsi="Times New Roman" w:cs="Times New Roman"/>
                <w:color w:val="auto"/>
                <w:sz w:val="21"/>
                <w:szCs w:val="21"/>
                <w:highlight w:val="none"/>
              </w:rPr>
            </w:pPr>
          </w:p>
        </w:tc>
        <w:tc>
          <w:tcPr>
            <w:tcW w:w="744" w:type="pct"/>
            <w:vAlign w:val="center"/>
          </w:tcPr>
          <w:p w14:paraId="407E770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VOCs</w:t>
            </w:r>
          </w:p>
        </w:tc>
        <w:tc>
          <w:tcPr>
            <w:tcW w:w="1458" w:type="pct"/>
            <w:vMerge w:val="continue"/>
            <w:vAlign w:val="center"/>
          </w:tcPr>
          <w:p w14:paraId="79E666EE">
            <w:pPr>
              <w:adjustRightInd w:val="0"/>
              <w:snapToGrid w:val="0"/>
              <w:jc w:val="center"/>
              <w:rPr>
                <w:rFonts w:hint="default" w:ascii="Times New Roman" w:hAnsi="Times New Roman" w:cs="Times New Roman" w:eastAsiaTheme="minorEastAsia"/>
                <w:color w:val="auto"/>
                <w:sz w:val="21"/>
                <w:szCs w:val="21"/>
                <w:highlight w:val="none"/>
                <w:lang w:eastAsia="zh-CN"/>
              </w:rPr>
            </w:pPr>
          </w:p>
        </w:tc>
        <w:tc>
          <w:tcPr>
            <w:tcW w:w="1190" w:type="pct"/>
            <w:vAlign w:val="center"/>
          </w:tcPr>
          <w:p w14:paraId="3971625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《四川省固定污染源大气挥发性有机物排放标准》（DB51/2377-2017）</w:t>
            </w:r>
          </w:p>
        </w:tc>
      </w:tr>
      <w:tr w14:paraId="5D7192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5" w:type="pct"/>
            <w:vAlign w:val="center"/>
          </w:tcPr>
          <w:p w14:paraId="7766BC6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p>
        </w:tc>
        <w:tc>
          <w:tcPr>
            <w:tcW w:w="1061" w:type="pct"/>
            <w:vAlign w:val="center"/>
          </w:tcPr>
          <w:p w14:paraId="4E18F7A6">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pacing w:val="-10"/>
                <w:sz w:val="21"/>
                <w:szCs w:val="21"/>
                <w:highlight w:val="none"/>
                <w:lang w:val="en-US" w:eastAsia="zh-CN"/>
              </w:rPr>
              <w:t>实验废水</w:t>
            </w:r>
            <w:r>
              <w:rPr>
                <w:rFonts w:hint="default" w:ascii="Times New Roman" w:hAnsi="Times New Roman" w:cs="Times New Roman"/>
                <w:bCs/>
                <w:color w:val="auto"/>
                <w:spacing w:val="-10"/>
                <w:sz w:val="21"/>
                <w:szCs w:val="21"/>
                <w:highlight w:val="none"/>
              </w:rPr>
              <w:t>（</w:t>
            </w:r>
            <w:r>
              <w:rPr>
                <w:rFonts w:hint="default" w:ascii="Times New Roman" w:hAnsi="Times New Roman" w:cs="Times New Roman"/>
                <w:color w:val="auto"/>
                <w:sz w:val="21"/>
                <w:szCs w:val="21"/>
                <w:highlight w:val="none"/>
              </w:rPr>
              <w:t>DW001</w:t>
            </w:r>
            <w:r>
              <w:rPr>
                <w:rFonts w:hint="default" w:ascii="Times New Roman" w:hAnsi="Times New Roman" w:cs="Times New Roman"/>
                <w:bCs/>
                <w:color w:val="auto"/>
                <w:spacing w:val="-10"/>
                <w:sz w:val="21"/>
                <w:szCs w:val="21"/>
                <w:highlight w:val="none"/>
              </w:rPr>
              <w:t>）</w:t>
            </w:r>
          </w:p>
        </w:tc>
        <w:tc>
          <w:tcPr>
            <w:tcW w:w="744" w:type="pct"/>
            <w:vAlign w:val="center"/>
          </w:tcPr>
          <w:p w14:paraId="7B24FC8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COD、BOD、SS、NH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-N、TP</w:t>
            </w:r>
          </w:p>
        </w:tc>
        <w:tc>
          <w:tcPr>
            <w:tcW w:w="1458" w:type="pct"/>
            <w:vAlign w:val="center"/>
          </w:tcPr>
          <w:p w14:paraId="1638691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实验室废液、前3次器皿清洗废水作为危废暂存在危废暂存间内，4次及以后清洗废水和实验辅助废水进入酸碱中和池中和后，依托已建预处理处理后排入市政污水管网。</w:t>
            </w:r>
          </w:p>
        </w:tc>
        <w:tc>
          <w:tcPr>
            <w:tcW w:w="1190" w:type="pct"/>
            <w:vAlign w:val="center"/>
          </w:tcPr>
          <w:p w14:paraId="75AF7A6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《污水综合排放标准》（GB8978-1996）、《污水排入城镇下水道水质标准》（GB/T31962-2015）</w:t>
            </w:r>
          </w:p>
        </w:tc>
      </w:tr>
      <w:tr w14:paraId="580F9A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45" w:type="pct"/>
            <w:vMerge w:val="restart"/>
            <w:vAlign w:val="center"/>
          </w:tcPr>
          <w:p w14:paraId="6DAAD4F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1061" w:type="pct"/>
            <w:vAlign w:val="center"/>
          </w:tcPr>
          <w:p w14:paraId="4C51FF7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机械设备噪声</w:t>
            </w:r>
          </w:p>
        </w:tc>
        <w:tc>
          <w:tcPr>
            <w:tcW w:w="744" w:type="pct"/>
            <w:vAlign w:val="center"/>
          </w:tcPr>
          <w:p w14:paraId="79AC863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458" w:type="pct"/>
            <w:vAlign w:val="center"/>
          </w:tcPr>
          <w:p w14:paraId="21760993">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选用低噪声设备，设置独立设备间，设置基础减震、加强设备维护、加强管理等降噪设施</w:t>
            </w:r>
          </w:p>
        </w:tc>
        <w:tc>
          <w:tcPr>
            <w:tcW w:w="1190" w:type="pct"/>
            <w:vMerge w:val="restart"/>
            <w:vAlign w:val="center"/>
          </w:tcPr>
          <w:p w14:paraId="26B4935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16"/>
                <w:sz w:val="21"/>
                <w:szCs w:val="21"/>
                <w:highlight w:val="none"/>
              </w:rPr>
              <w:t>《工业企业厂界环境噪声排放标准》（GB12348-2008）中2类声环境功能区类别对应的标准限值</w:t>
            </w:r>
          </w:p>
        </w:tc>
      </w:tr>
      <w:tr w14:paraId="29DEB3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45" w:type="pct"/>
            <w:vMerge w:val="continue"/>
            <w:vAlign w:val="center"/>
          </w:tcPr>
          <w:p w14:paraId="18EF9F82">
            <w:pPr>
              <w:adjustRightInd w:val="0"/>
              <w:snapToGrid w:val="0"/>
              <w:jc w:val="center"/>
              <w:rPr>
                <w:rFonts w:hint="default" w:ascii="Times New Roman" w:hAnsi="Times New Roman" w:cs="Times New Roman"/>
                <w:color w:val="auto"/>
                <w:sz w:val="21"/>
                <w:szCs w:val="21"/>
                <w:highlight w:val="none"/>
              </w:rPr>
            </w:pPr>
          </w:p>
        </w:tc>
        <w:tc>
          <w:tcPr>
            <w:tcW w:w="1061" w:type="pct"/>
            <w:vAlign w:val="center"/>
          </w:tcPr>
          <w:p w14:paraId="0E6E3F46">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社会生活噪声</w:t>
            </w:r>
          </w:p>
        </w:tc>
        <w:tc>
          <w:tcPr>
            <w:tcW w:w="744" w:type="pct"/>
            <w:vAlign w:val="center"/>
          </w:tcPr>
          <w:p w14:paraId="6CAB3F0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458" w:type="pct"/>
            <w:vAlign w:val="center"/>
          </w:tcPr>
          <w:p w14:paraId="7EEE4B51">
            <w:pPr>
              <w:pStyle w:val="22"/>
              <w:ind w:left="-105" w:leftChars="-50" w:right="-105" w:rightChars="-50"/>
              <w:jc w:val="center"/>
              <w:rPr>
                <w:rFonts w:hint="default" w:ascii="Times New Roman" w:hAnsi="Times New Roman" w:cs="Times New Roman" w:eastAsiaTheme="minorEastAsia"/>
                <w:color w:val="auto"/>
                <w:sz w:val="21"/>
                <w:szCs w:val="21"/>
                <w:highlight w:val="none"/>
                <w:vertAlign w:val="baseline"/>
              </w:rPr>
            </w:pPr>
            <w:r>
              <w:rPr>
                <w:rFonts w:hint="default" w:ascii="Times New Roman" w:hAnsi="Times New Roman" w:cs="Times New Roman" w:eastAsiaTheme="minorEastAsia"/>
                <w:color w:val="auto"/>
                <w:sz w:val="21"/>
                <w:szCs w:val="21"/>
                <w:highlight w:val="none"/>
                <w:vertAlign w:val="baseline"/>
              </w:rPr>
              <w:t>加强</w:t>
            </w:r>
            <w:r>
              <w:rPr>
                <w:rFonts w:hint="default" w:ascii="Times New Roman" w:hAnsi="Times New Roman" w:cs="Times New Roman" w:eastAsiaTheme="minorEastAsia"/>
                <w:color w:val="auto"/>
                <w:sz w:val="21"/>
                <w:szCs w:val="21"/>
                <w:highlight w:val="none"/>
                <w:vertAlign w:val="baseline"/>
                <w:lang w:val="en-US" w:eastAsia="zh-CN"/>
              </w:rPr>
              <w:t>校</w:t>
            </w:r>
            <w:r>
              <w:rPr>
                <w:rFonts w:hint="default" w:ascii="Times New Roman" w:hAnsi="Times New Roman" w:cs="Times New Roman" w:eastAsiaTheme="minorEastAsia"/>
                <w:color w:val="auto"/>
                <w:sz w:val="21"/>
                <w:szCs w:val="21"/>
                <w:highlight w:val="none"/>
                <w:vertAlign w:val="baseline"/>
              </w:rPr>
              <w:t>内管理，粘贴提示标语，</w:t>
            </w:r>
            <w:r>
              <w:rPr>
                <w:rFonts w:hint="default" w:ascii="Times New Roman" w:hAnsi="Times New Roman" w:cs="Times New Roman" w:eastAsiaTheme="minorEastAsia"/>
                <w:color w:val="auto"/>
                <w:sz w:val="21"/>
                <w:szCs w:val="21"/>
                <w:highlight w:val="none"/>
                <w:vertAlign w:val="baseline"/>
                <w:lang w:val="en-US" w:eastAsia="zh-CN"/>
              </w:rPr>
              <w:t>校内</w:t>
            </w:r>
            <w:r>
              <w:rPr>
                <w:rFonts w:hint="default" w:ascii="Times New Roman" w:hAnsi="Times New Roman" w:cs="Times New Roman" w:eastAsiaTheme="minorEastAsia"/>
                <w:color w:val="auto"/>
                <w:sz w:val="21"/>
                <w:szCs w:val="21"/>
                <w:highlight w:val="none"/>
                <w:vertAlign w:val="baseline"/>
              </w:rPr>
              <w:t>禁止喧哗、吵闹等管理措施</w:t>
            </w:r>
          </w:p>
        </w:tc>
        <w:tc>
          <w:tcPr>
            <w:tcW w:w="1190" w:type="pct"/>
            <w:vMerge w:val="continue"/>
            <w:vAlign w:val="center"/>
          </w:tcPr>
          <w:p w14:paraId="1EAA6C58">
            <w:pPr>
              <w:adjustRightInd w:val="0"/>
              <w:snapToGrid w:val="0"/>
              <w:jc w:val="center"/>
              <w:rPr>
                <w:rFonts w:hint="default" w:ascii="Times New Roman" w:hAnsi="Times New Roman" w:cs="Times New Roman"/>
                <w:color w:val="auto"/>
                <w:sz w:val="21"/>
                <w:szCs w:val="21"/>
                <w:highlight w:val="none"/>
              </w:rPr>
            </w:pPr>
          </w:p>
        </w:tc>
      </w:tr>
      <w:tr w14:paraId="7DAABA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45" w:type="pct"/>
            <w:vAlign w:val="center"/>
          </w:tcPr>
          <w:p w14:paraId="1688F34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电磁辐射</w:t>
            </w:r>
          </w:p>
        </w:tc>
        <w:tc>
          <w:tcPr>
            <w:tcW w:w="1061" w:type="pct"/>
            <w:vAlign w:val="center"/>
          </w:tcPr>
          <w:p w14:paraId="76DB103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44" w:type="pct"/>
            <w:vAlign w:val="center"/>
          </w:tcPr>
          <w:p w14:paraId="2FFF0B8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458" w:type="pct"/>
            <w:vAlign w:val="center"/>
          </w:tcPr>
          <w:p w14:paraId="245AE27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190" w:type="pct"/>
            <w:vAlign w:val="center"/>
          </w:tcPr>
          <w:p w14:paraId="1356DA23">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34DBEF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45" w:type="pct"/>
            <w:vAlign w:val="center"/>
          </w:tcPr>
          <w:p w14:paraId="5CD6DA7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4454" w:type="pct"/>
            <w:gridSpan w:val="4"/>
            <w:vAlign w:val="center"/>
          </w:tcPr>
          <w:p w14:paraId="56E0F30C">
            <w:pP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一般废物：</w:t>
            </w:r>
            <w:r>
              <w:rPr>
                <w:rFonts w:hint="default" w:ascii="Times New Roman" w:hAnsi="Times New Roman" w:cs="Times New Roman"/>
                <w:b w:val="0"/>
                <w:bCs/>
                <w:color w:val="auto"/>
                <w:sz w:val="21"/>
                <w:szCs w:val="21"/>
                <w:highlight w:val="none"/>
                <w:lang w:val="en-US" w:eastAsia="zh-CN"/>
              </w:rPr>
              <w:t>实验室固体废物经垃圾桶收集后，由环卫部门定期清运。</w:t>
            </w:r>
          </w:p>
          <w:p w14:paraId="7D33B9D9">
            <w:pP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危险废物：</w:t>
            </w:r>
            <w:r>
              <w:rPr>
                <w:rFonts w:hint="eastAsia" w:ascii="Times New Roman" w:hAnsi="Times New Roman" w:eastAsia="宋体" w:cs="Times New Roman"/>
                <w:b w:val="0"/>
                <w:bCs/>
                <w:color w:val="auto"/>
                <w:sz w:val="21"/>
                <w:szCs w:val="21"/>
                <w:lang w:val="en-US" w:eastAsia="zh-CN"/>
              </w:rPr>
              <w:t>实验废液、</w:t>
            </w:r>
            <w:r>
              <w:rPr>
                <w:rFonts w:hint="default" w:ascii="Times New Roman" w:hAnsi="Times New Roman" w:eastAsia="宋体" w:cs="Times New Roman"/>
                <w:b w:val="0"/>
                <w:bCs/>
                <w:color w:val="auto"/>
                <w:szCs w:val="21"/>
                <w:lang w:val="en-US" w:eastAsia="zh-CN"/>
              </w:rPr>
              <w:t>化学品废包装容器</w:t>
            </w:r>
            <w:r>
              <w:rPr>
                <w:rFonts w:hint="eastAsia" w:ascii="Times New Roman" w:hAnsi="Times New Roman" w:cs="Times New Roman"/>
                <w:b w:val="0"/>
                <w:bCs/>
                <w:color w:val="auto"/>
                <w:szCs w:val="21"/>
                <w:highlight w:val="none"/>
                <w:lang w:val="en-US" w:eastAsia="zh-CN"/>
              </w:rPr>
              <w:t>在危废暂存间内暂存，定期由有危废资质单位运输处置。</w:t>
            </w:r>
          </w:p>
        </w:tc>
      </w:tr>
      <w:tr w14:paraId="2DA160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545" w:type="pct"/>
            <w:vAlign w:val="center"/>
          </w:tcPr>
          <w:p w14:paraId="011003B8">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土壤及地下水污染防治措施</w:t>
            </w:r>
          </w:p>
        </w:tc>
        <w:tc>
          <w:tcPr>
            <w:tcW w:w="4454" w:type="pct"/>
            <w:gridSpan w:val="4"/>
            <w:vAlign w:val="center"/>
          </w:tcPr>
          <w:p w14:paraId="1980BBC5">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rPr>
              <w:t>①</w:t>
            </w:r>
            <w:r>
              <w:rPr>
                <w:rFonts w:hint="default" w:ascii="Times New Roman" w:hAnsi="Times New Roman" w:cs="Times New Roman"/>
                <w:b w:val="0"/>
                <w:bCs/>
                <w:color w:val="auto"/>
                <w:szCs w:val="21"/>
                <w:highlight w:val="none"/>
              </w:rPr>
              <w:t>重点防渗区：</w:t>
            </w:r>
            <w:r>
              <w:rPr>
                <w:rFonts w:hint="default" w:ascii="Times New Roman" w:hAnsi="Times New Roman" w:cs="Times New Roman"/>
                <w:b w:val="0"/>
                <w:bCs/>
                <w:color w:val="auto"/>
                <w:szCs w:val="21"/>
                <w:highlight w:val="none"/>
                <w:lang w:val="en-US" w:eastAsia="zh-CN"/>
              </w:rPr>
              <w:t>危废暂存间地面</w:t>
            </w:r>
            <w:r>
              <w:rPr>
                <w:rFonts w:hint="default" w:ascii="Times New Roman" w:hAnsi="Times New Roman" w:cs="Times New Roman"/>
                <w:b w:val="0"/>
                <w:bCs/>
                <w:color w:val="auto"/>
                <w:sz w:val="21"/>
                <w:szCs w:val="21"/>
                <w:highlight w:val="none"/>
              </w:rPr>
              <w:t>采用抗渗混凝土、高密度聚乙烯膜、钠基膨润土防水毯或其他防渗性能等效的材料，裙脚同步防渗</w:t>
            </w:r>
            <w:r>
              <w:rPr>
                <w:rFonts w:hint="default" w:ascii="Times New Roman" w:hAnsi="Times New Roman"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lang w:val="en-US" w:eastAsia="zh-CN"/>
              </w:rPr>
              <w:t>液体容器底部增加托盘</w:t>
            </w:r>
            <w:r>
              <w:rPr>
                <w:rFonts w:hint="default" w:ascii="Times New Roman" w:hAnsi="Times New Roman" w:cs="Times New Roman"/>
                <w:b w:val="0"/>
                <w:bCs/>
                <w:color w:val="auto"/>
                <w:szCs w:val="21"/>
                <w:highlight w:val="none"/>
                <w:lang w:val="en-US" w:eastAsia="zh-CN"/>
              </w:rPr>
              <w:t>，</w:t>
            </w:r>
            <w:r>
              <w:rPr>
                <w:rFonts w:hint="default" w:ascii="Times New Roman" w:hAnsi="Times New Roman" w:cs="Times New Roman"/>
                <w:b w:val="0"/>
                <w:bCs/>
                <w:color w:val="auto"/>
                <w:szCs w:val="21"/>
                <w:highlight w:val="none"/>
              </w:rPr>
              <w:t>防渗技术</w:t>
            </w:r>
            <w:r>
              <w:rPr>
                <w:rFonts w:hint="default" w:ascii="Times New Roman" w:hAnsi="Times New Roman" w:cs="Times New Roman"/>
                <w:b w:val="0"/>
                <w:bCs/>
                <w:color w:val="auto"/>
                <w:szCs w:val="21"/>
                <w:highlight w:val="none"/>
                <w:lang w:val="en-US" w:eastAsia="zh-CN"/>
              </w:rPr>
              <w:t>满足</w:t>
            </w:r>
            <w:r>
              <w:rPr>
                <w:rFonts w:hint="default" w:ascii="Times New Roman" w:hAnsi="Times New Roman" w:cs="Times New Roman"/>
                <w:b w:val="0"/>
                <w:bCs/>
                <w:color w:val="auto"/>
                <w:szCs w:val="21"/>
                <w:highlight w:val="none"/>
              </w:rPr>
              <w:t>等效黏土防渗层Mb≥6.0m，K≤10</w:t>
            </w:r>
            <w:r>
              <w:rPr>
                <w:rFonts w:hint="default" w:ascii="Times New Roman" w:hAnsi="Times New Roman" w:cs="Times New Roman"/>
                <w:b w:val="0"/>
                <w:bCs/>
                <w:color w:val="auto"/>
                <w:szCs w:val="21"/>
                <w:highlight w:val="none"/>
                <w:vertAlign w:val="superscript"/>
              </w:rPr>
              <w:t>-</w:t>
            </w:r>
            <w:r>
              <w:rPr>
                <w:rFonts w:hint="default" w:ascii="Times New Roman" w:hAnsi="Times New Roman" w:cs="Times New Roman"/>
                <w:b w:val="0"/>
                <w:bCs/>
                <w:color w:val="auto"/>
                <w:szCs w:val="21"/>
                <w:highlight w:val="none"/>
                <w:vertAlign w:val="superscript"/>
                <w:lang w:val="en-US" w:eastAsia="zh-CN"/>
              </w:rPr>
              <w:t>10</w:t>
            </w:r>
            <w:r>
              <w:rPr>
                <w:rFonts w:hint="default" w:ascii="Times New Roman" w:hAnsi="Times New Roman" w:cs="Times New Roman"/>
                <w:b w:val="0"/>
                <w:bCs/>
                <w:color w:val="auto"/>
                <w:szCs w:val="21"/>
                <w:highlight w:val="none"/>
              </w:rPr>
              <w:t>cm/s</w:t>
            </w:r>
            <w:r>
              <w:rPr>
                <w:rFonts w:hint="default" w:ascii="Times New Roman" w:hAnsi="Times New Roman" w:cs="Times New Roman"/>
                <w:b w:val="0"/>
                <w:bCs/>
                <w:color w:val="auto"/>
                <w:szCs w:val="21"/>
                <w:highlight w:val="none"/>
                <w:lang w:val="en-US" w:eastAsia="zh-CN"/>
              </w:rPr>
              <w:t>的</w:t>
            </w:r>
            <w:r>
              <w:rPr>
                <w:rFonts w:hint="default" w:ascii="Times New Roman" w:hAnsi="Times New Roman" w:cs="Times New Roman"/>
                <w:b w:val="0"/>
                <w:bCs/>
                <w:color w:val="auto"/>
                <w:szCs w:val="21"/>
                <w:highlight w:val="none"/>
              </w:rPr>
              <w:t>要求</w:t>
            </w:r>
            <w:r>
              <w:rPr>
                <w:rFonts w:hint="default" w:ascii="Times New Roman" w:hAnsi="Times New Roman" w:cs="Times New Roman"/>
                <w:b w:val="0"/>
                <w:bCs/>
                <w:color w:val="auto"/>
                <w:szCs w:val="21"/>
                <w:highlight w:val="none"/>
                <w:lang w:val="en-US" w:eastAsia="zh-CN"/>
              </w:rPr>
              <w:t>；</w:t>
            </w:r>
          </w:p>
          <w:p w14:paraId="4C71F4D5">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rPr>
              <w:t>②</w:t>
            </w:r>
            <w:r>
              <w:rPr>
                <w:rFonts w:hint="default" w:ascii="Times New Roman" w:hAnsi="Times New Roman" w:eastAsia="宋体" w:cs="Times New Roman"/>
                <w:b w:val="0"/>
                <w:bCs/>
                <w:color w:val="auto"/>
                <w:szCs w:val="21"/>
                <w:highlight w:val="none"/>
                <w:lang w:val="en-US" w:eastAsia="zh-CN"/>
              </w:rPr>
              <w:t>一般防渗区：药品及仪器室地面</w:t>
            </w:r>
            <w:r>
              <w:rPr>
                <w:rFonts w:hint="default" w:ascii="Times New Roman" w:hAnsi="Times New Roman" w:eastAsia="宋体" w:cs="Times New Roman"/>
                <w:b w:val="0"/>
                <w:bCs/>
                <w:color w:val="auto"/>
                <w:szCs w:val="21"/>
                <w:lang w:val="en-US" w:eastAsia="zh-CN"/>
              </w:rPr>
              <w:t>地面采用20cm厚P4等级混凝土进行防渗；酸碱中和池</w:t>
            </w:r>
            <w:r>
              <w:rPr>
                <w:rFonts w:hint="default" w:ascii="Times New Roman" w:hAnsi="Times New Roman" w:eastAsia="宋体" w:cs="Times New Roman"/>
                <w:b w:val="0"/>
                <w:bCs/>
                <w:color w:val="auto"/>
                <w:sz w:val="21"/>
                <w:szCs w:val="21"/>
                <w:lang w:val="en-US" w:eastAsia="zh-CN"/>
              </w:rPr>
              <w:t>池底、池壁采用20cm厚P4等级混凝土进行防渗</w:t>
            </w:r>
            <w:r>
              <w:rPr>
                <w:rFonts w:hint="default" w:ascii="Times New Roman" w:hAnsi="Times New Roman" w:eastAsia="宋体" w:cs="Times New Roman"/>
                <w:b w:val="0"/>
                <w:bCs/>
                <w:color w:val="auto"/>
                <w:szCs w:val="21"/>
                <w:lang w:eastAsia="zh-CN"/>
              </w:rPr>
              <w:t>。</w:t>
            </w:r>
            <w:r>
              <w:rPr>
                <w:rFonts w:hint="default" w:ascii="Times New Roman" w:hAnsi="Times New Roman" w:cs="Times New Roman"/>
                <w:b w:val="0"/>
                <w:bCs/>
                <w:color w:val="auto"/>
                <w:szCs w:val="21"/>
                <w:highlight w:val="none"/>
              </w:rPr>
              <w:t>防渗技术</w:t>
            </w:r>
            <w:r>
              <w:rPr>
                <w:rFonts w:hint="default" w:ascii="Times New Roman" w:hAnsi="Times New Roman" w:cs="Times New Roman"/>
                <w:b w:val="0"/>
                <w:bCs/>
                <w:color w:val="auto"/>
                <w:szCs w:val="21"/>
                <w:highlight w:val="none"/>
                <w:lang w:val="en-US" w:eastAsia="zh-CN"/>
              </w:rPr>
              <w:t>满足</w:t>
            </w:r>
            <w:r>
              <w:rPr>
                <w:rFonts w:hint="default" w:ascii="Times New Roman" w:hAnsi="Times New Roman" w:cs="Times New Roman"/>
                <w:b w:val="0"/>
                <w:bCs/>
                <w:color w:val="auto"/>
                <w:szCs w:val="21"/>
                <w:highlight w:val="none"/>
              </w:rPr>
              <w:t>等效黏土防渗层Mb≥6.0m，K≤10</w:t>
            </w:r>
            <w:r>
              <w:rPr>
                <w:rFonts w:hint="default" w:ascii="Times New Roman" w:hAnsi="Times New Roman" w:cs="Times New Roman"/>
                <w:b w:val="0"/>
                <w:bCs/>
                <w:color w:val="auto"/>
                <w:szCs w:val="21"/>
                <w:highlight w:val="none"/>
                <w:vertAlign w:val="superscript"/>
              </w:rPr>
              <w:t>-</w:t>
            </w:r>
            <w:r>
              <w:rPr>
                <w:rFonts w:hint="default" w:ascii="Times New Roman" w:hAnsi="Times New Roman" w:cs="Times New Roman"/>
                <w:b w:val="0"/>
                <w:bCs/>
                <w:color w:val="auto"/>
                <w:szCs w:val="21"/>
                <w:highlight w:val="none"/>
                <w:vertAlign w:val="superscript"/>
                <w:lang w:val="en-US" w:eastAsia="zh-CN"/>
              </w:rPr>
              <w:t>7</w:t>
            </w:r>
            <w:r>
              <w:rPr>
                <w:rFonts w:hint="default" w:ascii="Times New Roman" w:hAnsi="Times New Roman" w:cs="Times New Roman"/>
                <w:b w:val="0"/>
                <w:bCs/>
                <w:color w:val="auto"/>
                <w:szCs w:val="21"/>
                <w:highlight w:val="none"/>
              </w:rPr>
              <w:t>cm/s</w:t>
            </w:r>
            <w:r>
              <w:rPr>
                <w:rFonts w:hint="default" w:ascii="Times New Roman" w:hAnsi="Times New Roman" w:cs="Times New Roman"/>
                <w:b w:val="0"/>
                <w:bCs/>
                <w:color w:val="auto"/>
                <w:szCs w:val="21"/>
                <w:highlight w:val="none"/>
                <w:lang w:val="en-US" w:eastAsia="zh-CN"/>
              </w:rPr>
              <w:t>的</w:t>
            </w:r>
            <w:r>
              <w:rPr>
                <w:rFonts w:hint="default" w:ascii="Times New Roman" w:hAnsi="Times New Roman" w:cs="Times New Roman"/>
                <w:b w:val="0"/>
                <w:bCs/>
                <w:color w:val="auto"/>
                <w:szCs w:val="21"/>
                <w:highlight w:val="none"/>
              </w:rPr>
              <w:t>要求</w:t>
            </w:r>
            <w:r>
              <w:rPr>
                <w:rFonts w:hint="default" w:ascii="Times New Roman" w:hAnsi="Times New Roman" w:cs="Times New Roman"/>
                <w:b w:val="0"/>
                <w:bCs/>
                <w:color w:val="auto"/>
                <w:szCs w:val="21"/>
                <w:highlight w:val="none"/>
                <w:lang w:val="en-US" w:eastAsia="zh-CN"/>
              </w:rPr>
              <w:t>；</w:t>
            </w:r>
          </w:p>
          <w:p w14:paraId="0681CA5A">
            <w:pPr>
              <w:adjustRightInd w:val="0"/>
              <w:snapToGrid w:val="0"/>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b w:val="0"/>
                <w:bCs/>
                <w:color w:val="auto"/>
                <w:szCs w:val="21"/>
                <w:highlight w:val="none"/>
              </w:rPr>
              <w:t>③</w:t>
            </w:r>
            <w:r>
              <w:rPr>
                <w:rFonts w:hint="default" w:ascii="Times New Roman" w:hAnsi="Times New Roman" w:cs="Times New Roman"/>
                <w:b w:val="0"/>
                <w:bCs/>
                <w:color w:val="auto"/>
                <w:szCs w:val="21"/>
                <w:highlight w:val="none"/>
              </w:rPr>
              <w:t>简单防渗区：除重点防渗</w:t>
            </w:r>
            <w:r>
              <w:rPr>
                <w:rFonts w:hint="default" w:ascii="Times New Roman" w:hAnsi="Times New Roman" w:cs="Times New Roman"/>
                <w:b w:val="0"/>
                <w:bCs/>
                <w:color w:val="auto"/>
                <w:szCs w:val="21"/>
                <w:highlight w:val="none"/>
                <w:lang w:val="en-US" w:eastAsia="zh-CN"/>
              </w:rPr>
              <w:t>区</w:t>
            </w:r>
            <w:r>
              <w:rPr>
                <w:rFonts w:hint="default" w:ascii="Times New Roman" w:hAnsi="Times New Roman" w:cs="Times New Roman"/>
                <w:b w:val="0"/>
                <w:bCs/>
                <w:color w:val="auto"/>
                <w:szCs w:val="21"/>
                <w:highlight w:val="none"/>
                <w:lang w:eastAsia="zh-CN"/>
              </w:rPr>
              <w:t>、</w:t>
            </w:r>
            <w:r>
              <w:rPr>
                <w:rFonts w:hint="default" w:ascii="Times New Roman" w:hAnsi="Times New Roman" w:cs="Times New Roman"/>
                <w:b w:val="0"/>
                <w:bCs/>
                <w:color w:val="auto"/>
                <w:szCs w:val="21"/>
                <w:highlight w:val="none"/>
                <w:lang w:val="en-US" w:eastAsia="zh-CN"/>
              </w:rPr>
              <w:t>一般防渗区</w:t>
            </w:r>
            <w:r>
              <w:rPr>
                <w:rFonts w:hint="default" w:ascii="Times New Roman" w:hAnsi="Times New Roman" w:cs="Times New Roman"/>
                <w:b w:val="0"/>
                <w:bCs/>
                <w:color w:val="auto"/>
                <w:szCs w:val="21"/>
                <w:highlight w:val="none"/>
              </w:rPr>
              <w:t>以外区域，防渗技术要求为一般地面硬化，采用防渗混凝土硬化。</w:t>
            </w:r>
          </w:p>
        </w:tc>
      </w:tr>
      <w:tr w14:paraId="2A4053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545" w:type="pct"/>
            <w:vAlign w:val="center"/>
          </w:tcPr>
          <w:p w14:paraId="2649974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生态保护措施</w:t>
            </w:r>
          </w:p>
        </w:tc>
        <w:tc>
          <w:tcPr>
            <w:tcW w:w="4454" w:type="pct"/>
            <w:gridSpan w:val="4"/>
            <w:vAlign w:val="center"/>
          </w:tcPr>
          <w:p w14:paraId="647C453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0C6D0C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545" w:type="pct"/>
            <w:vAlign w:val="center"/>
          </w:tcPr>
          <w:p w14:paraId="24C85EBD">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环境风险</w:t>
            </w:r>
          </w:p>
          <w:p w14:paraId="1C36A140">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防范措施</w:t>
            </w:r>
          </w:p>
        </w:tc>
        <w:tc>
          <w:tcPr>
            <w:tcW w:w="4454" w:type="pct"/>
            <w:gridSpan w:val="4"/>
            <w:vAlign w:val="center"/>
          </w:tcPr>
          <w:p w14:paraId="39FBC055">
            <w:pPr>
              <w:jc w:val="left"/>
              <w:rPr>
                <w:rFonts w:hint="default" w:ascii="Times New Roman" w:hAnsi="Times New Roman" w:cs="Times New Roman"/>
                <w:color w:val="auto"/>
                <w:sz w:val="21"/>
                <w:szCs w:val="21"/>
                <w:highlight w:val="none"/>
              </w:rPr>
            </w:pPr>
            <w:r>
              <w:rPr>
                <w:rFonts w:hint="eastAsia" w:ascii="Times New Roman" w:hAnsi="Times New Roman" w:cs="Times New Roman"/>
                <w:color w:val="auto"/>
                <w:szCs w:val="21"/>
                <w:highlight w:val="none"/>
              </w:rPr>
              <w:t>危险废物均委托资质单位进行处置；根据防渗分区严格落实防渗措施；制定切合实际情况的应急预案等。</w:t>
            </w:r>
          </w:p>
        </w:tc>
      </w:tr>
      <w:tr w14:paraId="4596F1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545" w:type="pct"/>
            <w:vAlign w:val="center"/>
          </w:tcPr>
          <w:p w14:paraId="736D28BB">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其他环境</w:t>
            </w:r>
          </w:p>
          <w:p w14:paraId="713FD859">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管理要求</w:t>
            </w:r>
          </w:p>
        </w:tc>
        <w:tc>
          <w:tcPr>
            <w:tcW w:w="4454" w:type="pct"/>
            <w:gridSpan w:val="4"/>
            <w:vAlign w:val="center"/>
          </w:tcPr>
          <w:p w14:paraId="35BCACA0">
            <w:pPr>
              <w:rPr>
                <w:rFonts w:hint="default"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1</w:t>
            </w:r>
            <w:r>
              <w:rPr>
                <w:rFonts w:hint="default" w:ascii="Times New Roman" w:hAnsi="Times New Roman" w:cs="Times New Roman"/>
                <w:b/>
                <w:color w:val="auto"/>
                <w:sz w:val="21"/>
                <w:szCs w:val="21"/>
                <w:highlight w:val="none"/>
              </w:rPr>
              <w:t>、环境监测计划</w:t>
            </w:r>
          </w:p>
          <w:p w14:paraId="4181B9FC">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（1）制定自行监测方案，定期开展污染源监测；</w:t>
            </w:r>
          </w:p>
          <w:p w14:paraId="1ED8D36C">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（2）对</w:t>
            </w:r>
            <w:r>
              <w:rPr>
                <w:rFonts w:hint="default" w:ascii="Times New Roman" w:hAnsi="Times New Roman" w:cs="Times New Roman"/>
                <w:color w:val="auto"/>
                <w:sz w:val="21"/>
                <w:szCs w:val="21"/>
                <w:highlight w:val="none"/>
                <w:lang w:eastAsia="zh-CN"/>
              </w:rPr>
              <w:t>环境治理</w:t>
            </w:r>
            <w:r>
              <w:rPr>
                <w:rFonts w:hint="default" w:ascii="Times New Roman" w:hAnsi="Times New Roman" w:cs="Times New Roman"/>
                <w:color w:val="auto"/>
                <w:sz w:val="21"/>
                <w:szCs w:val="21"/>
                <w:highlight w:val="none"/>
              </w:rPr>
              <w:t>设施的运行情况进行监测，以便及时对设施的设计和处理效果进行比较；发现问题及时报告有关部门；</w:t>
            </w:r>
          </w:p>
          <w:p w14:paraId="3CFFC74C">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（3）当发生污染事故时，进行应急监测，为采取处理措施提供第一手资料。</w:t>
            </w:r>
          </w:p>
        </w:tc>
      </w:tr>
    </w:tbl>
    <w:p w14:paraId="53ED6B52">
      <w:pPr>
        <w:rPr>
          <w:color w:val="auto"/>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14:paraId="029EA117">
      <w:pPr>
        <w:pStyle w:val="36"/>
        <w:rPr>
          <w:rFonts w:ascii="黑体" w:hAnsi="黑体" w:eastAsia="黑体"/>
          <w:b w:val="0"/>
          <w:color w:val="auto"/>
          <w:sz w:val="30"/>
          <w:szCs w:val="30"/>
          <w:highlight w:val="none"/>
        </w:rPr>
      </w:pPr>
      <w:bookmarkStart w:id="8" w:name="_Toc130804820"/>
      <w:r>
        <w:rPr>
          <w:rFonts w:hint="eastAsia" w:ascii="黑体" w:hAnsi="黑体" w:eastAsia="黑体"/>
          <w:b w:val="0"/>
          <w:color w:val="auto"/>
          <w:sz w:val="30"/>
          <w:szCs w:val="30"/>
          <w:highlight w:val="none"/>
        </w:rPr>
        <w:t>六、结论</w:t>
      </w:r>
      <w:bookmarkEnd w:id="8"/>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6"/>
      </w:tblGrid>
      <w:tr w14:paraId="37E2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6" w:type="dxa"/>
            <w:vAlign w:val="top"/>
          </w:tcPr>
          <w:p w14:paraId="0BC4F3C6">
            <w:pPr>
              <w:spacing w:line="360" w:lineRule="auto"/>
              <w:ind w:firstLine="480" w:firstLineChars="200"/>
              <w:rPr>
                <w:color w:val="auto"/>
                <w:sz w:val="24"/>
                <w:szCs w:val="24"/>
                <w:highlight w:val="none"/>
              </w:rPr>
            </w:pPr>
            <w:r>
              <w:rPr>
                <w:rFonts w:hint="eastAsia" w:ascii="Times New Roman" w:hAnsi="Times New Roman" w:cs="Times New Roman"/>
                <w:color w:val="auto"/>
                <w:sz w:val="24"/>
                <w:szCs w:val="24"/>
                <w:highlight w:val="none"/>
                <w:lang w:eastAsia="zh-CN"/>
              </w:rPr>
              <w:t>阿坝州马尔康市第二中学校实验楼建设项目</w:t>
            </w:r>
            <w:r>
              <w:rPr>
                <w:rFonts w:hint="eastAsia"/>
                <w:color w:val="auto"/>
                <w:sz w:val="24"/>
                <w:szCs w:val="24"/>
                <w:highlight w:val="none"/>
              </w:rPr>
              <w:t>位于</w:t>
            </w:r>
            <w:r>
              <w:rPr>
                <w:rFonts w:hint="eastAsia" w:ascii="Times New Roman" w:hAnsi="Times New Roman" w:cs="Times New Roman"/>
                <w:color w:val="auto"/>
                <w:sz w:val="24"/>
                <w:szCs w:val="24"/>
                <w:highlight w:val="none"/>
                <w:lang w:eastAsia="zh-CN"/>
              </w:rPr>
              <w:t>马尔康市达萨街439号</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项目</w:t>
            </w:r>
            <w:r>
              <w:rPr>
                <w:color w:val="auto"/>
                <w:sz w:val="24"/>
                <w:szCs w:val="24"/>
                <w:highlight w:val="none"/>
              </w:rPr>
              <w:t>符合国家产业发展政策，选址符合该地区的城市发展规划，选址合理、总平面布置合理。工程采取的污染防治措施</w:t>
            </w:r>
            <w:r>
              <w:rPr>
                <w:color w:val="auto"/>
                <w:sz w:val="24"/>
                <w:highlight w:val="none"/>
              </w:rPr>
              <w:t>技术可靠、经济可行。</w:t>
            </w:r>
            <w:r>
              <w:rPr>
                <w:rFonts w:hint="eastAsia"/>
                <w:color w:val="auto"/>
                <w:sz w:val="24"/>
                <w:highlight w:val="none"/>
              </w:rPr>
              <w:t>建设单位在认真落实本报告</w:t>
            </w:r>
            <w:r>
              <w:rPr>
                <w:color w:val="auto"/>
                <w:sz w:val="24"/>
                <w:highlight w:val="none"/>
              </w:rPr>
              <w:t>中提出的各项污染防治措施和有关管理措施，保证环境保护措施的有效运行，可确保污染物稳定达标排放</w:t>
            </w:r>
            <w:r>
              <w:rPr>
                <w:rFonts w:hint="eastAsia"/>
                <w:color w:val="auto"/>
                <w:sz w:val="24"/>
                <w:highlight w:val="none"/>
              </w:rPr>
              <w:t>，</w:t>
            </w:r>
            <w:r>
              <w:rPr>
                <w:color w:val="auto"/>
                <w:sz w:val="24"/>
                <w:szCs w:val="24"/>
                <w:highlight w:val="none"/>
              </w:rPr>
              <w:t>项目建成</w:t>
            </w:r>
            <w:r>
              <w:rPr>
                <w:rFonts w:hint="eastAsia"/>
                <w:color w:val="auto"/>
                <w:sz w:val="24"/>
                <w:szCs w:val="24"/>
                <w:highlight w:val="none"/>
                <w:lang w:eastAsia="zh-CN"/>
              </w:rPr>
              <w:t>运营</w:t>
            </w:r>
            <w:r>
              <w:rPr>
                <w:color w:val="auto"/>
                <w:sz w:val="24"/>
                <w:szCs w:val="24"/>
                <w:highlight w:val="none"/>
              </w:rPr>
              <w:t>后对区域环境影响较小。</w:t>
            </w:r>
          </w:p>
          <w:p w14:paraId="4F6D3F7E">
            <w:pPr>
              <w:spacing w:line="360" w:lineRule="auto"/>
              <w:ind w:firstLine="480" w:firstLineChars="200"/>
              <w:rPr>
                <w:color w:val="auto"/>
                <w:sz w:val="24"/>
                <w:szCs w:val="24"/>
                <w:highlight w:val="none"/>
              </w:rPr>
            </w:pPr>
            <w:r>
              <w:rPr>
                <w:color w:val="auto"/>
                <w:sz w:val="24"/>
                <w:szCs w:val="24"/>
                <w:highlight w:val="none"/>
              </w:rPr>
              <w:t>因此，从环境保护角度而言，本项目的建设是可行的。</w:t>
            </w:r>
          </w:p>
          <w:p w14:paraId="7FFF8816">
            <w:pPr>
              <w:spacing w:line="360" w:lineRule="auto"/>
              <w:ind w:firstLine="480" w:firstLineChars="200"/>
              <w:rPr>
                <w:color w:val="auto"/>
                <w:sz w:val="24"/>
                <w:szCs w:val="24"/>
                <w:highlight w:val="none"/>
              </w:rPr>
            </w:pPr>
          </w:p>
          <w:p w14:paraId="1EA7C7BF">
            <w:pPr>
              <w:ind w:firstLine="420" w:firstLineChars="200"/>
              <w:rPr>
                <w:color w:val="auto"/>
                <w:highlight w:val="none"/>
              </w:rPr>
            </w:pPr>
          </w:p>
          <w:p w14:paraId="53BB7952">
            <w:pPr>
              <w:ind w:firstLine="420" w:firstLineChars="200"/>
              <w:rPr>
                <w:color w:val="auto"/>
                <w:highlight w:val="none"/>
              </w:rPr>
            </w:pPr>
          </w:p>
          <w:p w14:paraId="75945A00">
            <w:pPr>
              <w:ind w:firstLine="420" w:firstLineChars="200"/>
              <w:rPr>
                <w:color w:val="auto"/>
                <w:highlight w:val="none"/>
              </w:rPr>
            </w:pPr>
          </w:p>
          <w:p w14:paraId="5CEC10E6">
            <w:pPr>
              <w:ind w:firstLine="420" w:firstLineChars="200"/>
              <w:rPr>
                <w:color w:val="auto"/>
                <w:highlight w:val="none"/>
              </w:rPr>
            </w:pPr>
          </w:p>
          <w:p w14:paraId="324A2F32">
            <w:pPr>
              <w:ind w:firstLine="420" w:firstLineChars="200"/>
              <w:rPr>
                <w:color w:val="auto"/>
                <w:highlight w:val="none"/>
              </w:rPr>
            </w:pPr>
          </w:p>
          <w:p w14:paraId="23F681F4">
            <w:pPr>
              <w:ind w:firstLine="420" w:firstLineChars="200"/>
              <w:rPr>
                <w:color w:val="auto"/>
                <w:highlight w:val="none"/>
              </w:rPr>
            </w:pPr>
          </w:p>
          <w:p w14:paraId="1BE35896">
            <w:pPr>
              <w:ind w:firstLine="420" w:firstLineChars="200"/>
              <w:rPr>
                <w:color w:val="auto"/>
                <w:highlight w:val="none"/>
              </w:rPr>
            </w:pPr>
          </w:p>
          <w:p w14:paraId="5165F12C">
            <w:pPr>
              <w:ind w:firstLine="420" w:firstLineChars="200"/>
              <w:rPr>
                <w:color w:val="auto"/>
                <w:highlight w:val="none"/>
              </w:rPr>
            </w:pPr>
          </w:p>
          <w:p w14:paraId="17E7E972">
            <w:pPr>
              <w:ind w:firstLine="420" w:firstLineChars="200"/>
              <w:rPr>
                <w:color w:val="auto"/>
                <w:highlight w:val="none"/>
              </w:rPr>
            </w:pPr>
          </w:p>
          <w:p w14:paraId="4EDABF11">
            <w:pPr>
              <w:ind w:firstLine="420" w:firstLineChars="200"/>
              <w:rPr>
                <w:color w:val="auto"/>
                <w:highlight w:val="none"/>
              </w:rPr>
            </w:pPr>
          </w:p>
          <w:p w14:paraId="67B4B5E9">
            <w:pPr>
              <w:ind w:firstLine="420" w:firstLineChars="200"/>
              <w:rPr>
                <w:color w:val="auto"/>
                <w:highlight w:val="none"/>
              </w:rPr>
            </w:pPr>
          </w:p>
          <w:p w14:paraId="5CE9E0E0">
            <w:pPr>
              <w:ind w:firstLine="420" w:firstLineChars="200"/>
              <w:rPr>
                <w:color w:val="auto"/>
                <w:highlight w:val="none"/>
              </w:rPr>
            </w:pPr>
          </w:p>
          <w:p w14:paraId="727C6AAD">
            <w:pPr>
              <w:ind w:firstLine="420" w:firstLineChars="200"/>
              <w:rPr>
                <w:color w:val="auto"/>
                <w:highlight w:val="none"/>
              </w:rPr>
            </w:pPr>
          </w:p>
          <w:p w14:paraId="4AFDA3D8">
            <w:pPr>
              <w:ind w:firstLine="420" w:firstLineChars="200"/>
              <w:rPr>
                <w:color w:val="auto"/>
                <w:highlight w:val="none"/>
              </w:rPr>
            </w:pPr>
          </w:p>
          <w:p w14:paraId="59815310">
            <w:pPr>
              <w:ind w:firstLine="420" w:firstLineChars="200"/>
              <w:rPr>
                <w:color w:val="auto"/>
                <w:highlight w:val="none"/>
              </w:rPr>
            </w:pPr>
          </w:p>
          <w:p w14:paraId="49DD16E4">
            <w:pPr>
              <w:ind w:firstLine="420" w:firstLineChars="200"/>
              <w:rPr>
                <w:color w:val="auto"/>
                <w:highlight w:val="none"/>
              </w:rPr>
            </w:pPr>
          </w:p>
          <w:p w14:paraId="58F1C6A7">
            <w:pPr>
              <w:ind w:firstLine="420" w:firstLineChars="200"/>
              <w:rPr>
                <w:color w:val="auto"/>
                <w:highlight w:val="none"/>
              </w:rPr>
            </w:pPr>
          </w:p>
          <w:p w14:paraId="06A02FC3">
            <w:pPr>
              <w:ind w:firstLine="420" w:firstLineChars="200"/>
              <w:rPr>
                <w:color w:val="auto"/>
                <w:highlight w:val="none"/>
              </w:rPr>
            </w:pPr>
          </w:p>
          <w:p w14:paraId="743F4A78">
            <w:pPr>
              <w:ind w:firstLine="420" w:firstLineChars="200"/>
              <w:rPr>
                <w:color w:val="auto"/>
                <w:highlight w:val="none"/>
              </w:rPr>
            </w:pPr>
          </w:p>
          <w:p w14:paraId="34B50D2D">
            <w:pPr>
              <w:ind w:firstLine="420" w:firstLineChars="200"/>
              <w:rPr>
                <w:color w:val="auto"/>
                <w:highlight w:val="none"/>
              </w:rPr>
            </w:pPr>
          </w:p>
          <w:p w14:paraId="22B12D4C">
            <w:pPr>
              <w:ind w:firstLine="420" w:firstLineChars="200"/>
              <w:rPr>
                <w:color w:val="auto"/>
                <w:highlight w:val="none"/>
              </w:rPr>
            </w:pPr>
          </w:p>
          <w:p w14:paraId="746AC7D9">
            <w:pPr>
              <w:ind w:firstLine="420" w:firstLineChars="200"/>
              <w:rPr>
                <w:color w:val="auto"/>
                <w:highlight w:val="none"/>
              </w:rPr>
            </w:pPr>
          </w:p>
          <w:p w14:paraId="04FA2450">
            <w:pPr>
              <w:ind w:firstLine="420" w:firstLineChars="200"/>
              <w:rPr>
                <w:color w:val="auto"/>
                <w:highlight w:val="none"/>
              </w:rPr>
            </w:pPr>
          </w:p>
          <w:p w14:paraId="76FA3AFE">
            <w:pPr>
              <w:ind w:firstLine="420" w:firstLineChars="200"/>
              <w:rPr>
                <w:color w:val="auto"/>
                <w:highlight w:val="none"/>
              </w:rPr>
            </w:pPr>
          </w:p>
          <w:p w14:paraId="7C5A5B5E">
            <w:pPr>
              <w:ind w:firstLine="420" w:firstLineChars="200"/>
              <w:rPr>
                <w:color w:val="auto"/>
                <w:highlight w:val="none"/>
              </w:rPr>
            </w:pPr>
          </w:p>
          <w:p w14:paraId="3FF9C42D">
            <w:pPr>
              <w:ind w:firstLine="420" w:firstLineChars="200"/>
              <w:rPr>
                <w:color w:val="auto"/>
                <w:highlight w:val="none"/>
              </w:rPr>
            </w:pPr>
          </w:p>
          <w:p w14:paraId="6061AFE0">
            <w:pPr>
              <w:ind w:firstLine="420" w:firstLineChars="200"/>
              <w:rPr>
                <w:color w:val="auto"/>
                <w:highlight w:val="none"/>
              </w:rPr>
            </w:pPr>
          </w:p>
          <w:p w14:paraId="6A33A896">
            <w:pPr>
              <w:ind w:firstLine="420" w:firstLineChars="200"/>
              <w:rPr>
                <w:color w:val="auto"/>
                <w:highlight w:val="none"/>
              </w:rPr>
            </w:pPr>
          </w:p>
          <w:p w14:paraId="27ACF2F1">
            <w:pPr>
              <w:rPr>
                <w:color w:val="auto"/>
                <w:highlight w:val="none"/>
              </w:rPr>
            </w:pPr>
          </w:p>
        </w:tc>
      </w:tr>
    </w:tbl>
    <w:p w14:paraId="27630235">
      <w:pPr>
        <w:rPr>
          <w:color w:val="auto"/>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14:paraId="6A90E4F2">
      <w:pPr>
        <w:pStyle w:val="36"/>
        <w:jc w:val="both"/>
        <w:rPr>
          <w:rFonts w:ascii="黑体" w:hAnsi="黑体" w:eastAsia="黑体"/>
          <w:b w:val="0"/>
          <w:color w:val="auto"/>
          <w:sz w:val="30"/>
          <w:szCs w:val="30"/>
          <w:highlight w:val="none"/>
        </w:rPr>
      </w:pPr>
      <w:bookmarkStart w:id="9" w:name="_Toc130804821"/>
      <w:r>
        <w:rPr>
          <w:rFonts w:hint="eastAsia" w:ascii="黑体" w:hAnsi="黑体" w:eastAsia="黑体"/>
          <w:b w:val="0"/>
          <w:color w:val="auto"/>
          <w:sz w:val="30"/>
          <w:szCs w:val="30"/>
          <w:highlight w:val="none"/>
        </w:rPr>
        <w:t>附表</w:t>
      </w:r>
      <w:bookmarkEnd w:id="9"/>
    </w:p>
    <w:p w14:paraId="6FF9B4E3">
      <w:pPr>
        <w:jc w:val="center"/>
        <w:rPr>
          <w:rFonts w:ascii="黑体" w:hAnsi="黑体" w:eastAsia="黑体"/>
          <w:snapToGrid w:val="0"/>
          <w:color w:val="auto"/>
          <w:sz w:val="36"/>
          <w:szCs w:val="36"/>
          <w:highlight w:val="none"/>
        </w:rPr>
      </w:pPr>
      <w:r>
        <w:rPr>
          <w:rFonts w:ascii="黑体" w:hAnsi="黑体" w:eastAsia="黑体"/>
          <w:snapToGrid w:val="0"/>
          <w:color w:val="auto"/>
          <w:sz w:val="36"/>
          <w:szCs w:val="36"/>
          <w:highlight w:val="none"/>
        </w:rPr>
        <w:t>建设项目污染物排放量汇总表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155"/>
        <w:gridCol w:w="1568"/>
        <w:gridCol w:w="1364"/>
        <w:gridCol w:w="1486"/>
        <w:gridCol w:w="1528"/>
        <w:gridCol w:w="1472"/>
        <w:gridCol w:w="1896"/>
        <w:gridCol w:w="1321"/>
      </w:tblGrid>
      <w:tr w14:paraId="7D5F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l2br w:val="single" w:color="auto" w:sz="4" w:space="0"/>
            </w:tcBorders>
            <w:vAlign w:val="center"/>
          </w:tcPr>
          <w:p w14:paraId="7AEAC776">
            <w:pPr>
              <w:spacing w:line="300" w:lineRule="exact"/>
              <w:jc w:val="right"/>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项目</w:t>
            </w:r>
          </w:p>
          <w:p w14:paraId="3FD58C61">
            <w:pPr>
              <w:spacing w:line="300" w:lineRule="exact"/>
              <w:jc w:val="left"/>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分类</w:t>
            </w:r>
          </w:p>
        </w:tc>
        <w:tc>
          <w:tcPr>
            <w:tcW w:w="2155" w:type="dxa"/>
            <w:vAlign w:val="center"/>
          </w:tcPr>
          <w:p w14:paraId="2B2EAAF9">
            <w:pPr>
              <w:spacing w:line="3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污染物名称</w:t>
            </w:r>
          </w:p>
        </w:tc>
        <w:tc>
          <w:tcPr>
            <w:tcW w:w="1568" w:type="dxa"/>
            <w:vAlign w:val="center"/>
          </w:tcPr>
          <w:p w14:paraId="4FA75209">
            <w:pPr>
              <w:spacing w:line="3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现有工程排放量（固体废物产生量）</w:t>
            </w:r>
            <w:r>
              <w:rPr>
                <w:rFonts w:hint="default" w:ascii="Times New Roman" w:hAnsi="Times New Roman" w:eastAsia="宋体" w:cs="Times New Roman"/>
                <w:b/>
                <w:color w:val="auto"/>
                <w:szCs w:val="21"/>
                <w:highlight w:val="none"/>
              </w:rPr>
              <w:t>①</w:t>
            </w:r>
          </w:p>
        </w:tc>
        <w:tc>
          <w:tcPr>
            <w:tcW w:w="1364" w:type="dxa"/>
            <w:vAlign w:val="center"/>
          </w:tcPr>
          <w:p w14:paraId="50EA70DB">
            <w:pPr>
              <w:spacing w:line="3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现有工程许可排放量</w:t>
            </w:r>
            <w:r>
              <w:rPr>
                <w:rFonts w:hint="default" w:ascii="Times New Roman" w:hAnsi="Times New Roman" w:eastAsia="宋体" w:cs="Times New Roman"/>
                <w:b/>
                <w:color w:val="auto"/>
                <w:szCs w:val="21"/>
                <w:highlight w:val="none"/>
              </w:rPr>
              <w:t>②</w:t>
            </w:r>
          </w:p>
        </w:tc>
        <w:tc>
          <w:tcPr>
            <w:tcW w:w="1486" w:type="dxa"/>
            <w:vAlign w:val="center"/>
          </w:tcPr>
          <w:p w14:paraId="7D65673D">
            <w:pPr>
              <w:spacing w:line="3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在建工程排放量（固体废物产生量）</w:t>
            </w:r>
            <w:r>
              <w:rPr>
                <w:rFonts w:hint="default" w:ascii="Times New Roman" w:hAnsi="Times New Roman" w:eastAsia="宋体" w:cs="Times New Roman"/>
                <w:b/>
                <w:color w:val="auto"/>
                <w:szCs w:val="21"/>
                <w:highlight w:val="none"/>
              </w:rPr>
              <w:t>③</w:t>
            </w:r>
          </w:p>
        </w:tc>
        <w:tc>
          <w:tcPr>
            <w:tcW w:w="1528" w:type="dxa"/>
            <w:vAlign w:val="center"/>
          </w:tcPr>
          <w:p w14:paraId="54119E8F">
            <w:pPr>
              <w:spacing w:line="3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本项目排放量（固体废物产生量）</w:t>
            </w:r>
            <w:r>
              <w:rPr>
                <w:rFonts w:hint="default" w:ascii="Times New Roman" w:hAnsi="Times New Roman" w:eastAsia="宋体" w:cs="Times New Roman"/>
                <w:b/>
                <w:color w:val="auto"/>
                <w:szCs w:val="21"/>
                <w:highlight w:val="none"/>
              </w:rPr>
              <w:t>④</w:t>
            </w:r>
          </w:p>
        </w:tc>
        <w:tc>
          <w:tcPr>
            <w:tcW w:w="1472" w:type="dxa"/>
            <w:vAlign w:val="center"/>
          </w:tcPr>
          <w:p w14:paraId="58A2D098">
            <w:pPr>
              <w:spacing w:line="3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以新带老削减量（新建项目不填）</w:t>
            </w:r>
            <w:r>
              <w:rPr>
                <w:rFonts w:hint="default" w:ascii="Times New Roman" w:hAnsi="Times New Roman" w:eastAsia="宋体" w:cs="Times New Roman"/>
                <w:b/>
                <w:color w:val="auto"/>
                <w:szCs w:val="21"/>
                <w:highlight w:val="none"/>
              </w:rPr>
              <w:t>⑤</w:t>
            </w:r>
          </w:p>
        </w:tc>
        <w:tc>
          <w:tcPr>
            <w:tcW w:w="1896" w:type="dxa"/>
            <w:vAlign w:val="center"/>
          </w:tcPr>
          <w:p w14:paraId="3C597360">
            <w:pPr>
              <w:spacing w:line="3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本项目建成后全厂排放能量（固体废物产生量）</w:t>
            </w:r>
            <w:r>
              <w:rPr>
                <w:rFonts w:hint="default" w:ascii="Times New Roman" w:hAnsi="Times New Roman" w:eastAsia="宋体" w:cs="Times New Roman"/>
                <w:b/>
                <w:color w:val="auto"/>
                <w:szCs w:val="21"/>
                <w:highlight w:val="none"/>
              </w:rPr>
              <w:t>⑥</w:t>
            </w:r>
          </w:p>
        </w:tc>
        <w:tc>
          <w:tcPr>
            <w:tcW w:w="1321" w:type="dxa"/>
            <w:vAlign w:val="center"/>
          </w:tcPr>
          <w:p w14:paraId="7B48C06F">
            <w:pPr>
              <w:spacing w:line="3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变化量</w:t>
            </w:r>
            <w:r>
              <w:rPr>
                <w:rFonts w:hint="default" w:ascii="Times New Roman" w:hAnsi="Times New Roman" w:eastAsia="宋体" w:cs="Times New Roman"/>
                <w:b/>
                <w:color w:val="auto"/>
                <w:szCs w:val="21"/>
                <w:highlight w:val="none"/>
              </w:rPr>
              <w:t>⑦</w:t>
            </w:r>
          </w:p>
        </w:tc>
      </w:tr>
      <w:tr w14:paraId="3E2A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384" w:type="dxa"/>
            <w:vMerge w:val="restart"/>
            <w:vAlign w:val="center"/>
          </w:tcPr>
          <w:p w14:paraId="0E9992D0">
            <w:pPr>
              <w:spacing w:line="30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废气（t/a）</w:t>
            </w:r>
          </w:p>
        </w:tc>
        <w:tc>
          <w:tcPr>
            <w:tcW w:w="2155" w:type="dxa"/>
            <w:vAlign w:val="center"/>
          </w:tcPr>
          <w:p w14:paraId="7CE7565E">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HCl</w:t>
            </w:r>
          </w:p>
        </w:tc>
        <w:tc>
          <w:tcPr>
            <w:tcW w:w="1568" w:type="dxa"/>
            <w:vAlign w:val="center"/>
          </w:tcPr>
          <w:p w14:paraId="397308A3">
            <w:pPr>
              <w:widowControl/>
              <w:jc w:val="center"/>
              <w:textAlignment w:val="center"/>
              <w:rPr>
                <w:rFonts w:ascii="Times New Roman" w:hAnsi="Times New Roman" w:cs="Times New Roman"/>
                <w:color w:val="auto"/>
                <w:szCs w:val="21"/>
                <w:highlight w:val="none"/>
              </w:rPr>
            </w:pPr>
            <w:r>
              <w:rPr>
                <w:rFonts w:hint="eastAsia" w:ascii="Times New Roman" w:hAnsi="Times New Roman" w:eastAsia="宋体" w:cs="Times New Roman"/>
                <w:bCs/>
                <w:color w:val="auto"/>
                <w:sz w:val="21"/>
                <w:szCs w:val="21"/>
                <w:highlight w:val="none"/>
                <w:lang w:val="en-US" w:eastAsia="zh-CN"/>
              </w:rPr>
              <w:t>0.0004kg/a</w:t>
            </w:r>
          </w:p>
        </w:tc>
        <w:tc>
          <w:tcPr>
            <w:tcW w:w="1364" w:type="dxa"/>
            <w:vAlign w:val="center"/>
          </w:tcPr>
          <w:p w14:paraId="0C98F548">
            <w:pPr>
              <w:spacing w:line="300" w:lineRule="exact"/>
              <w:jc w:val="center"/>
              <w:rPr>
                <w:rFonts w:ascii="Times New Roman" w:hAnsi="Times New Roman" w:cs="Times New Roman"/>
                <w:color w:val="auto"/>
                <w:szCs w:val="21"/>
                <w:highlight w:val="none"/>
              </w:rPr>
            </w:pPr>
            <w:r>
              <w:rPr>
                <w:rFonts w:hint="eastAsia" w:ascii="Times New Roman" w:hAnsi="Times New Roman" w:eastAsia="宋体" w:cs="Times New Roman"/>
                <w:color w:val="auto"/>
                <w:kern w:val="0"/>
                <w:szCs w:val="21"/>
                <w:highlight w:val="none"/>
                <w:lang w:val="en-US" w:eastAsia="zh-CN" w:bidi="ar"/>
              </w:rPr>
              <w:t>/</w:t>
            </w:r>
          </w:p>
        </w:tc>
        <w:tc>
          <w:tcPr>
            <w:tcW w:w="1486" w:type="dxa"/>
            <w:vAlign w:val="center"/>
          </w:tcPr>
          <w:p w14:paraId="51FA6525">
            <w:pPr>
              <w:spacing w:line="300" w:lineRule="exact"/>
              <w:jc w:val="center"/>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528" w:type="dxa"/>
            <w:vAlign w:val="center"/>
          </w:tcPr>
          <w:p w14:paraId="3DE047AD">
            <w:pPr>
              <w:widowControl/>
              <w:jc w:val="center"/>
              <w:textAlignment w:val="center"/>
              <w:rPr>
                <w:rFonts w:ascii="Times New Roman" w:hAnsi="Times New Roman" w:cs="Times New Roman"/>
                <w:color w:val="auto"/>
                <w:szCs w:val="21"/>
                <w:highlight w:val="none"/>
              </w:rPr>
            </w:pPr>
            <w:r>
              <w:rPr>
                <w:rFonts w:hint="eastAsia" w:ascii="Times New Roman" w:hAnsi="Times New Roman" w:eastAsia="宋体" w:cs="Times New Roman"/>
                <w:bCs/>
                <w:color w:val="auto"/>
                <w:sz w:val="21"/>
                <w:szCs w:val="21"/>
                <w:highlight w:val="none"/>
                <w:lang w:val="en-US" w:eastAsia="zh-CN"/>
              </w:rPr>
              <w:t>0.0004kg/a</w:t>
            </w:r>
          </w:p>
        </w:tc>
        <w:tc>
          <w:tcPr>
            <w:tcW w:w="1472" w:type="dxa"/>
            <w:vAlign w:val="center"/>
          </w:tcPr>
          <w:p w14:paraId="5BD6385A">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c>
          <w:tcPr>
            <w:tcW w:w="1896" w:type="dxa"/>
            <w:vAlign w:val="center"/>
          </w:tcPr>
          <w:p w14:paraId="1C6852EB">
            <w:pPr>
              <w:widowControl/>
              <w:jc w:val="center"/>
              <w:textAlignment w:val="center"/>
              <w:rPr>
                <w:rFonts w:ascii="Times New Roman" w:hAnsi="Times New Roman" w:cs="Times New Roman"/>
                <w:color w:val="auto"/>
                <w:szCs w:val="21"/>
                <w:highlight w:val="none"/>
              </w:rPr>
            </w:pPr>
            <w:r>
              <w:rPr>
                <w:rFonts w:hint="eastAsia" w:ascii="Times New Roman" w:hAnsi="Times New Roman" w:eastAsia="宋体" w:cs="Times New Roman"/>
                <w:bCs/>
                <w:color w:val="auto"/>
                <w:sz w:val="21"/>
                <w:szCs w:val="21"/>
                <w:highlight w:val="none"/>
                <w:lang w:val="en-US" w:eastAsia="zh-CN"/>
              </w:rPr>
              <w:t>0.0004kg/a</w:t>
            </w:r>
          </w:p>
        </w:tc>
        <w:tc>
          <w:tcPr>
            <w:tcW w:w="1321" w:type="dxa"/>
            <w:vAlign w:val="center"/>
          </w:tcPr>
          <w:p w14:paraId="0BC55237">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r>
      <w:tr w14:paraId="3D6E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63B779ED">
            <w:pPr>
              <w:spacing w:line="300" w:lineRule="exact"/>
              <w:jc w:val="center"/>
              <w:rPr>
                <w:rFonts w:ascii="Times New Roman" w:hAnsi="Times New Roman" w:cs="Times New Roman"/>
                <w:color w:val="auto"/>
                <w:szCs w:val="21"/>
                <w:highlight w:val="none"/>
              </w:rPr>
            </w:pPr>
          </w:p>
        </w:tc>
        <w:tc>
          <w:tcPr>
            <w:tcW w:w="2155" w:type="dxa"/>
            <w:vAlign w:val="center"/>
          </w:tcPr>
          <w:p w14:paraId="615287DB">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VOCs</w:t>
            </w:r>
          </w:p>
        </w:tc>
        <w:tc>
          <w:tcPr>
            <w:tcW w:w="1568" w:type="dxa"/>
            <w:vAlign w:val="center"/>
          </w:tcPr>
          <w:p w14:paraId="02C3D579">
            <w:pPr>
              <w:widowControl/>
              <w:jc w:val="center"/>
              <w:textAlignment w:val="center"/>
              <w:rPr>
                <w:rFonts w:ascii="Times New Roman" w:hAnsi="Times New Roman" w:cs="Times New Roman"/>
                <w:color w:val="auto"/>
                <w:szCs w:val="21"/>
                <w:highlight w:val="none"/>
              </w:rPr>
            </w:pPr>
            <w:r>
              <w:rPr>
                <w:rFonts w:hint="eastAsia" w:ascii="Times New Roman" w:hAnsi="Times New Roman" w:eastAsia="宋体" w:cs="Times New Roman"/>
                <w:bCs/>
                <w:color w:val="auto"/>
                <w:sz w:val="21"/>
                <w:szCs w:val="21"/>
                <w:highlight w:val="none"/>
                <w:lang w:val="en-US" w:eastAsia="zh-CN"/>
              </w:rPr>
              <w:t>0.0006kg/a</w:t>
            </w:r>
          </w:p>
        </w:tc>
        <w:tc>
          <w:tcPr>
            <w:tcW w:w="1364" w:type="dxa"/>
            <w:vAlign w:val="center"/>
          </w:tcPr>
          <w:p w14:paraId="4416F9B9">
            <w:pPr>
              <w:spacing w:line="300" w:lineRule="exact"/>
              <w:jc w:val="center"/>
              <w:rPr>
                <w:rFonts w:ascii="Times New Roman" w:hAnsi="Times New Roman" w:cs="Times New Roman"/>
                <w:color w:val="auto"/>
                <w:szCs w:val="21"/>
                <w:highlight w:val="none"/>
              </w:rPr>
            </w:pPr>
            <w:r>
              <w:rPr>
                <w:rFonts w:hint="eastAsia" w:ascii="Times New Roman" w:hAnsi="Times New Roman" w:eastAsia="宋体" w:cs="Times New Roman"/>
                <w:color w:val="auto"/>
                <w:kern w:val="0"/>
                <w:szCs w:val="21"/>
                <w:highlight w:val="none"/>
                <w:lang w:val="en-US" w:eastAsia="zh-CN" w:bidi="ar"/>
              </w:rPr>
              <w:t>/</w:t>
            </w:r>
          </w:p>
        </w:tc>
        <w:tc>
          <w:tcPr>
            <w:tcW w:w="1486" w:type="dxa"/>
            <w:vAlign w:val="center"/>
          </w:tcPr>
          <w:p w14:paraId="3AEA984D">
            <w:pPr>
              <w:spacing w:line="30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w:t>
            </w:r>
          </w:p>
        </w:tc>
        <w:tc>
          <w:tcPr>
            <w:tcW w:w="1528" w:type="dxa"/>
            <w:vAlign w:val="center"/>
          </w:tcPr>
          <w:p w14:paraId="06E48A66">
            <w:pPr>
              <w:widowControl/>
              <w:jc w:val="center"/>
              <w:textAlignment w:val="center"/>
              <w:rPr>
                <w:rFonts w:ascii="Times New Roman" w:hAnsi="Times New Roman" w:cs="Times New Roman"/>
                <w:color w:val="auto"/>
                <w:szCs w:val="21"/>
                <w:highlight w:val="none"/>
              </w:rPr>
            </w:pPr>
            <w:r>
              <w:rPr>
                <w:rFonts w:hint="eastAsia" w:ascii="Times New Roman" w:hAnsi="Times New Roman" w:eastAsia="宋体" w:cs="Times New Roman"/>
                <w:bCs/>
                <w:color w:val="auto"/>
                <w:sz w:val="21"/>
                <w:szCs w:val="21"/>
                <w:highlight w:val="none"/>
                <w:lang w:val="en-US" w:eastAsia="zh-CN"/>
              </w:rPr>
              <w:t>0.0006kg/a</w:t>
            </w:r>
          </w:p>
        </w:tc>
        <w:tc>
          <w:tcPr>
            <w:tcW w:w="1472" w:type="dxa"/>
            <w:vAlign w:val="center"/>
          </w:tcPr>
          <w:p w14:paraId="65A69864">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c>
          <w:tcPr>
            <w:tcW w:w="1896" w:type="dxa"/>
            <w:vAlign w:val="center"/>
          </w:tcPr>
          <w:p w14:paraId="19A02315">
            <w:pPr>
              <w:widowControl/>
              <w:jc w:val="center"/>
              <w:textAlignment w:val="center"/>
              <w:rPr>
                <w:rFonts w:ascii="Times New Roman" w:hAnsi="Times New Roman" w:cs="Times New Roman"/>
                <w:color w:val="auto"/>
                <w:szCs w:val="21"/>
                <w:highlight w:val="none"/>
              </w:rPr>
            </w:pPr>
            <w:r>
              <w:rPr>
                <w:rFonts w:hint="eastAsia" w:ascii="Times New Roman" w:hAnsi="Times New Roman" w:eastAsia="宋体" w:cs="Times New Roman"/>
                <w:bCs/>
                <w:color w:val="auto"/>
                <w:sz w:val="21"/>
                <w:szCs w:val="21"/>
                <w:highlight w:val="none"/>
                <w:lang w:val="en-US" w:eastAsia="zh-CN"/>
              </w:rPr>
              <w:t>0.0006kg/a</w:t>
            </w:r>
          </w:p>
        </w:tc>
        <w:tc>
          <w:tcPr>
            <w:tcW w:w="1321" w:type="dxa"/>
            <w:vAlign w:val="center"/>
          </w:tcPr>
          <w:p w14:paraId="2D6B70B6">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r>
      <w:tr w14:paraId="79F8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14:paraId="122D4A70">
            <w:pPr>
              <w:spacing w:line="30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废水（t/a）</w:t>
            </w:r>
          </w:p>
        </w:tc>
        <w:tc>
          <w:tcPr>
            <w:tcW w:w="2155" w:type="dxa"/>
            <w:vAlign w:val="center"/>
          </w:tcPr>
          <w:p w14:paraId="500C3594">
            <w:pPr>
              <w:jc w:val="center"/>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bCs/>
                <w:color w:val="auto"/>
                <w:sz w:val="21"/>
                <w:szCs w:val="21"/>
                <w:highlight w:val="none"/>
                <w:lang w:val="en-US" w:eastAsia="zh-CN"/>
              </w:rPr>
              <w:t>废水量</w:t>
            </w:r>
          </w:p>
        </w:tc>
        <w:tc>
          <w:tcPr>
            <w:tcW w:w="1568" w:type="dxa"/>
            <w:vAlign w:val="center"/>
          </w:tcPr>
          <w:p w14:paraId="0C6C67EC">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cs="Times New Roman"/>
                <w:bCs/>
                <w:color w:val="auto"/>
                <w:sz w:val="21"/>
                <w:szCs w:val="21"/>
                <w:highlight w:val="none"/>
                <w:lang w:val="en-US" w:eastAsia="zh-CN"/>
              </w:rPr>
              <w:t>19759.4234</w:t>
            </w:r>
          </w:p>
        </w:tc>
        <w:tc>
          <w:tcPr>
            <w:tcW w:w="1364" w:type="dxa"/>
            <w:vAlign w:val="center"/>
          </w:tcPr>
          <w:p w14:paraId="323E8A27">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1486" w:type="dxa"/>
            <w:vAlign w:val="center"/>
          </w:tcPr>
          <w:p w14:paraId="61EC2EB6">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w:t>
            </w:r>
          </w:p>
        </w:tc>
        <w:tc>
          <w:tcPr>
            <w:tcW w:w="1528" w:type="dxa"/>
            <w:vAlign w:val="center"/>
          </w:tcPr>
          <w:p w14:paraId="1EAFF1F6">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cs="Times New Roman"/>
                <w:bCs/>
                <w:color w:val="auto"/>
                <w:sz w:val="21"/>
                <w:szCs w:val="21"/>
                <w:highlight w:val="none"/>
                <w:lang w:val="en-US" w:eastAsia="zh-CN"/>
              </w:rPr>
              <w:t>6.81</w:t>
            </w:r>
          </w:p>
        </w:tc>
        <w:tc>
          <w:tcPr>
            <w:tcW w:w="1472" w:type="dxa"/>
            <w:vAlign w:val="center"/>
          </w:tcPr>
          <w:p w14:paraId="652324B3">
            <w:pPr>
              <w:widowControl/>
              <w:jc w:val="center"/>
              <w:textAlignment w:val="center"/>
              <w:rPr>
                <w:rFonts w:ascii="Times New Roman" w:hAnsi="Times New Roman" w:eastAsia="宋体" w:cs="Times New Roman"/>
                <w:color w:val="auto"/>
                <w:kern w:val="0"/>
                <w:szCs w:val="21"/>
                <w:highlight w:val="none"/>
                <w:lang w:bidi="ar"/>
              </w:rPr>
            </w:pPr>
            <w:r>
              <w:rPr>
                <w:rFonts w:hint="eastAsia" w:ascii="Times New Roman" w:hAnsi="Times New Roman" w:cs="Times New Roman"/>
                <w:bCs/>
                <w:color w:val="auto"/>
                <w:sz w:val="21"/>
                <w:szCs w:val="21"/>
                <w:highlight w:val="none"/>
                <w:lang w:val="en-US" w:eastAsia="zh-CN"/>
              </w:rPr>
              <w:t>3.1034</w:t>
            </w:r>
          </w:p>
        </w:tc>
        <w:tc>
          <w:tcPr>
            <w:tcW w:w="1896" w:type="dxa"/>
            <w:vAlign w:val="center"/>
          </w:tcPr>
          <w:p w14:paraId="16CB4D8F">
            <w:pPr>
              <w:jc w:val="center"/>
              <w:rPr>
                <w:rFonts w:hint="eastAsia" w:ascii="Times New Roman" w:hAnsi="Times New Roman" w:eastAsia="宋体" w:cs="Times New Roman"/>
                <w:color w:val="auto"/>
                <w:kern w:val="0"/>
                <w:szCs w:val="21"/>
                <w:highlight w:val="none"/>
                <w:lang w:val="en-US" w:eastAsia="zh-CN" w:bidi="ar"/>
              </w:rPr>
            </w:pPr>
            <w:r>
              <w:rPr>
                <w:rFonts w:hint="default" w:ascii="Times New Roman" w:hAnsi="Times New Roman" w:cs="Times New Roman"/>
                <w:bCs/>
                <w:color w:val="auto"/>
                <w:sz w:val="21"/>
                <w:szCs w:val="21"/>
                <w:highlight w:val="none"/>
                <w:lang w:val="en-US" w:eastAsia="zh-CN"/>
              </w:rPr>
              <w:t>19756.41</w:t>
            </w:r>
          </w:p>
        </w:tc>
        <w:tc>
          <w:tcPr>
            <w:tcW w:w="1321" w:type="dxa"/>
            <w:vAlign w:val="center"/>
          </w:tcPr>
          <w:p w14:paraId="7C21EA06">
            <w:pPr>
              <w:widowControl/>
              <w:jc w:val="center"/>
              <w:textAlignment w:val="center"/>
              <w:rPr>
                <w:rFonts w:hint="eastAsia" w:ascii="Times New Roman" w:hAnsi="Times New Roman" w:eastAsia="宋体" w:cs="Times New Roman"/>
                <w:color w:val="auto"/>
                <w:kern w:val="0"/>
                <w:szCs w:val="21"/>
                <w:highlight w:val="none"/>
                <w:lang w:bidi="ar"/>
              </w:rPr>
            </w:pPr>
            <w:r>
              <w:rPr>
                <w:rFonts w:hint="eastAsia" w:ascii="Times New Roman" w:hAnsi="Times New Roman" w:cs="Times New Roman"/>
                <w:bCs/>
                <w:color w:val="auto"/>
                <w:sz w:val="21"/>
                <w:szCs w:val="21"/>
                <w:highlight w:val="none"/>
                <w:lang w:val="en-US" w:eastAsia="zh-CN"/>
              </w:rPr>
              <w:t>-3.1034</w:t>
            </w:r>
          </w:p>
        </w:tc>
      </w:tr>
      <w:tr w14:paraId="62D1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5BCB80CE">
            <w:pPr>
              <w:spacing w:line="300" w:lineRule="exact"/>
              <w:jc w:val="center"/>
              <w:rPr>
                <w:rFonts w:ascii="Times New Roman" w:hAnsi="Times New Roman" w:cs="Times New Roman"/>
                <w:color w:val="auto"/>
                <w:szCs w:val="21"/>
                <w:highlight w:val="none"/>
              </w:rPr>
            </w:pPr>
          </w:p>
        </w:tc>
        <w:tc>
          <w:tcPr>
            <w:tcW w:w="2155" w:type="dxa"/>
            <w:vAlign w:val="center"/>
          </w:tcPr>
          <w:p w14:paraId="728B7273">
            <w:pPr>
              <w:jc w:val="center"/>
              <w:rPr>
                <w:rFonts w:ascii="Times New Roman" w:hAnsi="Times New Roman" w:cs="Times New Roman"/>
                <w:color w:val="auto"/>
                <w:szCs w:val="21"/>
                <w:highlight w:val="none"/>
              </w:rPr>
            </w:pPr>
            <w:r>
              <w:rPr>
                <w:rFonts w:ascii="Times New Roman" w:hAnsi="Times New Roman" w:cs="Times New Roman"/>
                <w:bCs/>
                <w:color w:val="auto"/>
                <w:sz w:val="21"/>
                <w:szCs w:val="21"/>
                <w:highlight w:val="none"/>
              </w:rPr>
              <w:t>COD</w:t>
            </w:r>
          </w:p>
        </w:tc>
        <w:tc>
          <w:tcPr>
            <w:tcW w:w="1568" w:type="dxa"/>
            <w:vAlign w:val="center"/>
          </w:tcPr>
          <w:p w14:paraId="796C4502">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0.9880</w:t>
            </w:r>
          </w:p>
        </w:tc>
        <w:tc>
          <w:tcPr>
            <w:tcW w:w="1364" w:type="dxa"/>
            <w:vAlign w:val="center"/>
          </w:tcPr>
          <w:p w14:paraId="7620C1FA">
            <w:pPr>
              <w:widowControl/>
              <w:jc w:val="center"/>
              <w:textAlignment w:val="center"/>
              <w:rPr>
                <w:rFonts w:ascii="Times New Roman" w:hAnsi="Times New Roman" w:cs="Times New Roman"/>
                <w:color w:val="auto"/>
                <w:szCs w:val="21"/>
                <w:highlight w:val="none"/>
              </w:rPr>
            </w:pPr>
            <w:r>
              <w:rPr>
                <w:rFonts w:hint="eastAsia" w:ascii="Times New Roman" w:hAnsi="Times New Roman" w:eastAsia="宋体" w:cs="Times New Roman"/>
                <w:color w:val="auto"/>
                <w:kern w:val="0"/>
                <w:szCs w:val="21"/>
                <w:highlight w:val="none"/>
                <w:lang w:val="en-US" w:eastAsia="zh-CN" w:bidi="ar"/>
              </w:rPr>
              <w:t>/</w:t>
            </w:r>
          </w:p>
        </w:tc>
        <w:tc>
          <w:tcPr>
            <w:tcW w:w="1486" w:type="dxa"/>
            <w:vAlign w:val="center"/>
          </w:tcPr>
          <w:p w14:paraId="4DAE2B36">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w:t>
            </w:r>
          </w:p>
        </w:tc>
        <w:tc>
          <w:tcPr>
            <w:tcW w:w="1528" w:type="dxa"/>
            <w:vAlign w:val="center"/>
          </w:tcPr>
          <w:p w14:paraId="166599EB">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0.000341</w:t>
            </w:r>
          </w:p>
        </w:tc>
        <w:tc>
          <w:tcPr>
            <w:tcW w:w="1472" w:type="dxa"/>
            <w:vAlign w:val="center"/>
          </w:tcPr>
          <w:p w14:paraId="2C832885">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0.000155</w:t>
            </w:r>
          </w:p>
        </w:tc>
        <w:tc>
          <w:tcPr>
            <w:tcW w:w="1896" w:type="dxa"/>
            <w:vAlign w:val="center"/>
          </w:tcPr>
          <w:p w14:paraId="0483F4E9">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0.9878</w:t>
            </w:r>
          </w:p>
        </w:tc>
        <w:tc>
          <w:tcPr>
            <w:tcW w:w="1321" w:type="dxa"/>
            <w:vAlign w:val="center"/>
          </w:tcPr>
          <w:p w14:paraId="67ADB941">
            <w:pPr>
              <w:keepNext w:val="0"/>
              <w:keepLines w:val="0"/>
              <w:widowControl/>
              <w:suppressLineNumbers w:val="0"/>
              <w:jc w:val="center"/>
              <w:textAlignment w:val="center"/>
              <w:rPr>
                <w:rFonts w:ascii="Times New Roman" w:hAnsi="Times New Roman" w:cs="Times New Roman"/>
                <w:color w:val="auto"/>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0.000155</w:t>
            </w:r>
          </w:p>
        </w:tc>
      </w:tr>
      <w:tr w14:paraId="0572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0DF152F5">
            <w:pPr>
              <w:spacing w:line="300" w:lineRule="exact"/>
              <w:jc w:val="center"/>
              <w:rPr>
                <w:rFonts w:ascii="Times New Roman" w:hAnsi="Times New Roman" w:cs="Times New Roman"/>
                <w:color w:val="auto"/>
                <w:szCs w:val="21"/>
                <w:highlight w:val="none"/>
              </w:rPr>
            </w:pPr>
          </w:p>
        </w:tc>
        <w:tc>
          <w:tcPr>
            <w:tcW w:w="2155" w:type="dxa"/>
            <w:vAlign w:val="center"/>
          </w:tcPr>
          <w:p w14:paraId="4EDD2622">
            <w:pPr>
              <w:jc w:val="center"/>
              <w:rPr>
                <w:rFonts w:ascii="Times New Roman" w:hAnsi="Times New Roman" w:cs="Times New Roman"/>
                <w:color w:val="auto"/>
                <w:szCs w:val="21"/>
                <w:highlight w:val="none"/>
              </w:rPr>
            </w:pPr>
            <w:r>
              <w:rPr>
                <w:rFonts w:ascii="Times New Roman" w:hAnsi="Times New Roman" w:cs="Times New Roman"/>
                <w:bCs/>
                <w:color w:val="auto"/>
                <w:sz w:val="21"/>
                <w:szCs w:val="21"/>
                <w:highlight w:val="none"/>
              </w:rPr>
              <w:t>NH</w:t>
            </w:r>
            <w:r>
              <w:rPr>
                <w:rFonts w:ascii="Times New Roman" w:hAnsi="Times New Roman" w:cs="Times New Roman"/>
                <w:bCs/>
                <w:color w:val="auto"/>
                <w:sz w:val="21"/>
                <w:szCs w:val="21"/>
                <w:highlight w:val="none"/>
                <w:vertAlign w:val="subscript"/>
              </w:rPr>
              <w:t>3</w:t>
            </w:r>
            <w:r>
              <w:rPr>
                <w:rFonts w:ascii="Times New Roman" w:hAnsi="Times New Roman" w:cs="Times New Roman"/>
                <w:bCs/>
                <w:color w:val="auto"/>
                <w:sz w:val="21"/>
                <w:szCs w:val="21"/>
                <w:highlight w:val="none"/>
              </w:rPr>
              <w:t>-N</w:t>
            </w:r>
          </w:p>
        </w:tc>
        <w:tc>
          <w:tcPr>
            <w:tcW w:w="1568" w:type="dxa"/>
            <w:vAlign w:val="center"/>
          </w:tcPr>
          <w:p w14:paraId="647E99BA">
            <w:pPr>
              <w:keepNext w:val="0"/>
              <w:keepLines w:val="0"/>
              <w:widowControl/>
              <w:suppressLineNumbers w:val="0"/>
              <w:jc w:val="center"/>
              <w:textAlignment w:val="center"/>
              <w:rPr>
                <w:rFonts w:hint="default" w:ascii="Times New Roman" w:hAnsi="Times New Roman" w:cs="Times New Roman"/>
                <w:color w:val="auto"/>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0.0988</w:t>
            </w:r>
          </w:p>
        </w:tc>
        <w:tc>
          <w:tcPr>
            <w:tcW w:w="1364" w:type="dxa"/>
            <w:vAlign w:val="center"/>
          </w:tcPr>
          <w:p w14:paraId="44D0214C">
            <w:pPr>
              <w:widowControl/>
              <w:jc w:val="center"/>
              <w:textAlignment w:val="center"/>
              <w:rPr>
                <w:rFonts w:ascii="Times New Roman" w:hAnsi="Times New Roman" w:cs="Times New Roman"/>
                <w:color w:val="auto"/>
                <w:szCs w:val="21"/>
                <w:highlight w:val="none"/>
              </w:rPr>
            </w:pPr>
            <w:r>
              <w:rPr>
                <w:rFonts w:hint="eastAsia" w:ascii="Times New Roman" w:hAnsi="Times New Roman" w:eastAsia="宋体" w:cs="Times New Roman"/>
                <w:color w:val="auto"/>
                <w:kern w:val="0"/>
                <w:szCs w:val="21"/>
                <w:highlight w:val="none"/>
                <w:lang w:val="en-US" w:eastAsia="zh-CN" w:bidi="ar"/>
              </w:rPr>
              <w:t>/</w:t>
            </w:r>
          </w:p>
        </w:tc>
        <w:tc>
          <w:tcPr>
            <w:tcW w:w="1486" w:type="dxa"/>
            <w:vAlign w:val="center"/>
          </w:tcPr>
          <w:p w14:paraId="30419FBD">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w:t>
            </w:r>
          </w:p>
        </w:tc>
        <w:tc>
          <w:tcPr>
            <w:tcW w:w="1528" w:type="dxa"/>
            <w:vAlign w:val="center"/>
          </w:tcPr>
          <w:p w14:paraId="60F8AF01">
            <w:pPr>
              <w:keepNext w:val="0"/>
              <w:keepLines w:val="0"/>
              <w:widowControl/>
              <w:suppressLineNumbers w:val="0"/>
              <w:jc w:val="center"/>
              <w:textAlignment w:val="center"/>
              <w:rPr>
                <w:rFonts w:hint="default" w:ascii="Times New Roman" w:hAnsi="Times New Roman" w:cs="Times New Roman"/>
                <w:color w:val="auto"/>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0.000034</w:t>
            </w:r>
          </w:p>
        </w:tc>
        <w:tc>
          <w:tcPr>
            <w:tcW w:w="1472" w:type="dxa"/>
            <w:vAlign w:val="center"/>
          </w:tcPr>
          <w:p w14:paraId="38529383">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0.000016</w:t>
            </w:r>
          </w:p>
        </w:tc>
        <w:tc>
          <w:tcPr>
            <w:tcW w:w="1896" w:type="dxa"/>
            <w:vAlign w:val="center"/>
          </w:tcPr>
          <w:p w14:paraId="6057515A">
            <w:pPr>
              <w:keepNext w:val="0"/>
              <w:keepLines w:val="0"/>
              <w:widowControl/>
              <w:suppressLineNumbers w:val="0"/>
              <w:jc w:val="center"/>
              <w:textAlignment w:val="center"/>
              <w:rPr>
                <w:rFonts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0.0988</w:t>
            </w:r>
          </w:p>
        </w:tc>
        <w:tc>
          <w:tcPr>
            <w:tcW w:w="1321" w:type="dxa"/>
            <w:vAlign w:val="center"/>
          </w:tcPr>
          <w:p w14:paraId="6FECD012">
            <w:pPr>
              <w:keepNext w:val="0"/>
              <w:keepLines w:val="0"/>
              <w:widowControl/>
              <w:suppressLineNumbers w:val="0"/>
              <w:jc w:val="center"/>
              <w:textAlignment w:val="center"/>
              <w:rPr>
                <w:rFonts w:hint="default" w:ascii="Times New Roman" w:hAnsi="Times New Roman" w:cs="Times New Roman"/>
                <w:color w:val="auto"/>
                <w:szCs w:val="21"/>
                <w:highlight w:val="none"/>
                <w:lang w:val="en-US"/>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0.000016</w:t>
            </w:r>
          </w:p>
        </w:tc>
      </w:tr>
      <w:tr w14:paraId="43DC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2B6D991D">
            <w:pPr>
              <w:spacing w:line="300" w:lineRule="exact"/>
              <w:jc w:val="center"/>
              <w:rPr>
                <w:rFonts w:ascii="Times New Roman" w:hAnsi="Times New Roman" w:cs="Times New Roman"/>
                <w:color w:val="auto"/>
                <w:szCs w:val="21"/>
                <w:highlight w:val="none"/>
              </w:rPr>
            </w:pPr>
          </w:p>
        </w:tc>
        <w:tc>
          <w:tcPr>
            <w:tcW w:w="2155" w:type="dxa"/>
            <w:vAlign w:val="center"/>
          </w:tcPr>
          <w:p w14:paraId="564E8394">
            <w:pPr>
              <w:jc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TP</w:t>
            </w:r>
          </w:p>
        </w:tc>
        <w:tc>
          <w:tcPr>
            <w:tcW w:w="1568" w:type="dxa"/>
            <w:vAlign w:val="center"/>
          </w:tcPr>
          <w:p w14:paraId="383B50CA">
            <w:pPr>
              <w:keepNext w:val="0"/>
              <w:keepLines w:val="0"/>
              <w:widowControl/>
              <w:suppressLineNumbers w:val="0"/>
              <w:jc w:val="center"/>
              <w:textAlignment w:val="center"/>
              <w:rPr>
                <w:rFonts w:hint="eastAsia"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0.0099</w:t>
            </w:r>
          </w:p>
        </w:tc>
        <w:tc>
          <w:tcPr>
            <w:tcW w:w="1364" w:type="dxa"/>
            <w:vAlign w:val="center"/>
          </w:tcPr>
          <w:p w14:paraId="7D4B3654">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1486" w:type="dxa"/>
            <w:vAlign w:val="center"/>
          </w:tcPr>
          <w:p w14:paraId="522A37E0">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w:t>
            </w:r>
          </w:p>
        </w:tc>
        <w:tc>
          <w:tcPr>
            <w:tcW w:w="1528" w:type="dxa"/>
            <w:vAlign w:val="center"/>
          </w:tcPr>
          <w:p w14:paraId="467D5842">
            <w:pPr>
              <w:keepNext w:val="0"/>
              <w:keepLines w:val="0"/>
              <w:widowControl/>
              <w:suppressLineNumbers w:val="0"/>
              <w:jc w:val="center"/>
              <w:textAlignment w:val="center"/>
              <w:rPr>
                <w:rFonts w:hint="eastAsia"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0.000003</w:t>
            </w:r>
          </w:p>
        </w:tc>
        <w:tc>
          <w:tcPr>
            <w:tcW w:w="1472" w:type="dxa"/>
            <w:vAlign w:val="center"/>
          </w:tcPr>
          <w:p w14:paraId="38D221D0">
            <w:pPr>
              <w:keepNext w:val="0"/>
              <w:keepLines w:val="0"/>
              <w:widowControl/>
              <w:suppressLineNumbers w:val="0"/>
              <w:jc w:val="center"/>
              <w:textAlignment w:val="center"/>
              <w:rPr>
                <w:rFonts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0.000002</w:t>
            </w:r>
          </w:p>
        </w:tc>
        <w:tc>
          <w:tcPr>
            <w:tcW w:w="1896" w:type="dxa"/>
            <w:vAlign w:val="center"/>
          </w:tcPr>
          <w:p w14:paraId="51746E4C">
            <w:pPr>
              <w:keepNext w:val="0"/>
              <w:keepLines w:val="0"/>
              <w:widowControl/>
              <w:suppressLineNumbers w:val="0"/>
              <w:jc w:val="center"/>
              <w:textAlignment w:val="center"/>
              <w:rPr>
                <w:rFonts w:hint="eastAsia"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0.0099</w:t>
            </w:r>
          </w:p>
        </w:tc>
        <w:tc>
          <w:tcPr>
            <w:tcW w:w="1321" w:type="dxa"/>
            <w:vAlign w:val="center"/>
          </w:tcPr>
          <w:p w14:paraId="428485FF">
            <w:pPr>
              <w:keepNext w:val="0"/>
              <w:keepLines w:val="0"/>
              <w:widowControl/>
              <w:suppressLineNumbers w:val="0"/>
              <w:jc w:val="center"/>
              <w:textAlignment w:val="center"/>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0.000002</w:t>
            </w:r>
          </w:p>
        </w:tc>
      </w:tr>
      <w:tr w14:paraId="231E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14:paraId="4E0FB79E">
            <w:pPr>
              <w:spacing w:line="30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一般工业固体废物（t/a）</w:t>
            </w:r>
          </w:p>
        </w:tc>
        <w:tc>
          <w:tcPr>
            <w:tcW w:w="2155" w:type="dxa"/>
            <w:vAlign w:val="center"/>
          </w:tcPr>
          <w:p w14:paraId="05110CF8">
            <w:pPr>
              <w:jc w:val="center"/>
              <w:rPr>
                <w:rFonts w:ascii="Times New Roman" w:hAnsi="Times New Roman" w:cs="Times New Roman"/>
                <w:color w:val="auto"/>
                <w:szCs w:val="21"/>
                <w:highlight w:val="none"/>
              </w:rPr>
            </w:pPr>
            <w:r>
              <w:rPr>
                <w:rFonts w:ascii="Times New Roman" w:hAnsi="Times New Roman" w:cs="Times New Roman"/>
                <w:bCs/>
                <w:color w:val="auto"/>
                <w:sz w:val="21"/>
                <w:szCs w:val="21"/>
                <w:highlight w:val="none"/>
              </w:rPr>
              <w:t>生活垃圾</w:t>
            </w:r>
          </w:p>
        </w:tc>
        <w:tc>
          <w:tcPr>
            <w:tcW w:w="1568" w:type="dxa"/>
            <w:vAlign w:val="center"/>
          </w:tcPr>
          <w:p w14:paraId="103BB8D0">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szCs w:val="21"/>
                <w:lang w:val="en-US" w:eastAsia="zh-CN"/>
              </w:rPr>
              <w:t>76</w:t>
            </w:r>
          </w:p>
        </w:tc>
        <w:tc>
          <w:tcPr>
            <w:tcW w:w="1364" w:type="dxa"/>
            <w:vAlign w:val="center"/>
          </w:tcPr>
          <w:p w14:paraId="681ED70E">
            <w:pPr>
              <w:spacing w:line="300" w:lineRule="exact"/>
              <w:jc w:val="center"/>
              <w:rPr>
                <w:rFonts w:ascii="Times New Roman" w:hAnsi="Times New Roman" w:cs="Times New Roman"/>
                <w:color w:val="auto"/>
                <w:szCs w:val="21"/>
                <w:highlight w:val="none"/>
              </w:rPr>
            </w:pPr>
            <w:r>
              <w:rPr>
                <w:rFonts w:hint="eastAsia" w:ascii="Times New Roman" w:hAnsi="Times New Roman" w:eastAsia="宋体" w:cs="Times New Roman"/>
                <w:color w:val="auto"/>
                <w:kern w:val="0"/>
                <w:szCs w:val="21"/>
                <w:highlight w:val="none"/>
                <w:lang w:val="en-US" w:eastAsia="zh-CN" w:bidi="ar"/>
              </w:rPr>
              <w:t>/</w:t>
            </w:r>
          </w:p>
        </w:tc>
        <w:tc>
          <w:tcPr>
            <w:tcW w:w="1486" w:type="dxa"/>
            <w:vAlign w:val="center"/>
          </w:tcPr>
          <w:p w14:paraId="38D73AE2">
            <w:pPr>
              <w:spacing w:line="30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w:t>
            </w:r>
          </w:p>
        </w:tc>
        <w:tc>
          <w:tcPr>
            <w:tcW w:w="1528" w:type="dxa"/>
            <w:vAlign w:val="center"/>
          </w:tcPr>
          <w:p w14:paraId="0076EB31">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c>
          <w:tcPr>
            <w:tcW w:w="1472" w:type="dxa"/>
            <w:vAlign w:val="center"/>
          </w:tcPr>
          <w:p w14:paraId="4A3FA776">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c>
          <w:tcPr>
            <w:tcW w:w="1896" w:type="dxa"/>
            <w:vAlign w:val="center"/>
          </w:tcPr>
          <w:p w14:paraId="0BEA1A5B">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szCs w:val="21"/>
                <w:lang w:val="en-US" w:eastAsia="zh-CN"/>
              </w:rPr>
              <w:t>76</w:t>
            </w:r>
          </w:p>
        </w:tc>
        <w:tc>
          <w:tcPr>
            <w:tcW w:w="1321" w:type="dxa"/>
            <w:vAlign w:val="center"/>
          </w:tcPr>
          <w:p w14:paraId="37817113">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r>
      <w:tr w14:paraId="578A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4DA5D364">
            <w:pPr>
              <w:spacing w:line="300" w:lineRule="exact"/>
              <w:jc w:val="center"/>
              <w:rPr>
                <w:rFonts w:ascii="Times New Roman" w:hAnsi="Times New Roman" w:cs="Times New Roman"/>
                <w:color w:val="auto"/>
                <w:szCs w:val="21"/>
                <w:highlight w:val="none"/>
              </w:rPr>
            </w:pPr>
          </w:p>
        </w:tc>
        <w:tc>
          <w:tcPr>
            <w:tcW w:w="2155" w:type="dxa"/>
            <w:vAlign w:val="center"/>
          </w:tcPr>
          <w:p w14:paraId="2751318B">
            <w:pPr>
              <w:jc w:val="center"/>
              <w:rPr>
                <w:rFonts w:hint="eastAsia" w:ascii="Times New Roman" w:hAnsi="Times New Roman" w:cs="Times New Roman" w:eastAsiaTheme="minorEastAsia"/>
                <w:color w:val="auto"/>
                <w:szCs w:val="21"/>
                <w:highlight w:val="none"/>
                <w:lang w:eastAsia="zh-CN"/>
              </w:rPr>
            </w:pPr>
            <w:r>
              <w:rPr>
                <w:rFonts w:hint="eastAsia" w:ascii="Times New Roman" w:hAnsi="Times New Roman" w:eastAsia="宋体" w:cs="Times New Roman"/>
                <w:color w:val="auto"/>
                <w:szCs w:val="21"/>
                <w:lang w:val="en-US" w:eastAsia="zh-CN"/>
              </w:rPr>
              <w:t>食堂餐厨垃圾</w:t>
            </w:r>
          </w:p>
        </w:tc>
        <w:tc>
          <w:tcPr>
            <w:tcW w:w="1568" w:type="dxa"/>
            <w:vAlign w:val="center"/>
          </w:tcPr>
          <w:p w14:paraId="16FCFFCE">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szCs w:val="21"/>
                <w:lang w:val="en-US" w:eastAsia="zh-CN"/>
              </w:rPr>
              <w:t>15</w:t>
            </w:r>
          </w:p>
        </w:tc>
        <w:tc>
          <w:tcPr>
            <w:tcW w:w="1364" w:type="dxa"/>
            <w:vAlign w:val="center"/>
          </w:tcPr>
          <w:p w14:paraId="1E97E5CF">
            <w:pPr>
              <w:spacing w:line="300" w:lineRule="exact"/>
              <w:jc w:val="center"/>
              <w:rPr>
                <w:rFonts w:ascii="Times New Roman" w:hAnsi="Times New Roman" w:cs="Times New Roman"/>
                <w:color w:val="auto"/>
                <w:szCs w:val="21"/>
                <w:highlight w:val="none"/>
              </w:rPr>
            </w:pPr>
            <w:r>
              <w:rPr>
                <w:rFonts w:hint="eastAsia" w:ascii="Times New Roman" w:hAnsi="Times New Roman" w:eastAsia="宋体" w:cs="Times New Roman"/>
                <w:color w:val="auto"/>
                <w:kern w:val="0"/>
                <w:szCs w:val="21"/>
                <w:highlight w:val="none"/>
                <w:lang w:val="en-US" w:eastAsia="zh-CN" w:bidi="ar"/>
              </w:rPr>
              <w:t>/</w:t>
            </w:r>
          </w:p>
        </w:tc>
        <w:tc>
          <w:tcPr>
            <w:tcW w:w="1486" w:type="dxa"/>
            <w:vAlign w:val="center"/>
          </w:tcPr>
          <w:p w14:paraId="10E865B5">
            <w:pPr>
              <w:spacing w:line="30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w:t>
            </w:r>
          </w:p>
        </w:tc>
        <w:tc>
          <w:tcPr>
            <w:tcW w:w="1528" w:type="dxa"/>
            <w:vAlign w:val="center"/>
          </w:tcPr>
          <w:p w14:paraId="34DB6A3C">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c>
          <w:tcPr>
            <w:tcW w:w="1472" w:type="dxa"/>
            <w:vAlign w:val="center"/>
          </w:tcPr>
          <w:p w14:paraId="15DC5A54">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c>
          <w:tcPr>
            <w:tcW w:w="1896" w:type="dxa"/>
            <w:vAlign w:val="center"/>
          </w:tcPr>
          <w:p w14:paraId="2B2A7478">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szCs w:val="21"/>
                <w:lang w:val="en-US" w:eastAsia="zh-CN"/>
              </w:rPr>
              <w:t>15</w:t>
            </w:r>
          </w:p>
        </w:tc>
        <w:tc>
          <w:tcPr>
            <w:tcW w:w="1321" w:type="dxa"/>
            <w:vAlign w:val="center"/>
          </w:tcPr>
          <w:p w14:paraId="36899E27">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r>
      <w:tr w14:paraId="7E55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23051808">
            <w:pPr>
              <w:spacing w:line="300" w:lineRule="exact"/>
              <w:jc w:val="center"/>
              <w:rPr>
                <w:rFonts w:ascii="Times New Roman" w:hAnsi="Times New Roman" w:cs="Times New Roman"/>
                <w:color w:val="auto"/>
                <w:szCs w:val="21"/>
                <w:highlight w:val="none"/>
              </w:rPr>
            </w:pPr>
          </w:p>
        </w:tc>
        <w:tc>
          <w:tcPr>
            <w:tcW w:w="2155" w:type="dxa"/>
            <w:vAlign w:val="center"/>
          </w:tcPr>
          <w:p w14:paraId="4624B8EC">
            <w:pPr>
              <w:jc w:val="center"/>
              <w:rPr>
                <w:rFonts w:hint="eastAsia" w:ascii="Times New Roman" w:hAnsi="Times New Roman" w:cs="Times New Roman" w:eastAsiaTheme="minorEastAsia"/>
                <w:color w:val="auto"/>
                <w:szCs w:val="21"/>
                <w:highlight w:val="none"/>
                <w:lang w:eastAsia="zh-CN"/>
              </w:rPr>
            </w:pPr>
            <w:r>
              <w:rPr>
                <w:rFonts w:hint="eastAsia" w:ascii="Times New Roman" w:hAnsi="Times New Roman" w:cs="Times New Roman"/>
                <w:color w:val="auto"/>
                <w:szCs w:val="21"/>
                <w:highlight w:val="none"/>
                <w:lang w:val="en-US" w:eastAsia="zh-CN"/>
              </w:rPr>
              <w:t>预处理池污泥</w:t>
            </w:r>
          </w:p>
        </w:tc>
        <w:tc>
          <w:tcPr>
            <w:tcW w:w="1568" w:type="dxa"/>
            <w:vAlign w:val="center"/>
          </w:tcPr>
          <w:p w14:paraId="70C50985">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szCs w:val="21"/>
                <w:lang w:val="en-US" w:eastAsia="zh-CN"/>
              </w:rPr>
              <w:t>1</w:t>
            </w:r>
          </w:p>
        </w:tc>
        <w:tc>
          <w:tcPr>
            <w:tcW w:w="1364" w:type="dxa"/>
            <w:vAlign w:val="center"/>
          </w:tcPr>
          <w:p w14:paraId="011F2852">
            <w:pPr>
              <w:spacing w:line="300" w:lineRule="exact"/>
              <w:jc w:val="center"/>
              <w:rPr>
                <w:rFonts w:hint="eastAsia" w:ascii="Times New Roman" w:hAnsi="Times New Roman" w:eastAsia="宋体" w:cs="Times New Roman"/>
                <w:color w:val="auto"/>
                <w:kern w:val="0"/>
                <w:szCs w:val="21"/>
                <w:highlight w:val="none"/>
                <w:lang w:val="en-US" w:eastAsia="zh-CN" w:bidi="ar"/>
              </w:rPr>
            </w:pPr>
          </w:p>
        </w:tc>
        <w:tc>
          <w:tcPr>
            <w:tcW w:w="1486" w:type="dxa"/>
            <w:vAlign w:val="center"/>
          </w:tcPr>
          <w:p w14:paraId="451858F6">
            <w:pPr>
              <w:spacing w:line="300" w:lineRule="exact"/>
              <w:jc w:val="center"/>
              <w:rPr>
                <w:rFonts w:hint="eastAsia" w:ascii="Times New Roman" w:hAnsi="Times New Roman" w:cs="Times New Roman"/>
                <w:color w:val="auto"/>
                <w:szCs w:val="21"/>
                <w:highlight w:val="none"/>
                <w:lang w:val="en-US" w:eastAsia="zh-CN"/>
              </w:rPr>
            </w:pPr>
          </w:p>
        </w:tc>
        <w:tc>
          <w:tcPr>
            <w:tcW w:w="1528" w:type="dxa"/>
            <w:vAlign w:val="center"/>
          </w:tcPr>
          <w:p w14:paraId="2D169C8B">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c>
          <w:tcPr>
            <w:tcW w:w="1472" w:type="dxa"/>
            <w:vAlign w:val="center"/>
          </w:tcPr>
          <w:p w14:paraId="58EEF4CC">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c>
          <w:tcPr>
            <w:tcW w:w="1896" w:type="dxa"/>
            <w:vAlign w:val="center"/>
          </w:tcPr>
          <w:p w14:paraId="50D28656">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szCs w:val="21"/>
                <w:lang w:val="en-US" w:eastAsia="zh-CN"/>
              </w:rPr>
              <w:t>1</w:t>
            </w:r>
          </w:p>
        </w:tc>
        <w:tc>
          <w:tcPr>
            <w:tcW w:w="1321" w:type="dxa"/>
            <w:vAlign w:val="center"/>
          </w:tcPr>
          <w:p w14:paraId="40C95C57">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r>
      <w:tr w14:paraId="69B1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2E6C6916">
            <w:pPr>
              <w:spacing w:line="300" w:lineRule="exact"/>
              <w:jc w:val="center"/>
              <w:rPr>
                <w:rFonts w:ascii="Times New Roman" w:hAnsi="Times New Roman" w:cs="Times New Roman"/>
                <w:color w:val="auto"/>
                <w:szCs w:val="21"/>
                <w:highlight w:val="none"/>
              </w:rPr>
            </w:pPr>
          </w:p>
        </w:tc>
        <w:tc>
          <w:tcPr>
            <w:tcW w:w="2155" w:type="dxa"/>
            <w:vAlign w:val="center"/>
          </w:tcPr>
          <w:p w14:paraId="2CAF1EA5">
            <w:pPr>
              <w:jc w:val="center"/>
              <w:rPr>
                <w:rFonts w:hint="eastAsia" w:ascii="Times New Roman" w:hAnsi="Times New Roman" w:cs="Times New Roman" w:eastAsiaTheme="minorEastAsia"/>
                <w:color w:val="auto"/>
                <w:szCs w:val="21"/>
                <w:highlight w:val="none"/>
                <w:lang w:eastAsia="zh-CN"/>
              </w:rPr>
            </w:pPr>
            <w:r>
              <w:rPr>
                <w:rFonts w:hint="eastAsia" w:ascii="Times New Roman" w:hAnsi="Times New Roman" w:cs="Times New Roman"/>
                <w:color w:val="auto"/>
                <w:szCs w:val="21"/>
                <w:highlight w:val="none"/>
                <w:lang w:val="en-US" w:eastAsia="zh-CN"/>
              </w:rPr>
              <w:t>实验室固体废物</w:t>
            </w:r>
          </w:p>
        </w:tc>
        <w:tc>
          <w:tcPr>
            <w:tcW w:w="1568" w:type="dxa"/>
            <w:vAlign w:val="center"/>
          </w:tcPr>
          <w:p w14:paraId="70AB6B16">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szCs w:val="21"/>
                <w:lang w:val="en-US" w:eastAsia="zh-CN"/>
              </w:rPr>
              <w:t>0.05</w:t>
            </w:r>
          </w:p>
        </w:tc>
        <w:tc>
          <w:tcPr>
            <w:tcW w:w="1364" w:type="dxa"/>
            <w:vAlign w:val="center"/>
          </w:tcPr>
          <w:p w14:paraId="624877DE">
            <w:pPr>
              <w:spacing w:line="300" w:lineRule="exact"/>
              <w:jc w:val="center"/>
              <w:rPr>
                <w:rFonts w:hint="eastAsia" w:ascii="Times New Roman" w:hAnsi="Times New Roman" w:eastAsia="宋体" w:cs="Times New Roman"/>
                <w:color w:val="auto"/>
                <w:kern w:val="0"/>
                <w:szCs w:val="21"/>
                <w:highlight w:val="none"/>
                <w:lang w:val="en-US" w:eastAsia="zh-CN" w:bidi="ar"/>
              </w:rPr>
            </w:pPr>
          </w:p>
        </w:tc>
        <w:tc>
          <w:tcPr>
            <w:tcW w:w="1486" w:type="dxa"/>
            <w:vAlign w:val="center"/>
          </w:tcPr>
          <w:p w14:paraId="03372A90">
            <w:pPr>
              <w:spacing w:line="300" w:lineRule="exact"/>
              <w:jc w:val="center"/>
              <w:rPr>
                <w:rFonts w:hint="eastAsia" w:ascii="Times New Roman" w:hAnsi="Times New Roman" w:cs="Times New Roman"/>
                <w:color w:val="auto"/>
                <w:szCs w:val="21"/>
                <w:highlight w:val="none"/>
                <w:lang w:val="en-US" w:eastAsia="zh-CN"/>
              </w:rPr>
            </w:pPr>
          </w:p>
        </w:tc>
        <w:tc>
          <w:tcPr>
            <w:tcW w:w="1528" w:type="dxa"/>
            <w:vAlign w:val="center"/>
          </w:tcPr>
          <w:p w14:paraId="0924F891">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0.05</w:t>
            </w:r>
          </w:p>
        </w:tc>
        <w:tc>
          <w:tcPr>
            <w:tcW w:w="1472" w:type="dxa"/>
            <w:vAlign w:val="center"/>
          </w:tcPr>
          <w:p w14:paraId="29665BBD">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c>
          <w:tcPr>
            <w:tcW w:w="1896" w:type="dxa"/>
            <w:vAlign w:val="center"/>
          </w:tcPr>
          <w:p w14:paraId="2D7939C7">
            <w:pPr>
              <w:jc w:val="center"/>
              <w:rPr>
                <w:rFonts w:ascii="Times New Roman" w:hAnsi="Times New Roman" w:cs="Times New Roman"/>
                <w:color w:val="auto"/>
                <w:szCs w:val="21"/>
                <w:highlight w:val="none"/>
              </w:rPr>
            </w:pPr>
            <w:r>
              <w:rPr>
                <w:rFonts w:hint="eastAsia" w:ascii="Times New Roman" w:hAnsi="Times New Roman" w:cs="Times New Roman"/>
                <w:color w:val="auto"/>
                <w:sz w:val="21"/>
                <w:szCs w:val="21"/>
                <w:highlight w:val="none"/>
                <w:lang w:val="en-US" w:eastAsia="zh-CN"/>
              </w:rPr>
              <w:t>0.05</w:t>
            </w:r>
          </w:p>
        </w:tc>
        <w:tc>
          <w:tcPr>
            <w:tcW w:w="1321" w:type="dxa"/>
            <w:vAlign w:val="center"/>
          </w:tcPr>
          <w:p w14:paraId="4EE49FE3">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r>
      <w:tr w14:paraId="7F6D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14:paraId="4B24D3A3">
            <w:pPr>
              <w:spacing w:line="30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危险废物（t/a）</w:t>
            </w:r>
          </w:p>
        </w:tc>
        <w:tc>
          <w:tcPr>
            <w:tcW w:w="2155" w:type="dxa"/>
            <w:vAlign w:val="center"/>
          </w:tcPr>
          <w:p w14:paraId="5D5C2000">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sz w:val="21"/>
                <w:szCs w:val="21"/>
                <w:lang w:val="en-US" w:eastAsia="zh-CN"/>
              </w:rPr>
              <w:t>实验废液</w:t>
            </w:r>
          </w:p>
        </w:tc>
        <w:tc>
          <w:tcPr>
            <w:tcW w:w="1568" w:type="dxa"/>
            <w:vAlign w:val="center"/>
          </w:tcPr>
          <w:p w14:paraId="0884BF68">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bCs/>
                <w:color w:val="auto"/>
                <w:sz w:val="21"/>
                <w:szCs w:val="21"/>
                <w:highlight w:val="none"/>
                <w:lang w:val="en-US" w:eastAsia="zh-CN"/>
              </w:rPr>
              <w:t>3.0134</w:t>
            </w:r>
          </w:p>
        </w:tc>
        <w:tc>
          <w:tcPr>
            <w:tcW w:w="1364" w:type="dxa"/>
            <w:vAlign w:val="center"/>
          </w:tcPr>
          <w:p w14:paraId="7AF20F83">
            <w:pPr>
              <w:spacing w:line="300" w:lineRule="exact"/>
              <w:jc w:val="center"/>
              <w:rPr>
                <w:rFonts w:ascii="Times New Roman" w:hAnsi="Times New Roman" w:cs="Times New Roman"/>
                <w:color w:val="auto"/>
                <w:szCs w:val="21"/>
                <w:highlight w:val="none"/>
              </w:rPr>
            </w:pPr>
            <w:r>
              <w:rPr>
                <w:rFonts w:hint="eastAsia" w:ascii="Times New Roman" w:hAnsi="Times New Roman" w:eastAsia="宋体" w:cs="Times New Roman"/>
                <w:color w:val="auto"/>
                <w:kern w:val="0"/>
                <w:szCs w:val="21"/>
                <w:highlight w:val="none"/>
                <w:lang w:val="en-US" w:eastAsia="zh-CN" w:bidi="ar"/>
              </w:rPr>
              <w:t>/</w:t>
            </w:r>
          </w:p>
        </w:tc>
        <w:tc>
          <w:tcPr>
            <w:tcW w:w="1486" w:type="dxa"/>
            <w:vAlign w:val="center"/>
          </w:tcPr>
          <w:p w14:paraId="4B3F0BFD">
            <w:pPr>
              <w:spacing w:line="30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w:t>
            </w:r>
          </w:p>
        </w:tc>
        <w:tc>
          <w:tcPr>
            <w:tcW w:w="1528" w:type="dxa"/>
            <w:vAlign w:val="center"/>
          </w:tcPr>
          <w:p w14:paraId="5EF580C7">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bCs/>
                <w:color w:val="auto"/>
                <w:sz w:val="21"/>
                <w:szCs w:val="21"/>
                <w:highlight w:val="none"/>
                <w:lang w:val="en-US" w:eastAsia="zh-CN"/>
              </w:rPr>
              <w:t>3.0134</w:t>
            </w:r>
          </w:p>
        </w:tc>
        <w:tc>
          <w:tcPr>
            <w:tcW w:w="1472" w:type="dxa"/>
            <w:vAlign w:val="center"/>
          </w:tcPr>
          <w:p w14:paraId="1E194FF2">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c>
          <w:tcPr>
            <w:tcW w:w="1896" w:type="dxa"/>
            <w:vAlign w:val="center"/>
          </w:tcPr>
          <w:p w14:paraId="7BAFDBF0">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bCs/>
                <w:color w:val="auto"/>
                <w:sz w:val="21"/>
                <w:szCs w:val="21"/>
                <w:highlight w:val="none"/>
                <w:lang w:val="en-US" w:eastAsia="zh-CN"/>
              </w:rPr>
              <w:t>3.0134</w:t>
            </w:r>
          </w:p>
        </w:tc>
        <w:tc>
          <w:tcPr>
            <w:tcW w:w="1321" w:type="dxa"/>
            <w:vAlign w:val="center"/>
          </w:tcPr>
          <w:p w14:paraId="38B43BAA">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w:t>
            </w:r>
          </w:p>
        </w:tc>
      </w:tr>
      <w:tr w14:paraId="1932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707FEABA">
            <w:pPr>
              <w:spacing w:line="300" w:lineRule="exact"/>
              <w:jc w:val="center"/>
              <w:rPr>
                <w:rFonts w:ascii="Times New Roman" w:hAnsi="Times New Roman" w:cs="Times New Roman"/>
                <w:color w:val="auto"/>
                <w:szCs w:val="21"/>
                <w:highlight w:val="none"/>
              </w:rPr>
            </w:pPr>
          </w:p>
        </w:tc>
        <w:tc>
          <w:tcPr>
            <w:tcW w:w="2155" w:type="dxa"/>
            <w:vAlign w:val="center"/>
          </w:tcPr>
          <w:p w14:paraId="2A024E7F">
            <w:pPr>
              <w:jc w:val="center"/>
              <w:rPr>
                <w:rFonts w:ascii="Times New Roman" w:hAnsi="Times New Roman" w:cs="Times New Roman"/>
                <w:color w:val="auto"/>
                <w:szCs w:val="21"/>
                <w:highlight w:val="none"/>
              </w:rPr>
            </w:pPr>
            <w:r>
              <w:rPr>
                <w:rFonts w:hint="default" w:ascii="Times New Roman" w:hAnsi="Times New Roman" w:eastAsia="宋体" w:cs="Times New Roman"/>
                <w:color w:val="auto"/>
                <w:szCs w:val="21"/>
                <w:lang w:val="en-US" w:eastAsia="zh-CN"/>
              </w:rPr>
              <w:t>化学品废包装容器</w:t>
            </w:r>
          </w:p>
        </w:tc>
        <w:tc>
          <w:tcPr>
            <w:tcW w:w="1568" w:type="dxa"/>
            <w:vAlign w:val="center"/>
          </w:tcPr>
          <w:p w14:paraId="3195A5E0">
            <w:pPr>
              <w:jc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0.1</w:t>
            </w:r>
          </w:p>
        </w:tc>
        <w:tc>
          <w:tcPr>
            <w:tcW w:w="1364" w:type="dxa"/>
            <w:vAlign w:val="center"/>
          </w:tcPr>
          <w:p w14:paraId="41945E09">
            <w:pPr>
              <w:spacing w:line="300" w:lineRule="exact"/>
              <w:jc w:val="center"/>
              <w:rPr>
                <w:rFonts w:ascii="Times New Roman" w:hAnsi="Times New Roman" w:cs="Times New Roman"/>
                <w:color w:val="auto"/>
                <w:szCs w:val="21"/>
                <w:highlight w:val="none"/>
              </w:rPr>
            </w:pPr>
            <w:r>
              <w:rPr>
                <w:rFonts w:hint="eastAsia" w:ascii="Times New Roman" w:hAnsi="Times New Roman" w:eastAsia="宋体" w:cs="Times New Roman"/>
                <w:color w:val="auto"/>
                <w:kern w:val="0"/>
                <w:szCs w:val="21"/>
                <w:highlight w:val="none"/>
                <w:lang w:val="en-US" w:eastAsia="zh-CN" w:bidi="ar"/>
              </w:rPr>
              <w:t>/</w:t>
            </w:r>
          </w:p>
        </w:tc>
        <w:tc>
          <w:tcPr>
            <w:tcW w:w="1486" w:type="dxa"/>
            <w:vAlign w:val="center"/>
          </w:tcPr>
          <w:p w14:paraId="4A4E8823">
            <w:pPr>
              <w:spacing w:line="30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w:t>
            </w:r>
          </w:p>
        </w:tc>
        <w:tc>
          <w:tcPr>
            <w:tcW w:w="1528" w:type="dxa"/>
            <w:vAlign w:val="center"/>
          </w:tcPr>
          <w:p w14:paraId="6FF23195">
            <w:pPr>
              <w:jc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0.1</w:t>
            </w:r>
          </w:p>
        </w:tc>
        <w:tc>
          <w:tcPr>
            <w:tcW w:w="1472" w:type="dxa"/>
            <w:vAlign w:val="center"/>
          </w:tcPr>
          <w:p w14:paraId="54092834">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c>
          <w:tcPr>
            <w:tcW w:w="1896" w:type="dxa"/>
            <w:vAlign w:val="center"/>
          </w:tcPr>
          <w:p w14:paraId="325F3E80">
            <w:pPr>
              <w:jc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0.1</w:t>
            </w:r>
          </w:p>
        </w:tc>
        <w:tc>
          <w:tcPr>
            <w:tcW w:w="1321" w:type="dxa"/>
            <w:vAlign w:val="center"/>
          </w:tcPr>
          <w:p w14:paraId="7831900B">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r>
      <w:tr w14:paraId="26D7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4493BA04">
            <w:pPr>
              <w:spacing w:line="300" w:lineRule="exact"/>
              <w:jc w:val="center"/>
              <w:rPr>
                <w:rFonts w:ascii="Times New Roman" w:hAnsi="Times New Roman" w:cs="Times New Roman"/>
                <w:color w:val="auto"/>
                <w:szCs w:val="21"/>
                <w:highlight w:val="none"/>
              </w:rPr>
            </w:pPr>
          </w:p>
        </w:tc>
        <w:tc>
          <w:tcPr>
            <w:tcW w:w="2155" w:type="dxa"/>
            <w:vAlign w:val="center"/>
          </w:tcPr>
          <w:p w14:paraId="40E65EEA">
            <w:pPr>
              <w:jc w:val="center"/>
              <w:rPr>
                <w:rFonts w:ascii="Times New Roman" w:hAnsi="Times New Roman" w:cs="Times New Roman"/>
                <w:color w:val="auto"/>
                <w:szCs w:val="21"/>
                <w:highlight w:val="none"/>
              </w:rPr>
            </w:pPr>
            <w:r>
              <w:rPr>
                <w:rFonts w:hint="eastAsia" w:ascii="Times New Roman" w:hAnsi="Times New Roman" w:eastAsia="宋体" w:cs="Times New Roman"/>
                <w:color w:val="auto"/>
                <w:szCs w:val="21"/>
                <w:lang w:val="en-US" w:eastAsia="zh-CN"/>
              </w:rPr>
              <w:t>废矿物油</w:t>
            </w:r>
          </w:p>
        </w:tc>
        <w:tc>
          <w:tcPr>
            <w:tcW w:w="1568" w:type="dxa"/>
            <w:vAlign w:val="center"/>
          </w:tcPr>
          <w:p w14:paraId="64C61F84">
            <w:pPr>
              <w:jc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0.01</w:t>
            </w:r>
          </w:p>
        </w:tc>
        <w:tc>
          <w:tcPr>
            <w:tcW w:w="1364" w:type="dxa"/>
            <w:vAlign w:val="center"/>
          </w:tcPr>
          <w:p w14:paraId="0BDF92F9">
            <w:pPr>
              <w:spacing w:line="300" w:lineRule="exact"/>
              <w:jc w:val="center"/>
              <w:rPr>
                <w:rFonts w:ascii="Times New Roman" w:hAnsi="Times New Roman" w:cs="Times New Roman"/>
                <w:color w:val="auto"/>
                <w:szCs w:val="21"/>
                <w:highlight w:val="none"/>
              </w:rPr>
            </w:pPr>
            <w:r>
              <w:rPr>
                <w:rFonts w:hint="eastAsia" w:ascii="Times New Roman" w:hAnsi="Times New Roman" w:eastAsia="宋体" w:cs="Times New Roman"/>
                <w:color w:val="auto"/>
                <w:kern w:val="0"/>
                <w:szCs w:val="21"/>
                <w:highlight w:val="none"/>
                <w:lang w:val="en-US" w:eastAsia="zh-CN" w:bidi="ar"/>
              </w:rPr>
              <w:t>/</w:t>
            </w:r>
          </w:p>
        </w:tc>
        <w:tc>
          <w:tcPr>
            <w:tcW w:w="1486" w:type="dxa"/>
            <w:vAlign w:val="center"/>
          </w:tcPr>
          <w:p w14:paraId="166BF998">
            <w:pPr>
              <w:spacing w:line="30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w:t>
            </w:r>
          </w:p>
        </w:tc>
        <w:tc>
          <w:tcPr>
            <w:tcW w:w="1528" w:type="dxa"/>
            <w:vAlign w:val="center"/>
          </w:tcPr>
          <w:p w14:paraId="768CD4BE">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c>
          <w:tcPr>
            <w:tcW w:w="1472" w:type="dxa"/>
            <w:vAlign w:val="center"/>
          </w:tcPr>
          <w:p w14:paraId="1989B467">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c>
          <w:tcPr>
            <w:tcW w:w="1896" w:type="dxa"/>
            <w:vAlign w:val="center"/>
          </w:tcPr>
          <w:p w14:paraId="3BF1AD1E">
            <w:pPr>
              <w:jc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0.01</w:t>
            </w:r>
          </w:p>
        </w:tc>
        <w:tc>
          <w:tcPr>
            <w:tcW w:w="1321" w:type="dxa"/>
            <w:vAlign w:val="center"/>
          </w:tcPr>
          <w:p w14:paraId="2379144B">
            <w:pPr>
              <w:widowControl/>
              <w:jc w:val="center"/>
              <w:textAlignment w:val="center"/>
              <w:rPr>
                <w:rFonts w:ascii="Times New Roman" w:hAnsi="Times New Roman" w:cs="Times New Roman"/>
                <w:color w:val="auto"/>
                <w:szCs w:val="21"/>
                <w:highlight w:val="none"/>
              </w:rPr>
            </w:pPr>
            <w:r>
              <w:rPr>
                <w:rFonts w:hint="eastAsia" w:ascii="Times New Roman" w:hAnsi="Times New Roman" w:cs="Times New Roman"/>
                <w:bCs/>
                <w:color w:val="auto"/>
                <w:sz w:val="21"/>
                <w:szCs w:val="21"/>
                <w:highlight w:val="none"/>
                <w:lang w:val="en-US" w:eastAsia="zh-CN"/>
              </w:rPr>
              <w:t>0</w:t>
            </w:r>
          </w:p>
        </w:tc>
      </w:tr>
    </w:tbl>
    <w:p w14:paraId="6D9133F3">
      <w:pPr>
        <w:rPr>
          <w:color w:val="auto"/>
          <w:highlight w:val="none"/>
        </w:rPr>
      </w:pPr>
      <w:r>
        <w:rPr>
          <w:rFonts w:hint="eastAsia"/>
          <w:color w:val="auto"/>
          <w:highlight w:val="none"/>
        </w:rPr>
        <w:t>注：⑥=①+③+④-⑤；⑦=⑥-①</w:t>
      </w:r>
    </w:p>
    <w:bookmarkEnd w:id="10"/>
    <w:sectPr>
      <w:pgSz w:w="16838" w:h="11906" w:orient="landscape"/>
      <w:pgMar w:top="851" w:right="1440" w:bottom="108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B94E38B-0E5A-4855-9EF3-691D49713992}"/>
  </w:font>
  <w:font w:name="黑体">
    <w:panose1 w:val="02010609060101010101"/>
    <w:charset w:val="86"/>
    <w:family w:val="auto"/>
    <w:pitch w:val="default"/>
    <w:sig w:usb0="800002BF" w:usb1="38CF7CFA" w:usb2="00000016" w:usb3="00000000" w:csb0="00040001" w:csb1="00000000"/>
    <w:embedRegular r:id="rId2" w:fontKey="{06BCF744-4D83-42B8-990D-80005B43C19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2063495-DC02-41A4-BBC5-35EB2DD64C3C}"/>
  </w:font>
  <w:font w:name="仿宋_GB2312">
    <w:panose1 w:val="02010609030101010101"/>
    <w:charset w:val="86"/>
    <w:family w:val="modern"/>
    <w:pitch w:val="default"/>
    <w:sig w:usb0="00000001" w:usb1="080E0000" w:usb2="00000000" w:usb3="00000000" w:csb0="00040000" w:csb1="00000000"/>
    <w:embedRegular r:id="rId4" w:fontKey="{EEBD11C1-65A5-4FF7-9AD5-AE1B693BEAC4}"/>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MHei-Medium">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5" w:fontKey="{AB82F3D4-A1C4-485B-B69A-34FB4E981EF3}"/>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embedRegular r:id="rId6" w:fontKey="{02253579-1650-44C5-A33E-86663E5E89F0}"/>
  </w:font>
  <w:font w:name="楷体_GB2312">
    <w:panose1 w:val="02010609030101010101"/>
    <w:charset w:val="86"/>
    <w:family w:val="modern"/>
    <w:pitch w:val="default"/>
    <w:sig w:usb0="00000001" w:usb1="080E0000" w:usb2="00000000" w:usb3="00000000" w:csb0="00040000" w:csb1="00000000"/>
    <w:embedRegular r:id="rId7" w:fontKey="{A95AEE67-F912-43EC-9F20-14535D75B54E}"/>
  </w:font>
  <w:font w:name="楷体">
    <w:panose1 w:val="02010609060101010101"/>
    <w:charset w:val="86"/>
    <w:family w:val="modern"/>
    <w:pitch w:val="default"/>
    <w:sig w:usb0="800002BF" w:usb1="38CF7CFA" w:usb2="00000016" w:usb3="00000000" w:csb0="00040001" w:csb1="00000000"/>
    <w:embedRegular r:id="rId8" w:fontKey="{D55FDDE9-D4FD-447C-900F-D85ED2359D8D}"/>
  </w:font>
  <w:font w:name="Wingdings 2">
    <w:panose1 w:val="05020102010507070707"/>
    <w:charset w:val="02"/>
    <w:family w:val="roman"/>
    <w:pitch w:val="default"/>
    <w:sig w:usb0="00000000" w:usb1="00000000" w:usb2="00000000" w:usb3="00000000" w:csb0="80000000" w:csb1="00000000"/>
    <w:embedRegular r:id="rId9" w:fontKey="{94B246E8-7D28-4573-A432-218611DC9F5B}"/>
  </w:font>
  <w:font w:name="Segoe UI Symbol">
    <w:panose1 w:val="020B0502040204020203"/>
    <w:charset w:val="00"/>
    <w:family w:val="swiss"/>
    <w:pitch w:val="default"/>
    <w:sig w:usb0="800001E3" w:usb1="1200FFEF" w:usb2="00040000" w:usb3="04000000" w:csb0="00000001" w:csb1="40000000"/>
    <w:embedRegular r:id="rId10" w:fontKey="{AE0F170D-817D-455C-A047-3CB31967C312}"/>
  </w:font>
  <w:font w:name="Helvetica">
    <w:altName w:val="Arial"/>
    <w:panose1 w:val="020B0604020202020204"/>
    <w:charset w:val="00"/>
    <w:family w:val="swiss"/>
    <w:pitch w:val="default"/>
    <w:sig w:usb0="00000000" w:usb1="00000000" w:usb2="00000009" w:usb3="00000000" w:csb0="000001FF" w:csb1="00000000"/>
    <w:embedRegular r:id="rId11" w:fontKey="{D92380D8-CA38-4800-A238-3867CD2908E8}"/>
  </w:font>
  <w:font w:name="WPSEMBED1">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4758D">
    <w:pPr>
      <w:pStyle w:val="26"/>
      <w:jc w:val="center"/>
    </w:pPr>
  </w:p>
  <w:p w14:paraId="20E9676F">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5392206"/>
    </w:sdtPr>
    <w:sdtContent>
      <w:p w14:paraId="4C171765">
        <w:pPr>
          <w:pStyle w:val="26"/>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w:t>
        </w:r>
        <w:r>
          <w:rPr>
            <w:rFonts w:ascii="Times New Roman" w:hAnsi="Times New Roman" w:cs="Times New Roman"/>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B7808"/>
    <w:multiLevelType w:val="singleLevel"/>
    <w:tmpl w:val="99FB7808"/>
    <w:lvl w:ilvl="0" w:tentative="0">
      <w:start w:val="1"/>
      <w:numFmt w:val="decimal"/>
      <w:pStyle w:val="122"/>
      <w:suff w:val="nothing"/>
      <w:lvlText w:val="图4-%1  "/>
      <w:lvlJc w:val="left"/>
      <w:pPr>
        <w:tabs>
          <w:tab w:val="left" w:pos="0"/>
        </w:tabs>
        <w:ind w:left="0" w:firstLine="403"/>
      </w:pPr>
      <w:rPr>
        <w:rFonts w:hint="default"/>
      </w:rPr>
    </w:lvl>
  </w:abstractNum>
  <w:abstractNum w:abstractNumId="1">
    <w:nsid w:val="9F635CD7"/>
    <w:multiLevelType w:val="singleLevel"/>
    <w:tmpl w:val="9F635CD7"/>
    <w:lvl w:ilvl="0" w:tentative="0">
      <w:start w:val="1"/>
      <w:numFmt w:val="decimal"/>
      <w:suff w:val="nothing"/>
      <w:lvlText w:val="%1、"/>
      <w:lvlJc w:val="left"/>
    </w:lvl>
  </w:abstractNum>
  <w:abstractNum w:abstractNumId="2">
    <w:nsid w:val="D3329876"/>
    <w:multiLevelType w:val="singleLevel"/>
    <w:tmpl w:val="D3329876"/>
    <w:lvl w:ilvl="0" w:tentative="0">
      <w:start w:val="1"/>
      <w:numFmt w:val="bullet"/>
      <w:pStyle w:val="13"/>
      <w:lvlText w:val=""/>
      <w:lvlJc w:val="left"/>
      <w:pPr>
        <w:tabs>
          <w:tab w:val="left" w:pos="780"/>
        </w:tabs>
        <w:ind w:left="780" w:hanging="360"/>
      </w:pPr>
      <w:rPr>
        <w:rFonts w:hint="default" w:ascii="Wingdings" w:hAnsi="Wingdings"/>
      </w:rPr>
    </w:lvl>
  </w:abstractNum>
  <w:abstractNum w:abstractNumId="3">
    <w:nsid w:val="D8D40B01"/>
    <w:multiLevelType w:val="singleLevel"/>
    <w:tmpl w:val="D8D40B01"/>
    <w:lvl w:ilvl="0" w:tentative="0">
      <w:start w:val="1"/>
      <w:numFmt w:val="decimal"/>
      <w:pStyle w:val="116"/>
      <w:suff w:val="nothing"/>
      <w:lvlText w:val="表3-%1  "/>
      <w:lvlJc w:val="left"/>
      <w:pPr>
        <w:tabs>
          <w:tab w:val="left" w:pos="0"/>
        </w:tabs>
        <w:ind w:left="0" w:firstLine="403"/>
      </w:pPr>
      <w:rPr>
        <w:rFonts w:hint="default"/>
      </w:rPr>
    </w:lvl>
  </w:abstractNum>
  <w:abstractNum w:abstractNumId="4">
    <w:nsid w:val="D92088F1"/>
    <w:multiLevelType w:val="singleLevel"/>
    <w:tmpl w:val="D92088F1"/>
    <w:lvl w:ilvl="0" w:tentative="0">
      <w:start w:val="1"/>
      <w:numFmt w:val="decimal"/>
      <w:pStyle w:val="126"/>
      <w:suff w:val="nothing"/>
      <w:lvlText w:val="图4-%1  "/>
      <w:lvlJc w:val="left"/>
      <w:pPr>
        <w:ind w:left="0" w:firstLine="397"/>
      </w:pPr>
      <w:rPr>
        <w:rFonts w:hint="default"/>
      </w:rPr>
    </w:lvl>
  </w:abstractNum>
  <w:abstractNum w:abstractNumId="5">
    <w:nsid w:val="FBD59AA7"/>
    <w:multiLevelType w:val="singleLevel"/>
    <w:tmpl w:val="FBD59AA7"/>
    <w:lvl w:ilvl="0" w:tentative="0">
      <w:start w:val="1"/>
      <w:numFmt w:val="decimal"/>
      <w:pStyle w:val="119"/>
      <w:suff w:val="nothing"/>
      <w:lvlText w:val="图2-%1  "/>
      <w:lvlJc w:val="left"/>
      <w:pPr>
        <w:tabs>
          <w:tab w:val="left" w:pos="0"/>
        </w:tabs>
        <w:ind w:left="0" w:firstLine="403"/>
      </w:pPr>
      <w:rPr>
        <w:rFonts w:hint="default"/>
      </w:rPr>
    </w:lvl>
  </w:abstractNum>
  <w:abstractNum w:abstractNumId="6">
    <w:nsid w:val="0CC2EEC0"/>
    <w:multiLevelType w:val="singleLevel"/>
    <w:tmpl w:val="0CC2EEC0"/>
    <w:lvl w:ilvl="0" w:tentative="0">
      <w:start w:val="1"/>
      <w:numFmt w:val="decimal"/>
      <w:pStyle w:val="114"/>
      <w:suff w:val="nothing"/>
      <w:lvlText w:val="表2-%1  "/>
      <w:lvlJc w:val="left"/>
      <w:pPr>
        <w:tabs>
          <w:tab w:val="left" w:pos="0"/>
        </w:tabs>
        <w:ind w:left="0" w:firstLine="403"/>
      </w:pPr>
      <w:rPr>
        <w:rFonts w:hint="default"/>
      </w:rPr>
    </w:lvl>
  </w:abstractNum>
  <w:abstractNum w:abstractNumId="7">
    <w:nsid w:val="1167A67D"/>
    <w:multiLevelType w:val="singleLevel"/>
    <w:tmpl w:val="1167A67D"/>
    <w:lvl w:ilvl="0" w:tentative="0">
      <w:start w:val="1"/>
      <w:numFmt w:val="decimal"/>
      <w:pStyle w:val="117"/>
      <w:suff w:val="nothing"/>
      <w:lvlText w:val="表4-%1  "/>
      <w:lvlJc w:val="left"/>
      <w:pPr>
        <w:tabs>
          <w:tab w:val="left" w:pos="0"/>
        </w:tabs>
        <w:ind w:left="0" w:firstLine="403"/>
      </w:pPr>
      <w:rPr>
        <w:rFonts w:hint="default"/>
      </w:rPr>
    </w:lvl>
  </w:abstractNum>
  <w:abstractNum w:abstractNumId="8">
    <w:nsid w:val="1C939F14"/>
    <w:multiLevelType w:val="singleLevel"/>
    <w:tmpl w:val="1C939F14"/>
    <w:lvl w:ilvl="0" w:tentative="0">
      <w:start w:val="1"/>
      <w:numFmt w:val="decimal"/>
      <w:suff w:val="nothing"/>
      <w:lvlText w:val="%1、"/>
      <w:lvlJc w:val="left"/>
    </w:lvl>
  </w:abstractNum>
  <w:abstractNum w:abstractNumId="9">
    <w:nsid w:val="230209DA"/>
    <w:multiLevelType w:val="singleLevel"/>
    <w:tmpl w:val="230209DA"/>
    <w:lvl w:ilvl="0" w:tentative="0">
      <w:start w:val="1"/>
      <w:numFmt w:val="decimal"/>
      <w:pStyle w:val="111"/>
      <w:suff w:val="nothing"/>
      <w:lvlText w:val="表4-%1  "/>
      <w:lvlJc w:val="left"/>
      <w:pPr>
        <w:ind w:left="0" w:firstLine="403"/>
      </w:pPr>
      <w:rPr>
        <w:rFonts w:hint="default"/>
      </w:rPr>
    </w:lvl>
  </w:abstractNum>
  <w:abstractNum w:abstractNumId="10">
    <w:nsid w:val="315944AB"/>
    <w:multiLevelType w:val="singleLevel"/>
    <w:tmpl w:val="315944AB"/>
    <w:lvl w:ilvl="0" w:tentative="0">
      <w:start w:val="1"/>
      <w:numFmt w:val="decimal"/>
      <w:pStyle w:val="118"/>
      <w:suff w:val="nothing"/>
      <w:lvlText w:val="图1-%1  "/>
      <w:lvlJc w:val="left"/>
      <w:pPr>
        <w:tabs>
          <w:tab w:val="left" w:pos="0"/>
        </w:tabs>
        <w:ind w:left="0" w:firstLine="403"/>
      </w:pPr>
      <w:rPr>
        <w:rFonts w:hint="default"/>
      </w:rPr>
    </w:lvl>
  </w:abstractNum>
  <w:abstractNum w:abstractNumId="11">
    <w:nsid w:val="42965B9D"/>
    <w:multiLevelType w:val="singleLevel"/>
    <w:tmpl w:val="42965B9D"/>
    <w:lvl w:ilvl="0" w:tentative="0">
      <w:start w:val="1"/>
      <w:numFmt w:val="decimal"/>
      <w:lvlText w:val="%1."/>
      <w:lvlJc w:val="left"/>
      <w:pPr>
        <w:tabs>
          <w:tab w:val="left" w:pos="312"/>
        </w:tabs>
      </w:pPr>
    </w:lvl>
  </w:abstractNum>
  <w:abstractNum w:abstractNumId="12">
    <w:nsid w:val="4C60B6E2"/>
    <w:multiLevelType w:val="singleLevel"/>
    <w:tmpl w:val="4C60B6E2"/>
    <w:lvl w:ilvl="0" w:tentative="0">
      <w:start w:val="1"/>
      <w:numFmt w:val="bullet"/>
      <w:pStyle w:val="23"/>
      <w:lvlText w:val=""/>
      <w:lvlJc w:val="left"/>
      <w:pPr>
        <w:tabs>
          <w:tab w:val="left" w:pos="2040"/>
        </w:tabs>
        <w:ind w:left="2040" w:hanging="360"/>
      </w:pPr>
      <w:rPr>
        <w:rFonts w:hint="default" w:ascii="Wingdings" w:hAnsi="Wingdings"/>
      </w:rPr>
    </w:lvl>
  </w:abstractNum>
  <w:abstractNum w:abstractNumId="13">
    <w:nsid w:val="4C8AFAEB"/>
    <w:multiLevelType w:val="singleLevel"/>
    <w:tmpl w:val="4C8AFAEB"/>
    <w:lvl w:ilvl="0" w:tentative="0">
      <w:start w:val="1"/>
      <w:numFmt w:val="decimal"/>
      <w:pStyle w:val="113"/>
      <w:suff w:val="nothing"/>
      <w:lvlText w:val="表1-%1  "/>
      <w:lvlJc w:val="left"/>
      <w:pPr>
        <w:ind w:left="0" w:firstLine="403"/>
      </w:pPr>
      <w:rPr>
        <w:rFonts w:hint="default"/>
        <w:b w:val="0"/>
        <w:bCs w:val="0"/>
      </w:rPr>
    </w:lvl>
  </w:abstractNum>
  <w:num w:numId="1">
    <w:abstractNumId w:val="2"/>
  </w:num>
  <w:num w:numId="2">
    <w:abstractNumId w:val="12"/>
  </w:num>
  <w:num w:numId="3">
    <w:abstractNumId w:val="9"/>
  </w:num>
  <w:num w:numId="4">
    <w:abstractNumId w:val="13"/>
  </w:num>
  <w:num w:numId="5">
    <w:abstractNumId w:val="6"/>
  </w:num>
  <w:num w:numId="6">
    <w:abstractNumId w:val="3"/>
  </w:num>
  <w:num w:numId="7">
    <w:abstractNumId w:val="7"/>
  </w:num>
  <w:num w:numId="8">
    <w:abstractNumId w:val="10"/>
  </w:num>
  <w:num w:numId="9">
    <w:abstractNumId w:val="5"/>
  </w:num>
  <w:num w:numId="10">
    <w:abstractNumId w:val="0"/>
  </w:num>
  <w:num w:numId="11">
    <w:abstractNumId w:val="4"/>
  </w:num>
  <w:num w:numId="12">
    <w:abstractNumId w:val="1"/>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wNjE4OTlhZTBkMjM4ZTlhM2FkOTdjZWM1ZjEyYzAifQ=="/>
  </w:docVars>
  <w:rsids>
    <w:rsidRoot w:val="00172A27"/>
    <w:rsid w:val="0000459D"/>
    <w:rsid w:val="00007946"/>
    <w:rsid w:val="0001008C"/>
    <w:rsid w:val="00010957"/>
    <w:rsid w:val="00010B5D"/>
    <w:rsid w:val="000111BF"/>
    <w:rsid w:val="00011441"/>
    <w:rsid w:val="000115E8"/>
    <w:rsid w:val="00013065"/>
    <w:rsid w:val="000130CF"/>
    <w:rsid w:val="00013301"/>
    <w:rsid w:val="00014DC1"/>
    <w:rsid w:val="0001676E"/>
    <w:rsid w:val="00020B0D"/>
    <w:rsid w:val="00022B27"/>
    <w:rsid w:val="00024BFE"/>
    <w:rsid w:val="00024E15"/>
    <w:rsid w:val="00024FC1"/>
    <w:rsid w:val="00025097"/>
    <w:rsid w:val="00026390"/>
    <w:rsid w:val="0002649C"/>
    <w:rsid w:val="00032B83"/>
    <w:rsid w:val="00033D80"/>
    <w:rsid w:val="0003418D"/>
    <w:rsid w:val="0003599D"/>
    <w:rsid w:val="00035FD0"/>
    <w:rsid w:val="00036465"/>
    <w:rsid w:val="00040E0A"/>
    <w:rsid w:val="000411B8"/>
    <w:rsid w:val="00042C68"/>
    <w:rsid w:val="000431E4"/>
    <w:rsid w:val="000458F7"/>
    <w:rsid w:val="00045B74"/>
    <w:rsid w:val="00045D8A"/>
    <w:rsid w:val="0004722C"/>
    <w:rsid w:val="0004749F"/>
    <w:rsid w:val="00050573"/>
    <w:rsid w:val="0005344E"/>
    <w:rsid w:val="00054131"/>
    <w:rsid w:val="000550D0"/>
    <w:rsid w:val="00055740"/>
    <w:rsid w:val="00056B69"/>
    <w:rsid w:val="00056BF5"/>
    <w:rsid w:val="00056F78"/>
    <w:rsid w:val="00057EAA"/>
    <w:rsid w:val="000604B9"/>
    <w:rsid w:val="00061D07"/>
    <w:rsid w:val="00062014"/>
    <w:rsid w:val="000620DE"/>
    <w:rsid w:val="00063431"/>
    <w:rsid w:val="000665E8"/>
    <w:rsid w:val="000700BB"/>
    <w:rsid w:val="00070436"/>
    <w:rsid w:val="000734AA"/>
    <w:rsid w:val="000746E8"/>
    <w:rsid w:val="00075557"/>
    <w:rsid w:val="000762D0"/>
    <w:rsid w:val="00076D1B"/>
    <w:rsid w:val="00077C1E"/>
    <w:rsid w:val="00080E7B"/>
    <w:rsid w:val="00081BB4"/>
    <w:rsid w:val="000822C0"/>
    <w:rsid w:val="00082FBE"/>
    <w:rsid w:val="00084685"/>
    <w:rsid w:val="000854B2"/>
    <w:rsid w:val="00086A85"/>
    <w:rsid w:val="0009206E"/>
    <w:rsid w:val="0009329F"/>
    <w:rsid w:val="000968BF"/>
    <w:rsid w:val="000972AC"/>
    <w:rsid w:val="00097440"/>
    <w:rsid w:val="000A1668"/>
    <w:rsid w:val="000A16C4"/>
    <w:rsid w:val="000A1A14"/>
    <w:rsid w:val="000A1CF3"/>
    <w:rsid w:val="000A5B38"/>
    <w:rsid w:val="000A65AE"/>
    <w:rsid w:val="000A664F"/>
    <w:rsid w:val="000B1390"/>
    <w:rsid w:val="000B21EB"/>
    <w:rsid w:val="000B3A32"/>
    <w:rsid w:val="000B460A"/>
    <w:rsid w:val="000B571A"/>
    <w:rsid w:val="000B590E"/>
    <w:rsid w:val="000B59BF"/>
    <w:rsid w:val="000C13C0"/>
    <w:rsid w:val="000C1661"/>
    <w:rsid w:val="000C2FBD"/>
    <w:rsid w:val="000C3193"/>
    <w:rsid w:val="000C3AB5"/>
    <w:rsid w:val="000C3B45"/>
    <w:rsid w:val="000C3F08"/>
    <w:rsid w:val="000C5F82"/>
    <w:rsid w:val="000C692A"/>
    <w:rsid w:val="000C6B6F"/>
    <w:rsid w:val="000D08F5"/>
    <w:rsid w:val="000D170D"/>
    <w:rsid w:val="000D1D75"/>
    <w:rsid w:val="000D44E5"/>
    <w:rsid w:val="000D47AF"/>
    <w:rsid w:val="000D498F"/>
    <w:rsid w:val="000D56CC"/>
    <w:rsid w:val="000D591E"/>
    <w:rsid w:val="000D68CC"/>
    <w:rsid w:val="000E00C4"/>
    <w:rsid w:val="000E0700"/>
    <w:rsid w:val="000E12AD"/>
    <w:rsid w:val="000E1AF1"/>
    <w:rsid w:val="000E2A5D"/>
    <w:rsid w:val="000E4B29"/>
    <w:rsid w:val="000E602B"/>
    <w:rsid w:val="000E7624"/>
    <w:rsid w:val="000E7773"/>
    <w:rsid w:val="000F0E8C"/>
    <w:rsid w:val="000F2664"/>
    <w:rsid w:val="000F483A"/>
    <w:rsid w:val="000F4B7D"/>
    <w:rsid w:val="000F63FB"/>
    <w:rsid w:val="00100C8B"/>
    <w:rsid w:val="0010203A"/>
    <w:rsid w:val="001026F4"/>
    <w:rsid w:val="001035A8"/>
    <w:rsid w:val="0010488B"/>
    <w:rsid w:val="001049EF"/>
    <w:rsid w:val="00105823"/>
    <w:rsid w:val="001079CB"/>
    <w:rsid w:val="00110FEC"/>
    <w:rsid w:val="00112218"/>
    <w:rsid w:val="001134BD"/>
    <w:rsid w:val="0011444C"/>
    <w:rsid w:val="001146EB"/>
    <w:rsid w:val="00117E70"/>
    <w:rsid w:val="00120A49"/>
    <w:rsid w:val="001223D9"/>
    <w:rsid w:val="001228C7"/>
    <w:rsid w:val="00125079"/>
    <w:rsid w:val="001253E3"/>
    <w:rsid w:val="0012644B"/>
    <w:rsid w:val="0013016E"/>
    <w:rsid w:val="001302A2"/>
    <w:rsid w:val="001303D9"/>
    <w:rsid w:val="00130B22"/>
    <w:rsid w:val="001311F7"/>
    <w:rsid w:val="0013358B"/>
    <w:rsid w:val="001342E2"/>
    <w:rsid w:val="00134B38"/>
    <w:rsid w:val="00134D95"/>
    <w:rsid w:val="001350D2"/>
    <w:rsid w:val="00135C88"/>
    <w:rsid w:val="00136469"/>
    <w:rsid w:val="00140298"/>
    <w:rsid w:val="00143157"/>
    <w:rsid w:val="0014464C"/>
    <w:rsid w:val="0014567C"/>
    <w:rsid w:val="0014612C"/>
    <w:rsid w:val="00147785"/>
    <w:rsid w:val="00150710"/>
    <w:rsid w:val="00152347"/>
    <w:rsid w:val="0015335E"/>
    <w:rsid w:val="0015349D"/>
    <w:rsid w:val="00153F6B"/>
    <w:rsid w:val="001544D9"/>
    <w:rsid w:val="001548B2"/>
    <w:rsid w:val="00155AB9"/>
    <w:rsid w:val="0015753B"/>
    <w:rsid w:val="001635A9"/>
    <w:rsid w:val="001651BA"/>
    <w:rsid w:val="00165EA9"/>
    <w:rsid w:val="00166A54"/>
    <w:rsid w:val="00167EA9"/>
    <w:rsid w:val="001707A2"/>
    <w:rsid w:val="00170C11"/>
    <w:rsid w:val="00172A27"/>
    <w:rsid w:val="0017419B"/>
    <w:rsid w:val="00174330"/>
    <w:rsid w:val="00176333"/>
    <w:rsid w:val="00177AE3"/>
    <w:rsid w:val="00183834"/>
    <w:rsid w:val="00183C42"/>
    <w:rsid w:val="00184BF7"/>
    <w:rsid w:val="001874FF"/>
    <w:rsid w:val="001877D0"/>
    <w:rsid w:val="00190D5E"/>
    <w:rsid w:val="001916C0"/>
    <w:rsid w:val="001917E5"/>
    <w:rsid w:val="00191E83"/>
    <w:rsid w:val="0019251E"/>
    <w:rsid w:val="0019395B"/>
    <w:rsid w:val="00193F48"/>
    <w:rsid w:val="0019498C"/>
    <w:rsid w:val="00194C05"/>
    <w:rsid w:val="00195D3C"/>
    <w:rsid w:val="00197A0D"/>
    <w:rsid w:val="00197EB2"/>
    <w:rsid w:val="001A095C"/>
    <w:rsid w:val="001A0AE2"/>
    <w:rsid w:val="001A24BA"/>
    <w:rsid w:val="001A3B06"/>
    <w:rsid w:val="001A4036"/>
    <w:rsid w:val="001A4296"/>
    <w:rsid w:val="001A538B"/>
    <w:rsid w:val="001A5813"/>
    <w:rsid w:val="001A5CEE"/>
    <w:rsid w:val="001A6B33"/>
    <w:rsid w:val="001A725F"/>
    <w:rsid w:val="001B1A89"/>
    <w:rsid w:val="001B222F"/>
    <w:rsid w:val="001B2CEA"/>
    <w:rsid w:val="001B31FD"/>
    <w:rsid w:val="001B3E14"/>
    <w:rsid w:val="001B5CCC"/>
    <w:rsid w:val="001B7388"/>
    <w:rsid w:val="001B7ADA"/>
    <w:rsid w:val="001B7D1D"/>
    <w:rsid w:val="001C1387"/>
    <w:rsid w:val="001C3F44"/>
    <w:rsid w:val="001C62CE"/>
    <w:rsid w:val="001C762E"/>
    <w:rsid w:val="001D13CA"/>
    <w:rsid w:val="001D2B86"/>
    <w:rsid w:val="001D2C65"/>
    <w:rsid w:val="001D32C3"/>
    <w:rsid w:val="001D636F"/>
    <w:rsid w:val="001D6769"/>
    <w:rsid w:val="001D7227"/>
    <w:rsid w:val="001D7BBF"/>
    <w:rsid w:val="001E0A88"/>
    <w:rsid w:val="001E1235"/>
    <w:rsid w:val="001E3DA8"/>
    <w:rsid w:val="001E5412"/>
    <w:rsid w:val="001E63A7"/>
    <w:rsid w:val="001E781D"/>
    <w:rsid w:val="001F00E0"/>
    <w:rsid w:val="001F0E52"/>
    <w:rsid w:val="001F3887"/>
    <w:rsid w:val="001F3B16"/>
    <w:rsid w:val="00201012"/>
    <w:rsid w:val="002014F8"/>
    <w:rsid w:val="0020259B"/>
    <w:rsid w:val="002033E4"/>
    <w:rsid w:val="00205629"/>
    <w:rsid w:val="002057C7"/>
    <w:rsid w:val="00206FD1"/>
    <w:rsid w:val="00207DE3"/>
    <w:rsid w:val="002108E5"/>
    <w:rsid w:val="002114D9"/>
    <w:rsid w:val="0021166C"/>
    <w:rsid w:val="002121F9"/>
    <w:rsid w:val="00212258"/>
    <w:rsid w:val="00213A96"/>
    <w:rsid w:val="00216E99"/>
    <w:rsid w:val="00216F11"/>
    <w:rsid w:val="00221CC3"/>
    <w:rsid w:val="00222C3F"/>
    <w:rsid w:val="00223951"/>
    <w:rsid w:val="00223B4E"/>
    <w:rsid w:val="00226614"/>
    <w:rsid w:val="00227639"/>
    <w:rsid w:val="00231731"/>
    <w:rsid w:val="002323F9"/>
    <w:rsid w:val="002335AA"/>
    <w:rsid w:val="002348D2"/>
    <w:rsid w:val="002352A1"/>
    <w:rsid w:val="00235B36"/>
    <w:rsid w:val="002374D4"/>
    <w:rsid w:val="002415EE"/>
    <w:rsid w:val="0024367B"/>
    <w:rsid w:val="0024464F"/>
    <w:rsid w:val="00250334"/>
    <w:rsid w:val="00250C49"/>
    <w:rsid w:val="00251D9C"/>
    <w:rsid w:val="00252776"/>
    <w:rsid w:val="00253F46"/>
    <w:rsid w:val="002569E5"/>
    <w:rsid w:val="00262285"/>
    <w:rsid w:val="0026237B"/>
    <w:rsid w:val="002631CA"/>
    <w:rsid w:val="00264C89"/>
    <w:rsid w:val="00265C4C"/>
    <w:rsid w:val="00266062"/>
    <w:rsid w:val="0026753F"/>
    <w:rsid w:val="00267CB3"/>
    <w:rsid w:val="002700C6"/>
    <w:rsid w:val="00270BA4"/>
    <w:rsid w:val="00273C5B"/>
    <w:rsid w:val="0027431D"/>
    <w:rsid w:val="00275976"/>
    <w:rsid w:val="00275DF4"/>
    <w:rsid w:val="002765FE"/>
    <w:rsid w:val="00277D3A"/>
    <w:rsid w:val="002802A1"/>
    <w:rsid w:val="00281102"/>
    <w:rsid w:val="0028230E"/>
    <w:rsid w:val="002839F4"/>
    <w:rsid w:val="002859EB"/>
    <w:rsid w:val="00286325"/>
    <w:rsid w:val="0028640E"/>
    <w:rsid w:val="00286C52"/>
    <w:rsid w:val="00290135"/>
    <w:rsid w:val="00290ADF"/>
    <w:rsid w:val="0029111B"/>
    <w:rsid w:val="0029195D"/>
    <w:rsid w:val="002928BC"/>
    <w:rsid w:val="002948E0"/>
    <w:rsid w:val="00296707"/>
    <w:rsid w:val="00297FED"/>
    <w:rsid w:val="002A0DDC"/>
    <w:rsid w:val="002A2FAA"/>
    <w:rsid w:val="002A3400"/>
    <w:rsid w:val="002A3B44"/>
    <w:rsid w:val="002A4C33"/>
    <w:rsid w:val="002A7DC1"/>
    <w:rsid w:val="002B0518"/>
    <w:rsid w:val="002B116A"/>
    <w:rsid w:val="002B1950"/>
    <w:rsid w:val="002B20C3"/>
    <w:rsid w:val="002B5196"/>
    <w:rsid w:val="002B67A7"/>
    <w:rsid w:val="002B6CA2"/>
    <w:rsid w:val="002C279A"/>
    <w:rsid w:val="002C280A"/>
    <w:rsid w:val="002C34AB"/>
    <w:rsid w:val="002C434F"/>
    <w:rsid w:val="002C443F"/>
    <w:rsid w:val="002C4AD8"/>
    <w:rsid w:val="002C630C"/>
    <w:rsid w:val="002C680D"/>
    <w:rsid w:val="002C69AB"/>
    <w:rsid w:val="002C6B07"/>
    <w:rsid w:val="002C7223"/>
    <w:rsid w:val="002C72B2"/>
    <w:rsid w:val="002D0169"/>
    <w:rsid w:val="002D1D66"/>
    <w:rsid w:val="002D3999"/>
    <w:rsid w:val="002D42FF"/>
    <w:rsid w:val="002D4B53"/>
    <w:rsid w:val="002D4BAE"/>
    <w:rsid w:val="002D7227"/>
    <w:rsid w:val="002E0117"/>
    <w:rsid w:val="002E1A5B"/>
    <w:rsid w:val="002E2917"/>
    <w:rsid w:val="002E4309"/>
    <w:rsid w:val="002E5889"/>
    <w:rsid w:val="002E6A00"/>
    <w:rsid w:val="002F0356"/>
    <w:rsid w:val="002F0375"/>
    <w:rsid w:val="002F0969"/>
    <w:rsid w:val="002F280F"/>
    <w:rsid w:val="002F3DF1"/>
    <w:rsid w:val="002F4858"/>
    <w:rsid w:val="002F4F25"/>
    <w:rsid w:val="002F587F"/>
    <w:rsid w:val="002F7553"/>
    <w:rsid w:val="00303025"/>
    <w:rsid w:val="00303354"/>
    <w:rsid w:val="00303E58"/>
    <w:rsid w:val="003041CD"/>
    <w:rsid w:val="0030486C"/>
    <w:rsid w:val="00304D31"/>
    <w:rsid w:val="0030607C"/>
    <w:rsid w:val="003068F6"/>
    <w:rsid w:val="00314D60"/>
    <w:rsid w:val="00315B09"/>
    <w:rsid w:val="00316835"/>
    <w:rsid w:val="00321A70"/>
    <w:rsid w:val="00323F49"/>
    <w:rsid w:val="0032487B"/>
    <w:rsid w:val="003248A9"/>
    <w:rsid w:val="00326A0E"/>
    <w:rsid w:val="0033106B"/>
    <w:rsid w:val="003316B3"/>
    <w:rsid w:val="00331E79"/>
    <w:rsid w:val="00333438"/>
    <w:rsid w:val="0033343B"/>
    <w:rsid w:val="00333C38"/>
    <w:rsid w:val="00335C6A"/>
    <w:rsid w:val="00336373"/>
    <w:rsid w:val="0033648E"/>
    <w:rsid w:val="00336BC7"/>
    <w:rsid w:val="003377CF"/>
    <w:rsid w:val="003405C5"/>
    <w:rsid w:val="00340B93"/>
    <w:rsid w:val="00340F6D"/>
    <w:rsid w:val="003411E7"/>
    <w:rsid w:val="003422F0"/>
    <w:rsid w:val="0034268F"/>
    <w:rsid w:val="0034303F"/>
    <w:rsid w:val="00343B64"/>
    <w:rsid w:val="0034440F"/>
    <w:rsid w:val="00346941"/>
    <w:rsid w:val="003504AE"/>
    <w:rsid w:val="003512AD"/>
    <w:rsid w:val="00352177"/>
    <w:rsid w:val="00352D71"/>
    <w:rsid w:val="00352F0C"/>
    <w:rsid w:val="003531A1"/>
    <w:rsid w:val="003534C9"/>
    <w:rsid w:val="00353703"/>
    <w:rsid w:val="00353CCA"/>
    <w:rsid w:val="003549ED"/>
    <w:rsid w:val="00355C52"/>
    <w:rsid w:val="003572DE"/>
    <w:rsid w:val="00357A31"/>
    <w:rsid w:val="00360761"/>
    <w:rsid w:val="00360DC3"/>
    <w:rsid w:val="00361103"/>
    <w:rsid w:val="0037153D"/>
    <w:rsid w:val="00372291"/>
    <w:rsid w:val="003732B5"/>
    <w:rsid w:val="0037644F"/>
    <w:rsid w:val="0038170C"/>
    <w:rsid w:val="00382B5A"/>
    <w:rsid w:val="00386689"/>
    <w:rsid w:val="00386A72"/>
    <w:rsid w:val="00386ACC"/>
    <w:rsid w:val="00386D3C"/>
    <w:rsid w:val="00387E48"/>
    <w:rsid w:val="0039200A"/>
    <w:rsid w:val="00393C3D"/>
    <w:rsid w:val="00394239"/>
    <w:rsid w:val="00395BF4"/>
    <w:rsid w:val="003A13FF"/>
    <w:rsid w:val="003A1505"/>
    <w:rsid w:val="003A2ECF"/>
    <w:rsid w:val="003A33DB"/>
    <w:rsid w:val="003A351C"/>
    <w:rsid w:val="003A37F7"/>
    <w:rsid w:val="003A6EC7"/>
    <w:rsid w:val="003B3135"/>
    <w:rsid w:val="003B3314"/>
    <w:rsid w:val="003B33D5"/>
    <w:rsid w:val="003B4DEC"/>
    <w:rsid w:val="003B51CD"/>
    <w:rsid w:val="003B5BF4"/>
    <w:rsid w:val="003B5E2F"/>
    <w:rsid w:val="003B7043"/>
    <w:rsid w:val="003B7A24"/>
    <w:rsid w:val="003C1428"/>
    <w:rsid w:val="003C17FE"/>
    <w:rsid w:val="003C1F72"/>
    <w:rsid w:val="003C3240"/>
    <w:rsid w:val="003C3B6D"/>
    <w:rsid w:val="003C3CD8"/>
    <w:rsid w:val="003C4914"/>
    <w:rsid w:val="003C53E8"/>
    <w:rsid w:val="003C5EA3"/>
    <w:rsid w:val="003C63B4"/>
    <w:rsid w:val="003C6842"/>
    <w:rsid w:val="003D2670"/>
    <w:rsid w:val="003D36DA"/>
    <w:rsid w:val="003D4554"/>
    <w:rsid w:val="003D47E0"/>
    <w:rsid w:val="003D5A5B"/>
    <w:rsid w:val="003D6BFA"/>
    <w:rsid w:val="003D6E47"/>
    <w:rsid w:val="003D781B"/>
    <w:rsid w:val="003E041A"/>
    <w:rsid w:val="003E31B4"/>
    <w:rsid w:val="003F0596"/>
    <w:rsid w:val="003F0D96"/>
    <w:rsid w:val="003F33D0"/>
    <w:rsid w:val="003F3D5A"/>
    <w:rsid w:val="003F5DCE"/>
    <w:rsid w:val="003F6959"/>
    <w:rsid w:val="003F695B"/>
    <w:rsid w:val="003F6F05"/>
    <w:rsid w:val="00400214"/>
    <w:rsid w:val="00403BD7"/>
    <w:rsid w:val="00403F93"/>
    <w:rsid w:val="00407209"/>
    <w:rsid w:val="00407621"/>
    <w:rsid w:val="00407B9F"/>
    <w:rsid w:val="00410047"/>
    <w:rsid w:val="0041074C"/>
    <w:rsid w:val="0041081B"/>
    <w:rsid w:val="00413799"/>
    <w:rsid w:val="00415281"/>
    <w:rsid w:val="004162C1"/>
    <w:rsid w:val="00417033"/>
    <w:rsid w:val="00417FA4"/>
    <w:rsid w:val="00421709"/>
    <w:rsid w:val="00423725"/>
    <w:rsid w:val="00423FB4"/>
    <w:rsid w:val="00425D6D"/>
    <w:rsid w:val="00426B93"/>
    <w:rsid w:val="00430DC8"/>
    <w:rsid w:val="00430F25"/>
    <w:rsid w:val="0043302B"/>
    <w:rsid w:val="004331EB"/>
    <w:rsid w:val="004352BB"/>
    <w:rsid w:val="004352DC"/>
    <w:rsid w:val="00435B38"/>
    <w:rsid w:val="00436B69"/>
    <w:rsid w:val="004372A9"/>
    <w:rsid w:val="0043741B"/>
    <w:rsid w:val="00437E37"/>
    <w:rsid w:val="00440B5B"/>
    <w:rsid w:val="004418E5"/>
    <w:rsid w:val="0044257E"/>
    <w:rsid w:val="00442E4B"/>
    <w:rsid w:val="0044375C"/>
    <w:rsid w:val="00443EE4"/>
    <w:rsid w:val="00444008"/>
    <w:rsid w:val="00444165"/>
    <w:rsid w:val="00444471"/>
    <w:rsid w:val="00444F28"/>
    <w:rsid w:val="00445D07"/>
    <w:rsid w:val="00447D64"/>
    <w:rsid w:val="0045071D"/>
    <w:rsid w:val="00451E11"/>
    <w:rsid w:val="004534C9"/>
    <w:rsid w:val="004537AA"/>
    <w:rsid w:val="00453ABF"/>
    <w:rsid w:val="00453C4D"/>
    <w:rsid w:val="0045414D"/>
    <w:rsid w:val="004541AB"/>
    <w:rsid w:val="00455FB3"/>
    <w:rsid w:val="00457684"/>
    <w:rsid w:val="00460F58"/>
    <w:rsid w:val="0046179C"/>
    <w:rsid w:val="0046354E"/>
    <w:rsid w:val="0046476F"/>
    <w:rsid w:val="00465E0A"/>
    <w:rsid w:val="004668EA"/>
    <w:rsid w:val="004720B4"/>
    <w:rsid w:val="004739DF"/>
    <w:rsid w:val="0047432B"/>
    <w:rsid w:val="00475338"/>
    <w:rsid w:val="004759A5"/>
    <w:rsid w:val="0047709D"/>
    <w:rsid w:val="00477226"/>
    <w:rsid w:val="004775FD"/>
    <w:rsid w:val="0047775D"/>
    <w:rsid w:val="00477835"/>
    <w:rsid w:val="00477C99"/>
    <w:rsid w:val="00480290"/>
    <w:rsid w:val="004808F6"/>
    <w:rsid w:val="004809BC"/>
    <w:rsid w:val="0048242F"/>
    <w:rsid w:val="0048351C"/>
    <w:rsid w:val="00487C9E"/>
    <w:rsid w:val="004902F1"/>
    <w:rsid w:val="0049157C"/>
    <w:rsid w:val="00492185"/>
    <w:rsid w:val="0049232A"/>
    <w:rsid w:val="00493A6A"/>
    <w:rsid w:val="004958BB"/>
    <w:rsid w:val="00495FAA"/>
    <w:rsid w:val="00497B76"/>
    <w:rsid w:val="00497E7C"/>
    <w:rsid w:val="004A0032"/>
    <w:rsid w:val="004A0B94"/>
    <w:rsid w:val="004A1479"/>
    <w:rsid w:val="004A1C0C"/>
    <w:rsid w:val="004A26E2"/>
    <w:rsid w:val="004A3B97"/>
    <w:rsid w:val="004A682F"/>
    <w:rsid w:val="004A71FE"/>
    <w:rsid w:val="004A75FC"/>
    <w:rsid w:val="004B2329"/>
    <w:rsid w:val="004B3309"/>
    <w:rsid w:val="004B5CE7"/>
    <w:rsid w:val="004B7563"/>
    <w:rsid w:val="004C03B9"/>
    <w:rsid w:val="004C052E"/>
    <w:rsid w:val="004C083E"/>
    <w:rsid w:val="004C0B56"/>
    <w:rsid w:val="004C0F2F"/>
    <w:rsid w:val="004C1459"/>
    <w:rsid w:val="004C15C4"/>
    <w:rsid w:val="004C227F"/>
    <w:rsid w:val="004C38B5"/>
    <w:rsid w:val="004C4476"/>
    <w:rsid w:val="004C7E0B"/>
    <w:rsid w:val="004D08C5"/>
    <w:rsid w:val="004D1229"/>
    <w:rsid w:val="004D4469"/>
    <w:rsid w:val="004D6886"/>
    <w:rsid w:val="004D7337"/>
    <w:rsid w:val="004E068A"/>
    <w:rsid w:val="004E29D9"/>
    <w:rsid w:val="004E2F33"/>
    <w:rsid w:val="004E4E0B"/>
    <w:rsid w:val="004E577A"/>
    <w:rsid w:val="004E64D1"/>
    <w:rsid w:val="004E704C"/>
    <w:rsid w:val="004E7BA1"/>
    <w:rsid w:val="004F041B"/>
    <w:rsid w:val="004F0DBA"/>
    <w:rsid w:val="004F1E20"/>
    <w:rsid w:val="004F46AB"/>
    <w:rsid w:val="004F56EA"/>
    <w:rsid w:val="004F671D"/>
    <w:rsid w:val="004F7FBD"/>
    <w:rsid w:val="00500635"/>
    <w:rsid w:val="00501127"/>
    <w:rsid w:val="00504E1A"/>
    <w:rsid w:val="00506109"/>
    <w:rsid w:val="00510099"/>
    <w:rsid w:val="00510657"/>
    <w:rsid w:val="00511AA8"/>
    <w:rsid w:val="00511B69"/>
    <w:rsid w:val="00512692"/>
    <w:rsid w:val="00513111"/>
    <w:rsid w:val="00513162"/>
    <w:rsid w:val="005139D6"/>
    <w:rsid w:val="00514A2A"/>
    <w:rsid w:val="00515213"/>
    <w:rsid w:val="00521046"/>
    <w:rsid w:val="00521E39"/>
    <w:rsid w:val="0052492C"/>
    <w:rsid w:val="00525D9D"/>
    <w:rsid w:val="005274AB"/>
    <w:rsid w:val="0052783B"/>
    <w:rsid w:val="00527F00"/>
    <w:rsid w:val="0053274E"/>
    <w:rsid w:val="00532CB6"/>
    <w:rsid w:val="00533C9E"/>
    <w:rsid w:val="0053560F"/>
    <w:rsid w:val="00535951"/>
    <w:rsid w:val="00535CBC"/>
    <w:rsid w:val="005361C4"/>
    <w:rsid w:val="00540F89"/>
    <w:rsid w:val="005419A3"/>
    <w:rsid w:val="005428BD"/>
    <w:rsid w:val="00542E3A"/>
    <w:rsid w:val="00544035"/>
    <w:rsid w:val="0054480D"/>
    <w:rsid w:val="00544ED2"/>
    <w:rsid w:val="00545E53"/>
    <w:rsid w:val="00545F2B"/>
    <w:rsid w:val="005471AF"/>
    <w:rsid w:val="0055249B"/>
    <w:rsid w:val="00552E97"/>
    <w:rsid w:val="00553780"/>
    <w:rsid w:val="00554E7A"/>
    <w:rsid w:val="00560523"/>
    <w:rsid w:val="00560A8E"/>
    <w:rsid w:val="00560C1F"/>
    <w:rsid w:val="00560CB5"/>
    <w:rsid w:val="00563785"/>
    <w:rsid w:val="005644A6"/>
    <w:rsid w:val="00565274"/>
    <w:rsid w:val="00565F9F"/>
    <w:rsid w:val="00566900"/>
    <w:rsid w:val="00567E34"/>
    <w:rsid w:val="00567F26"/>
    <w:rsid w:val="00573E4B"/>
    <w:rsid w:val="00574586"/>
    <w:rsid w:val="00574656"/>
    <w:rsid w:val="005747CD"/>
    <w:rsid w:val="00575453"/>
    <w:rsid w:val="00575EDB"/>
    <w:rsid w:val="005809BC"/>
    <w:rsid w:val="00580DEC"/>
    <w:rsid w:val="00581724"/>
    <w:rsid w:val="00581899"/>
    <w:rsid w:val="00583B1F"/>
    <w:rsid w:val="00583FEF"/>
    <w:rsid w:val="00584189"/>
    <w:rsid w:val="00586626"/>
    <w:rsid w:val="00586DDB"/>
    <w:rsid w:val="0059007D"/>
    <w:rsid w:val="005900FB"/>
    <w:rsid w:val="00590AF8"/>
    <w:rsid w:val="00592DDA"/>
    <w:rsid w:val="005935B5"/>
    <w:rsid w:val="005936F5"/>
    <w:rsid w:val="00593BF4"/>
    <w:rsid w:val="00593CF2"/>
    <w:rsid w:val="005945C3"/>
    <w:rsid w:val="00594EF9"/>
    <w:rsid w:val="00595FA0"/>
    <w:rsid w:val="00597063"/>
    <w:rsid w:val="00597AD9"/>
    <w:rsid w:val="005A0642"/>
    <w:rsid w:val="005A0F90"/>
    <w:rsid w:val="005A1399"/>
    <w:rsid w:val="005A1B83"/>
    <w:rsid w:val="005A22CB"/>
    <w:rsid w:val="005A2478"/>
    <w:rsid w:val="005A48FF"/>
    <w:rsid w:val="005A4C08"/>
    <w:rsid w:val="005A4C1E"/>
    <w:rsid w:val="005A6AB1"/>
    <w:rsid w:val="005B1D96"/>
    <w:rsid w:val="005B38D3"/>
    <w:rsid w:val="005B43E2"/>
    <w:rsid w:val="005B687D"/>
    <w:rsid w:val="005B6C82"/>
    <w:rsid w:val="005C2539"/>
    <w:rsid w:val="005C4FB1"/>
    <w:rsid w:val="005C65E9"/>
    <w:rsid w:val="005C6D4B"/>
    <w:rsid w:val="005D0193"/>
    <w:rsid w:val="005D0BBD"/>
    <w:rsid w:val="005D173D"/>
    <w:rsid w:val="005D17DF"/>
    <w:rsid w:val="005D1AE6"/>
    <w:rsid w:val="005D21A4"/>
    <w:rsid w:val="005D279B"/>
    <w:rsid w:val="005D56AA"/>
    <w:rsid w:val="005E0318"/>
    <w:rsid w:val="005E0B23"/>
    <w:rsid w:val="005E130A"/>
    <w:rsid w:val="005E1B3C"/>
    <w:rsid w:val="005E2B37"/>
    <w:rsid w:val="005E319C"/>
    <w:rsid w:val="005E32A0"/>
    <w:rsid w:val="005E33D7"/>
    <w:rsid w:val="005E468C"/>
    <w:rsid w:val="005E5594"/>
    <w:rsid w:val="005E65DE"/>
    <w:rsid w:val="005E69B3"/>
    <w:rsid w:val="005E7302"/>
    <w:rsid w:val="005E748F"/>
    <w:rsid w:val="005F26CD"/>
    <w:rsid w:val="005F2A0A"/>
    <w:rsid w:val="005F321A"/>
    <w:rsid w:val="005F59F8"/>
    <w:rsid w:val="005F6492"/>
    <w:rsid w:val="0060080F"/>
    <w:rsid w:val="00600D91"/>
    <w:rsid w:val="00602307"/>
    <w:rsid w:val="00603C83"/>
    <w:rsid w:val="00605F1F"/>
    <w:rsid w:val="00606813"/>
    <w:rsid w:val="00606E2C"/>
    <w:rsid w:val="0061020E"/>
    <w:rsid w:val="00610EB3"/>
    <w:rsid w:val="00612884"/>
    <w:rsid w:val="00613957"/>
    <w:rsid w:val="00613B26"/>
    <w:rsid w:val="00613DD9"/>
    <w:rsid w:val="006145DC"/>
    <w:rsid w:val="00614850"/>
    <w:rsid w:val="00615119"/>
    <w:rsid w:val="00616577"/>
    <w:rsid w:val="00617276"/>
    <w:rsid w:val="0061793E"/>
    <w:rsid w:val="00617DA3"/>
    <w:rsid w:val="00620A34"/>
    <w:rsid w:val="006213E7"/>
    <w:rsid w:val="0062226D"/>
    <w:rsid w:val="006223AA"/>
    <w:rsid w:val="006237EB"/>
    <w:rsid w:val="00626080"/>
    <w:rsid w:val="00627258"/>
    <w:rsid w:val="006307A9"/>
    <w:rsid w:val="00633774"/>
    <w:rsid w:val="00634E94"/>
    <w:rsid w:val="006367CD"/>
    <w:rsid w:val="00641C80"/>
    <w:rsid w:val="00645646"/>
    <w:rsid w:val="00653341"/>
    <w:rsid w:val="00653548"/>
    <w:rsid w:val="00653B7F"/>
    <w:rsid w:val="00653E76"/>
    <w:rsid w:val="006547E0"/>
    <w:rsid w:val="0065540F"/>
    <w:rsid w:val="0065566F"/>
    <w:rsid w:val="006570CB"/>
    <w:rsid w:val="006574FA"/>
    <w:rsid w:val="00660684"/>
    <w:rsid w:val="00661014"/>
    <w:rsid w:val="00661D26"/>
    <w:rsid w:val="00664148"/>
    <w:rsid w:val="00665127"/>
    <w:rsid w:val="00666B3E"/>
    <w:rsid w:val="0066790D"/>
    <w:rsid w:val="00667FB2"/>
    <w:rsid w:val="00670A6C"/>
    <w:rsid w:val="00677050"/>
    <w:rsid w:val="00677A8C"/>
    <w:rsid w:val="006800C9"/>
    <w:rsid w:val="00680B74"/>
    <w:rsid w:val="0068586D"/>
    <w:rsid w:val="00687810"/>
    <w:rsid w:val="00690949"/>
    <w:rsid w:val="006920ED"/>
    <w:rsid w:val="00692590"/>
    <w:rsid w:val="006936DB"/>
    <w:rsid w:val="00694DAC"/>
    <w:rsid w:val="00695E9D"/>
    <w:rsid w:val="006A06B6"/>
    <w:rsid w:val="006A0878"/>
    <w:rsid w:val="006A193F"/>
    <w:rsid w:val="006A2391"/>
    <w:rsid w:val="006A2A8B"/>
    <w:rsid w:val="006A2F5A"/>
    <w:rsid w:val="006A31F8"/>
    <w:rsid w:val="006A4390"/>
    <w:rsid w:val="006A69BB"/>
    <w:rsid w:val="006A7DD8"/>
    <w:rsid w:val="006B0431"/>
    <w:rsid w:val="006B1567"/>
    <w:rsid w:val="006B2DE9"/>
    <w:rsid w:val="006B49DA"/>
    <w:rsid w:val="006B5963"/>
    <w:rsid w:val="006B5C3A"/>
    <w:rsid w:val="006B75BA"/>
    <w:rsid w:val="006C1A96"/>
    <w:rsid w:val="006C5240"/>
    <w:rsid w:val="006C691A"/>
    <w:rsid w:val="006C71C1"/>
    <w:rsid w:val="006D0CF9"/>
    <w:rsid w:val="006D21BC"/>
    <w:rsid w:val="006D2751"/>
    <w:rsid w:val="006D371D"/>
    <w:rsid w:val="006D4C66"/>
    <w:rsid w:val="006D679E"/>
    <w:rsid w:val="006D6D65"/>
    <w:rsid w:val="006D7C62"/>
    <w:rsid w:val="006E274F"/>
    <w:rsid w:val="006E344F"/>
    <w:rsid w:val="006E368A"/>
    <w:rsid w:val="006E4569"/>
    <w:rsid w:val="006E5453"/>
    <w:rsid w:val="006E7245"/>
    <w:rsid w:val="006F0738"/>
    <w:rsid w:val="006F0FA5"/>
    <w:rsid w:val="006F1C2A"/>
    <w:rsid w:val="006F2C9C"/>
    <w:rsid w:val="006F5621"/>
    <w:rsid w:val="006F783E"/>
    <w:rsid w:val="0070119A"/>
    <w:rsid w:val="00702F55"/>
    <w:rsid w:val="007038E3"/>
    <w:rsid w:val="0070467A"/>
    <w:rsid w:val="00705780"/>
    <w:rsid w:val="00705B7C"/>
    <w:rsid w:val="00706D70"/>
    <w:rsid w:val="007109DA"/>
    <w:rsid w:val="0071284E"/>
    <w:rsid w:val="00712BBF"/>
    <w:rsid w:val="0071428F"/>
    <w:rsid w:val="00714B48"/>
    <w:rsid w:val="00714C99"/>
    <w:rsid w:val="0071730A"/>
    <w:rsid w:val="00717C16"/>
    <w:rsid w:val="007210B0"/>
    <w:rsid w:val="00722129"/>
    <w:rsid w:val="007228FA"/>
    <w:rsid w:val="007244A8"/>
    <w:rsid w:val="007247E5"/>
    <w:rsid w:val="00725906"/>
    <w:rsid w:val="00725918"/>
    <w:rsid w:val="0073075A"/>
    <w:rsid w:val="00732174"/>
    <w:rsid w:val="007327AF"/>
    <w:rsid w:val="00732F83"/>
    <w:rsid w:val="007334E3"/>
    <w:rsid w:val="007336B3"/>
    <w:rsid w:val="00734902"/>
    <w:rsid w:val="00734C92"/>
    <w:rsid w:val="0073595D"/>
    <w:rsid w:val="00736245"/>
    <w:rsid w:val="00736705"/>
    <w:rsid w:val="00740558"/>
    <w:rsid w:val="00740730"/>
    <w:rsid w:val="00740978"/>
    <w:rsid w:val="00742205"/>
    <w:rsid w:val="00743030"/>
    <w:rsid w:val="0074456D"/>
    <w:rsid w:val="00745B5E"/>
    <w:rsid w:val="0075194C"/>
    <w:rsid w:val="00752FBE"/>
    <w:rsid w:val="007539B3"/>
    <w:rsid w:val="00757034"/>
    <w:rsid w:val="00760433"/>
    <w:rsid w:val="00761902"/>
    <w:rsid w:val="00762440"/>
    <w:rsid w:val="00763234"/>
    <w:rsid w:val="00764F48"/>
    <w:rsid w:val="00766060"/>
    <w:rsid w:val="0076689D"/>
    <w:rsid w:val="0077033A"/>
    <w:rsid w:val="0077231F"/>
    <w:rsid w:val="00773D4B"/>
    <w:rsid w:val="007750A1"/>
    <w:rsid w:val="007778C7"/>
    <w:rsid w:val="00783954"/>
    <w:rsid w:val="00784473"/>
    <w:rsid w:val="0078529B"/>
    <w:rsid w:val="00786384"/>
    <w:rsid w:val="00786A73"/>
    <w:rsid w:val="00786C57"/>
    <w:rsid w:val="00791F66"/>
    <w:rsid w:val="00793FB0"/>
    <w:rsid w:val="007B0627"/>
    <w:rsid w:val="007B357B"/>
    <w:rsid w:val="007B5306"/>
    <w:rsid w:val="007B596B"/>
    <w:rsid w:val="007B6C94"/>
    <w:rsid w:val="007B7C6C"/>
    <w:rsid w:val="007C0E92"/>
    <w:rsid w:val="007C1415"/>
    <w:rsid w:val="007C1D35"/>
    <w:rsid w:val="007C3BEC"/>
    <w:rsid w:val="007C4318"/>
    <w:rsid w:val="007C732B"/>
    <w:rsid w:val="007C7EB9"/>
    <w:rsid w:val="007D0046"/>
    <w:rsid w:val="007D035E"/>
    <w:rsid w:val="007D061F"/>
    <w:rsid w:val="007D3049"/>
    <w:rsid w:val="007D3170"/>
    <w:rsid w:val="007D31BB"/>
    <w:rsid w:val="007D3ED8"/>
    <w:rsid w:val="007D616C"/>
    <w:rsid w:val="007D69DE"/>
    <w:rsid w:val="007E0B58"/>
    <w:rsid w:val="007E1BD8"/>
    <w:rsid w:val="007E3669"/>
    <w:rsid w:val="007E419B"/>
    <w:rsid w:val="007E5B4A"/>
    <w:rsid w:val="007E6689"/>
    <w:rsid w:val="007F0A37"/>
    <w:rsid w:val="007F0FA6"/>
    <w:rsid w:val="007F1EFC"/>
    <w:rsid w:val="007F293E"/>
    <w:rsid w:val="007F3353"/>
    <w:rsid w:val="007F3474"/>
    <w:rsid w:val="007F6305"/>
    <w:rsid w:val="007F6DBA"/>
    <w:rsid w:val="0080074C"/>
    <w:rsid w:val="0080075C"/>
    <w:rsid w:val="008009F0"/>
    <w:rsid w:val="00800CC4"/>
    <w:rsid w:val="008018FF"/>
    <w:rsid w:val="00801EC8"/>
    <w:rsid w:val="008028B3"/>
    <w:rsid w:val="008030DE"/>
    <w:rsid w:val="0080478A"/>
    <w:rsid w:val="00804C71"/>
    <w:rsid w:val="00805C79"/>
    <w:rsid w:val="00807BB8"/>
    <w:rsid w:val="00807C64"/>
    <w:rsid w:val="008101D3"/>
    <w:rsid w:val="00810A87"/>
    <w:rsid w:val="00811117"/>
    <w:rsid w:val="008119F6"/>
    <w:rsid w:val="00813172"/>
    <w:rsid w:val="008145F2"/>
    <w:rsid w:val="00816724"/>
    <w:rsid w:val="00820F91"/>
    <w:rsid w:val="0082430D"/>
    <w:rsid w:val="008263B1"/>
    <w:rsid w:val="00827A5E"/>
    <w:rsid w:val="008305DC"/>
    <w:rsid w:val="0083180B"/>
    <w:rsid w:val="00831ED2"/>
    <w:rsid w:val="00831FC7"/>
    <w:rsid w:val="008332FC"/>
    <w:rsid w:val="00833EC0"/>
    <w:rsid w:val="00835C62"/>
    <w:rsid w:val="00836836"/>
    <w:rsid w:val="00836AA9"/>
    <w:rsid w:val="008379A8"/>
    <w:rsid w:val="0084063E"/>
    <w:rsid w:val="00842893"/>
    <w:rsid w:val="00843222"/>
    <w:rsid w:val="00843DEB"/>
    <w:rsid w:val="00844381"/>
    <w:rsid w:val="00844603"/>
    <w:rsid w:val="008454F9"/>
    <w:rsid w:val="008467A9"/>
    <w:rsid w:val="00847829"/>
    <w:rsid w:val="00847B2F"/>
    <w:rsid w:val="0085023F"/>
    <w:rsid w:val="008512D2"/>
    <w:rsid w:val="008540CD"/>
    <w:rsid w:val="00855580"/>
    <w:rsid w:val="008559EB"/>
    <w:rsid w:val="0085624A"/>
    <w:rsid w:val="008564DD"/>
    <w:rsid w:val="00856724"/>
    <w:rsid w:val="008567B0"/>
    <w:rsid w:val="00856DFB"/>
    <w:rsid w:val="00860C7C"/>
    <w:rsid w:val="00860FDA"/>
    <w:rsid w:val="00861B9C"/>
    <w:rsid w:val="008637E9"/>
    <w:rsid w:val="00863B3F"/>
    <w:rsid w:val="00864224"/>
    <w:rsid w:val="00865D3F"/>
    <w:rsid w:val="00866C42"/>
    <w:rsid w:val="00866CAF"/>
    <w:rsid w:val="00866ED7"/>
    <w:rsid w:val="00870D5E"/>
    <w:rsid w:val="00871E78"/>
    <w:rsid w:val="00872297"/>
    <w:rsid w:val="0087239C"/>
    <w:rsid w:val="0087262E"/>
    <w:rsid w:val="00872F61"/>
    <w:rsid w:val="00874BDA"/>
    <w:rsid w:val="008767E5"/>
    <w:rsid w:val="0087719A"/>
    <w:rsid w:val="008836EC"/>
    <w:rsid w:val="00884386"/>
    <w:rsid w:val="00885605"/>
    <w:rsid w:val="008868A3"/>
    <w:rsid w:val="008873F3"/>
    <w:rsid w:val="008914B2"/>
    <w:rsid w:val="00894105"/>
    <w:rsid w:val="008943B1"/>
    <w:rsid w:val="0089560A"/>
    <w:rsid w:val="0089649D"/>
    <w:rsid w:val="00897391"/>
    <w:rsid w:val="008979AF"/>
    <w:rsid w:val="008A1E95"/>
    <w:rsid w:val="008A4230"/>
    <w:rsid w:val="008A4BD1"/>
    <w:rsid w:val="008A5A0B"/>
    <w:rsid w:val="008B0403"/>
    <w:rsid w:val="008B0E63"/>
    <w:rsid w:val="008B1054"/>
    <w:rsid w:val="008B1A08"/>
    <w:rsid w:val="008B1FCC"/>
    <w:rsid w:val="008B259E"/>
    <w:rsid w:val="008B2DDC"/>
    <w:rsid w:val="008B2FF6"/>
    <w:rsid w:val="008B429A"/>
    <w:rsid w:val="008B43E3"/>
    <w:rsid w:val="008B7C1A"/>
    <w:rsid w:val="008C0CF5"/>
    <w:rsid w:val="008C249D"/>
    <w:rsid w:val="008C2DE1"/>
    <w:rsid w:val="008C3A4A"/>
    <w:rsid w:val="008C3CC0"/>
    <w:rsid w:val="008C5081"/>
    <w:rsid w:val="008C5F1A"/>
    <w:rsid w:val="008C6C7B"/>
    <w:rsid w:val="008D09A6"/>
    <w:rsid w:val="008D220F"/>
    <w:rsid w:val="008D3C97"/>
    <w:rsid w:val="008D4B8A"/>
    <w:rsid w:val="008D4EE8"/>
    <w:rsid w:val="008D54EE"/>
    <w:rsid w:val="008D6489"/>
    <w:rsid w:val="008D7461"/>
    <w:rsid w:val="008E174E"/>
    <w:rsid w:val="008E2029"/>
    <w:rsid w:val="008E37DF"/>
    <w:rsid w:val="008E3D76"/>
    <w:rsid w:val="008E3FED"/>
    <w:rsid w:val="008E7AB4"/>
    <w:rsid w:val="008F0528"/>
    <w:rsid w:val="008F30C0"/>
    <w:rsid w:val="008F3581"/>
    <w:rsid w:val="008F4F06"/>
    <w:rsid w:val="008F51BA"/>
    <w:rsid w:val="008F695E"/>
    <w:rsid w:val="008F72A9"/>
    <w:rsid w:val="009023F5"/>
    <w:rsid w:val="00903A38"/>
    <w:rsid w:val="00904C47"/>
    <w:rsid w:val="00904C8E"/>
    <w:rsid w:val="00905AA5"/>
    <w:rsid w:val="009112AA"/>
    <w:rsid w:val="009119CE"/>
    <w:rsid w:val="009134B5"/>
    <w:rsid w:val="00916A25"/>
    <w:rsid w:val="00916E94"/>
    <w:rsid w:val="009174A5"/>
    <w:rsid w:val="00917E02"/>
    <w:rsid w:val="0092074A"/>
    <w:rsid w:val="009234A5"/>
    <w:rsid w:val="0092478E"/>
    <w:rsid w:val="00924792"/>
    <w:rsid w:val="00924C54"/>
    <w:rsid w:val="00924D46"/>
    <w:rsid w:val="0092555B"/>
    <w:rsid w:val="0092560F"/>
    <w:rsid w:val="009258D0"/>
    <w:rsid w:val="00925E08"/>
    <w:rsid w:val="009273B5"/>
    <w:rsid w:val="00927771"/>
    <w:rsid w:val="00927E0D"/>
    <w:rsid w:val="00927F8D"/>
    <w:rsid w:val="0093049A"/>
    <w:rsid w:val="00930AAF"/>
    <w:rsid w:val="009322FC"/>
    <w:rsid w:val="009337EA"/>
    <w:rsid w:val="00933881"/>
    <w:rsid w:val="00933C91"/>
    <w:rsid w:val="00934DC3"/>
    <w:rsid w:val="00937B09"/>
    <w:rsid w:val="009403FE"/>
    <w:rsid w:val="009424AD"/>
    <w:rsid w:val="00942921"/>
    <w:rsid w:val="009444EA"/>
    <w:rsid w:val="00946254"/>
    <w:rsid w:val="00947B1E"/>
    <w:rsid w:val="00951CB7"/>
    <w:rsid w:val="00952D60"/>
    <w:rsid w:val="00953B46"/>
    <w:rsid w:val="009548A2"/>
    <w:rsid w:val="009566E4"/>
    <w:rsid w:val="00957F60"/>
    <w:rsid w:val="00960970"/>
    <w:rsid w:val="00961593"/>
    <w:rsid w:val="00961C7E"/>
    <w:rsid w:val="00961DF4"/>
    <w:rsid w:val="009625FB"/>
    <w:rsid w:val="00963A67"/>
    <w:rsid w:val="00963AA9"/>
    <w:rsid w:val="00963ADC"/>
    <w:rsid w:val="00963D74"/>
    <w:rsid w:val="00965170"/>
    <w:rsid w:val="00965C9E"/>
    <w:rsid w:val="009665DD"/>
    <w:rsid w:val="00967271"/>
    <w:rsid w:val="00967BC4"/>
    <w:rsid w:val="00971323"/>
    <w:rsid w:val="00972975"/>
    <w:rsid w:val="00972C66"/>
    <w:rsid w:val="00972FBC"/>
    <w:rsid w:val="00975035"/>
    <w:rsid w:val="00976C11"/>
    <w:rsid w:val="0098089E"/>
    <w:rsid w:val="00982312"/>
    <w:rsid w:val="00985830"/>
    <w:rsid w:val="00985B2D"/>
    <w:rsid w:val="00987A5F"/>
    <w:rsid w:val="00992508"/>
    <w:rsid w:val="0099465F"/>
    <w:rsid w:val="0099596D"/>
    <w:rsid w:val="00995E41"/>
    <w:rsid w:val="009A098B"/>
    <w:rsid w:val="009A15A9"/>
    <w:rsid w:val="009A4117"/>
    <w:rsid w:val="009A50D5"/>
    <w:rsid w:val="009A673E"/>
    <w:rsid w:val="009A6E3D"/>
    <w:rsid w:val="009A7EF1"/>
    <w:rsid w:val="009B0355"/>
    <w:rsid w:val="009B07A3"/>
    <w:rsid w:val="009B0A93"/>
    <w:rsid w:val="009B1240"/>
    <w:rsid w:val="009B16BA"/>
    <w:rsid w:val="009B196C"/>
    <w:rsid w:val="009B1F3F"/>
    <w:rsid w:val="009B3945"/>
    <w:rsid w:val="009B4F25"/>
    <w:rsid w:val="009B5467"/>
    <w:rsid w:val="009B6E97"/>
    <w:rsid w:val="009B746C"/>
    <w:rsid w:val="009C01DA"/>
    <w:rsid w:val="009C06FD"/>
    <w:rsid w:val="009C2342"/>
    <w:rsid w:val="009C27F1"/>
    <w:rsid w:val="009C2CE2"/>
    <w:rsid w:val="009C30BB"/>
    <w:rsid w:val="009C4AC1"/>
    <w:rsid w:val="009C773E"/>
    <w:rsid w:val="009D015F"/>
    <w:rsid w:val="009D02B0"/>
    <w:rsid w:val="009D0A41"/>
    <w:rsid w:val="009D1FE3"/>
    <w:rsid w:val="009D21E7"/>
    <w:rsid w:val="009D4077"/>
    <w:rsid w:val="009D6364"/>
    <w:rsid w:val="009E0A39"/>
    <w:rsid w:val="009E5749"/>
    <w:rsid w:val="009E5B5F"/>
    <w:rsid w:val="009E60B6"/>
    <w:rsid w:val="009E6144"/>
    <w:rsid w:val="009E6255"/>
    <w:rsid w:val="009E6F19"/>
    <w:rsid w:val="009F2102"/>
    <w:rsid w:val="009F45F1"/>
    <w:rsid w:val="009F649C"/>
    <w:rsid w:val="00A00CF2"/>
    <w:rsid w:val="00A01894"/>
    <w:rsid w:val="00A04718"/>
    <w:rsid w:val="00A04C79"/>
    <w:rsid w:val="00A05530"/>
    <w:rsid w:val="00A056E6"/>
    <w:rsid w:val="00A1000E"/>
    <w:rsid w:val="00A1296E"/>
    <w:rsid w:val="00A12F70"/>
    <w:rsid w:val="00A130AA"/>
    <w:rsid w:val="00A13AF2"/>
    <w:rsid w:val="00A13E02"/>
    <w:rsid w:val="00A14822"/>
    <w:rsid w:val="00A14D41"/>
    <w:rsid w:val="00A1570B"/>
    <w:rsid w:val="00A162C2"/>
    <w:rsid w:val="00A17332"/>
    <w:rsid w:val="00A2158B"/>
    <w:rsid w:val="00A217E3"/>
    <w:rsid w:val="00A218D3"/>
    <w:rsid w:val="00A23BA0"/>
    <w:rsid w:val="00A23E8A"/>
    <w:rsid w:val="00A253B4"/>
    <w:rsid w:val="00A27272"/>
    <w:rsid w:val="00A324DA"/>
    <w:rsid w:val="00A32EC6"/>
    <w:rsid w:val="00A348CC"/>
    <w:rsid w:val="00A3677C"/>
    <w:rsid w:val="00A41E8D"/>
    <w:rsid w:val="00A42CF3"/>
    <w:rsid w:val="00A44089"/>
    <w:rsid w:val="00A44B01"/>
    <w:rsid w:val="00A459AD"/>
    <w:rsid w:val="00A463DA"/>
    <w:rsid w:val="00A46AD8"/>
    <w:rsid w:val="00A47400"/>
    <w:rsid w:val="00A47F7A"/>
    <w:rsid w:val="00A502F2"/>
    <w:rsid w:val="00A50A03"/>
    <w:rsid w:val="00A521A5"/>
    <w:rsid w:val="00A5398A"/>
    <w:rsid w:val="00A541C6"/>
    <w:rsid w:val="00A57575"/>
    <w:rsid w:val="00A6129D"/>
    <w:rsid w:val="00A6177F"/>
    <w:rsid w:val="00A626AE"/>
    <w:rsid w:val="00A64C2A"/>
    <w:rsid w:val="00A64EDD"/>
    <w:rsid w:val="00A65240"/>
    <w:rsid w:val="00A6571F"/>
    <w:rsid w:val="00A65A62"/>
    <w:rsid w:val="00A65D6B"/>
    <w:rsid w:val="00A6698F"/>
    <w:rsid w:val="00A678B1"/>
    <w:rsid w:val="00A6794E"/>
    <w:rsid w:val="00A704C1"/>
    <w:rsid w:val="00A705CD"/>
    <w:rsid w:val="00A706DD"/>
    <w:rsid w:val="00A7357C"/>
    <w:rsid w:val="00A75545"/>
    <w:rsid w:val="00A75666"/>
    <w:rsid w:val="00A778D2"/>
    <w:rsid w:val="00A77C77"/>
    <w:rsid w:val="00A807F0"/>
    <w:rsid w:val="00A81289"/>
    <w:rsid w:val="00A8134A"/>
    <w:rsid w:val="00A81D26"/>
    <w:rsid w:val="00A81EE2"/>
    <w:rsid w:val="00A82ED0"/>
    <w:rsid w:val="00A83460"/>
    <w:rsid w:val="00A86037"/>
    <w:rsid w:val="00A86258"/>
    <w:rsid w:val="00A866CC"/>
    <w:rsid w:val="00A87460"/>
    <w:rsid w:val="00A90BC0"/>
    <w:rsid w:val="00A92802"/>
    <w:rsid w:val="00A937EF"/>
    <w:rsid w:val="00A9558F"/>
    <w:rsid w:val="00A958F3"/>
    <w:rsid w:val="00A97783"/>
    <w:rsid w:val="00A97B66"/>
    <w:rsid w:val="00AA0E3F"/>
    <w:rsid w:val="00AA1C1B"/>
    <w:rsid w:val="00AA3E6B"/>
    <w:rsid w:val="00AB021A"/>
    <w:rsid w:val="00AB3F18"/>
    <w:rsid w:val="00AB454F"/>
    <w:rsid w:val="00AB6602"/>
    <w:rsid w:val="00AC049C"/>
    <w:rsid w:val="00AC49AE"/>
    <w:rsid w:val="00AC652F"/>
    <w:rsid w:val="00AC6BC2"/>
    <w:rsid w:val="00AC7226"/>
    <w:rsid w:val="00AD043B"/>
    <w:rsid w:val="00AD1B8B"/>
    <w:rsid w:val="00AD32E5"/>
    <w:rsid w:val="00AD4E92"/>
    <w:rsid w:val="00AD5571"/>
    <w:rsid w:val="00AD67CB"/>
    <w:rsid w:val="00AE1A1D"/>
    <w:rsid w:val="00AE1FCF"/>
    <w:rsid w:val="00AE35DF"/>
    <w:rsid w:val="00AE5623"/>
    <w:rsid w:val="00AE58EB"/>
    <w:rsid w:val="00AE7053"/>
    <w:rsid w:val="00AE705F"/>
    <w:rsid w:val="00AE7D96"/>
    <w:rsid w:val="00AF07F8"/>
    <w:rsid w:val="00AF2801"/>
    <w:rsid w:val="00AF40EE"/>
    <w:rsid w:val="00AF4CEF"/>
    <w:rsid w:val="00AF6FF4"/>
    <w:rsid w:val="00AF7223"/>
    <w:rsid w:val="00B004D5"/>
    <w:rsid w:val="00B005D2"/>
    <w:rsid w:val="00B020E0"/>
    <w:rsid w:val="00B03481"/>
    <w:rsid w:val="00B04710"/>
    <w:rsid w:val="00B075C8"/>
    <w:rsid w:val="00B07A67"/>
    <w:rsid w:val="00B10A83"/>
    <w:rsid w:val="00B11F5A"/>
    <w:rsid w:val="00B13324"/>
    <w:rsid w:val="00B13B89"/>
    <w:rsid w:val="00B140A3"/>
    <w:rsid w:val="00B14553"/>
    <w:rsid w:val="00B20A83"/>
    <w:rsid w:val="00B20BF0"/>
    <w:rsid w:val="00B20CC2"/>
    <w:rsid w:val="00B20E52"/>
    <w:rsid w:val="00B2268F"/>
    <w:rsid w:val="00B238D0"/>
    <w:rsid w:val="00B23A7D"/>
    <w:rsid w:val="00B256AC"/>
    <w:rsid w:val="00B2618B"/>
    <w:rsid w:val="00B26FBA"/>
    <w:rsid w:val="00B27329"/>
    <w:rsid w:val="00B3004F"/>
    <w:rsid w:val="00B31154"/>
    <w:rsid w:val="00B33C54"/>
    <w:rsid w:val="00B353B1"/>
    <w:rsid w:val="00B35F4F"/>
    <w:rsid w:val="00B37F52"/>
    <w:rsid w:val="00B41795"/>
    <w:rsid w:val="00B43224"/>
    <w:rsid w:val="00B44677"/>
    <w:rsid w:val="00B44EC7"/>
    <w:rsid w:val="00B45C6F"/>
    <w:rsid w:val="00B469FC"/>
    <w:rsid w:val="00B472BD"/>
    <w:rsid w:val="00B51D58"/>
    <w:rsid w:val="00B51F4B"/>
    <w:rsid w:val="00B5281E"/>
    <w:rsid w:val="00B52FF1"/>
    <w:rsid w:val="00B56FDE"/>
    <w:rsid w:val="00B5761D"/>
    <w:rsid w:val="00B611ED"/>
    <w:rsid w:val="00B62DEB"/>
    <w:rsid w:val="00B65144"/>
    <w:rsid w:val="00B66440"/>
    <w:rsid w:val="00B66BC4"/>
    <w:rsid w:val="00B7179A"/>
    <w:rsid w:val="00B71EB0"/>
    <w:rsid w:val="00B7358B"/>
    <w:rsid w:val="00B73B84"/>
    <w:rsid w:val="00B74390"/>
    <w:rsid w:val="00B747F5"/>
    <w:rsid w:val="00B74F8B"/>
    <w:rsid w:val="00B75675"/>
    <w:rsid w:val="00B77867"/>
    <w:rsid w:val="00B80E2F"/>
    <w:rsid w:val="00B8213B"/>
    <w:rsid w:val="00B821A0"/>
    <w:rsid w:val="00B82AFB"/>
    <w:rsid w:val="00B8332A"/>
    <w:rsid w:val="00B8517D"/>
    <w:rsid w:val="00B85285"/>
    <w:rsid w:val="00B8551D"/>
    <w:rsid w:val="00B856A1"/>
    <w:rsid w:val="00B9068E"/>
    <w:rsid w:val="00B90FE4"/>
    <w:rsid w:val="00B92737"/>
    <w:rsid w:val="00B93DEE"/>
    <w:rsid w:val="00B94DA8"/>
    <w:rsid w:val="00B95E64"/>
    <w:rsid w:val="00B9613F"/>
    <w:rsid w:val="00B96AC7"/>
    <w:rsid w:val="00B97902"/>
    <w:rsid w:val="00B97E52"/>
    <w:rsid w:val="00BA1203"/>
    <w:rsid w:val="00BA139C"/>
    <w:rsid w:val="00BA141F"/>
    <w:rsid w:val="00BA1F73"/>
    <w:rsid w:val="00BA2DE6"/>
    <w:rsid w:val="00BA4CF3"/>
    <w:rsid w:val="00BA67D7"/>
    <w:rsid w:val="00BA6F7D"/>
    <w:rsid w:val="00BA721E"/>
    <w:rsid w:val="00BB03F3"/>
    <w:rsid w:val="00BB0AB9"/>
    <w:rsid w:val="00BB47F8"/>
    <w:rsid w:val="00BB4B41"/>
    <w:rsid w:val="00BB4CB5"/>
    <w:rsid w:val="00BC04EC"/>
    <w:rsid w:val="00BC0B48"/>
    <w:rsid w:val="00BC128E"/>
    <w:rsid w:val="00BC2F07"/>
    <w:rsid w:val="00BC3367"/>
    <w:rsid w:val="00BC42C6"/>
    <w:rsid w:val="00BC4848"/>
    <w:rsid w:val="00BD2EC6"/>
    <w:rsid w:val="00BD300A"/>
    <w:rsid w:val="00BD4CC6"/>
    <w:rsid w:val="00BD5FD5"/>
    <w:rsid w:val="00BD6219"/>
    <w:rsid w:val="00BD67CC"/>
    <w:rsid w:val="00BE125C"/>
    <w:rsid w:val="00BE291F"/>
    <w:rsid w:val="00BE32B6"/>
    <w:rsid w:val="00BE5733"/>
    <w:rsid w:val="00BE5D81"/>
    <w:rsid w:val="00BE6218"/>
    <w:rsid w:val="00BE71BE"/>
    <w:rsid w:val="00BE75A2"/>
    <w:rsid w:val="00BE7A02"/>
    <w:rsid w:val="00BF019D"/>
    <w:rsid w:val="00BF0779"/>
    <w:rsid w:val="00BF20F7"/>
    <w:rsid w:val="00BF2B0A"/>
    <w:rsid w:val="00BF2ECE"/>
    <w:rsid w:val="00BF3033"/>
    <w:rsid w:val="00BF58A5"/>
    <w:rsid w:val="00BF61C3"/>
    <w:rsid w:val="00C0024E"/>
    <w:rsid w:val="00C00C3A"/>
    <w:rsid w:val="00C03751"/>
    <w:rsid w:val="00C059A1"/>
    <w:rsid w:val="00C07B53"/>
    <w:rsid w:val="00C108DA"/>
    <w:rsid w:val="00C10AAB"/>
    <w:rsid w:val="00C11308"/>
    <w:rsid w:val="00C16223"/>
    <w:rsid w:val="00C201D3"/>
    <w:rsid w:val="00C20AC6"/>
    <w:rsid w:val="00C2264E"/>
    <w:rsid w:val="00C237DE"/>
    <w:rsid w:val="00C23B50"/>
    <w:rsid w:val="00C25049"/>
    <w:rsid w:val="00C25816"/>
    <w:rsid w:val="00C25DE5"/>
    <w:rsid w:val="00C275B2"/>
    <w:rsid w:val="00C30F42"/>
    <w:rsid w:val="00C31A90"/>
    <w:rsid w:val="00C33053"/>
    <w:rsid w:val="00C33765"/>
    <w:rsid w:val="00C340D7"/>
    <w:rsid w:val="00C36844"/>
    <w:rsid w:val="00C3754A"/>
    <w:rsid w:val="00C4089B"/>
    <w:rsid w:val="00C420EA"/>
    <w:rsid w:val="00C42323"/>
    <w:rsid w:val="00C428D0"/>
    <w:rsid w:val="00C42AE5"/>
    <w:rsid w:val="00C4422A"/>
    <w:rsid w:val="00C445C1"/>
    <w:rsid w:val="00C45261"/>
    <w:rsid w:val="00C47BC0"/>
    <w:rsid w:val="00C56371"/>
    <w:rsid w:val="00C56C36"/>
    <w:rsid w:val="00C57C12"/>
    <w:rsid w:val="00C61C0E"/>
    <w:rsid w:val="00C622C4"/>
    <w:rsid w:val="00C62ED2"/>
    <w:rsid w:val="00C631FC"/>
    <w:rsid w:val="00C63B6D"/>
    <w:rsid w:val="00C63DE7"/>
    <w:rsid w:val="00C64208"/>
    <w:rsid w:val="00C65615"/>
    <w:rsid w:val="00C65738"/>
    <w:rsid w:val="00C673DA"/>
    <w:rsid w:val="00C70D9B"/>
    <w:rsid w:val="00C7168E"/>
    <w:rsid w:val="00C71AA6"/>
    <w:rsid w:val="00C73A2A"/>
    <w:rsid w:val="00C7449C"/>
    <w:rsid w:val="00C7470D"/>
    <w:rsid w:val="00C75C5B"/>
    <w:rsid w:val="00C81382"/>
    <w:rsid w:val="00C8161C"/>
    <w:rsid w:val="00C81C0A"/>
    <w:rsid w:val="00C8298C"/>
    <w:rsid w:val="00C84680"/>
    <w:rsid w:val="00C84E36"/>
    <w:rsid w:val="00C855B0"/>
    <w:rsid w:val="00C86F8D"/>
    <w:rsid w:val="00C8775F"/>
    <w:rsid w:val="00C91BFE"/>
    <w:rsid w:val="00C93326"/>
    <w:rsid w:val="00C93749"/>
    <w:rsid w:val="00C93A33"/>
    <w:rsid w:val="00C94209"/>
    <w:rsid w:val="00C94E3B"/>
    <w:rsid w:val="00C9598D"/>
    <w:rsid w:val="00C977A6"/>
    <w:rsid w:val="00CA429F"/>
    <w:rsid w:val="00CA59C3"/>
    <w:rsid w:val="00CA5D90"/>
    <w:rsid w:val="00CA6804"/>
    <w:rsid w:val="00CA6CC6"/>
    <w:rsid w:val="00CB13C3"/>
    <w:rsid w:val="00CB33B4"/>
    <w:rsid w:val="00CB3F55"/>
    <w:rsid w:val="00CB7997"/>
    <w:rsid w:val="00CC377F"/>
    <w:rsid w:val="00CC3D3C"/>
    <w:rsid w:val="00CC40BF"/>
    <w:rsid w:val="00CC45AF"/>
    <w:rsid w:val="00CC50C9"/>
    <w:rsid w:val="00CC6FC1"/>
    <w:rsid w:val="00CD0730"/>
    <w:rsid w:val="00CD1100"/>
    <w:rsid w:val="00CD21DD"/>
    <w:rsid w:val="00CD2B42"/>
    <w:rsid w:val="00CD38A6"/>
    <w:rsid w:val="00CD41FC"/>
    <w:rsid w:val="00CD4E5E"/>
    <w:rsid w:val="00CD5190"/>
    <w:rsid w:val="00CD580C"/>
    <w:rsid w:val="00CD5AC6"/>
    <w:rsid w:val="00CD70B5"/>
    <w:rsid w:val="00CD713B"/>
    <w:rsid w:val="00CE075C"/>
    <w:rsid w:val="00CE32F2"/>
    <w:rsid w:val="00CE4860"/>
    <w:rsid w:val="00CE4D61"/>
    <w:rsid w:val="00CE591D"/>
    <w:rsid w:val="00CF0221"/>
    <w:rsid w:val="00CF0355"/>
    <w:rsid w:val="00CF195B"/>
    <w:rsid w:val="00CF3026"/>
    <w:rsid w:val="00CF3C08"/>
    <w:rsid w:val="00CF653D"/>
    <w:rsid w:val="00CF7DCF"/>
    <w:rsid w:val="00D00182"/>
    <w:rsid w:val="00D01710"/>
    <w:rsid w:val="00D017FA"/>
    <w:rsid w:val="00D01EFE"/>
    <w:rsid w:val="00D05114"/>
    <w:rsid w:val="00D06238"/>
    <w:rsid w:val="00D0684B"/>
    <w:rsid w:val="00D06E1D"/>
    <w:rsid w:val="00D06E7A"/>
    <w:rsid w:val="00D114E9"/>
    <w:rsid w:val="00D119B4"/>
    <w:rsid w:val="00D125B5"/>
    <w:rsid w:val="00D125D7"/>
    <w:rsid w:val="00D12A94"/>
    <w:rsid w:val="00D13D31"/>
    <w:rsid w:val="00D159EA"/>
    <w:rsid w:val="00D21DA0"/>
    <w:rsid w:val="00D22A86"/>
    <w:rsid w:val="00D23E3D"/>
    <w:rsid w:val="00D23E74"/>
    <w:rsid w:val="00D24BCF"/>
    <w:rsid w:val="00D254E8"/>
    <w:rsid w:val="00D2561F"/>
    <w:rsid w:val="00D25C5F"/>
    <w:rsid w:val="00D25FDB"/>
    <w:rsid w:val="00D261EB"/>
    <w:rsid w:val="00D26C01"/>
    <w:rsid w:val="00D270BB"/>
    <w:rsid w:val="00D31403"/>
    <w:rsid w:val="00D320F9"/>
    <w:rsid w:val="00D32233"/>
    <w:rsid w:val="00D32B72"/>
    <w:rsid w:val="00D32FF4"/>
    <w:rsid w:val="00D3349F"/>
    <w:rsid w:val="00D34AB5"/>
    <w:rsid w:val="00D35333"/>
    <w:rsid w:val="00D3675F"/>
    <w:rsid w:val="00D37307"/>
    <w:rsid w:val="00D44279"/>
    <w:rsid w:val="00D44416"/>
    <w:rsid w:val="00D45259"/>
    <w:rsid w:val="00D45980"/>
    <w:rsid w:val="00D45B56"/>
    <w:rsid w:val="00D45D0F"/>
    <w:rsid w:val="00D46122"/>
    <w:rsid w:val="00D47F3C"/>
    <w:rsid w:val="00D50489"/>
    <w:rsid w:val="00D51DC3"/>
    <w:rsid w:val="00D52A5D"/>
    <w:rsid w:val="00D52C38"/>
    <w:rsid w:val="00D53AE9"/>
    <w:rsid w:val="00D53E5B"/>
    <w:rsid w:val="00D57BB1"/>
    <w:rsid w:val="00D6045B"/>
    <w:rsid w:val="00D60C8F"/>
    <w:rsid w:val="00D622C9"/>
    <w:rsid w:val="00D635FB"/>
    <w:rsid w:val="00D63841"/>
    <w:rsid w:val="00D63CC7"/>
    <w:rsid w:val="00D651C4"/>
    <w:rsid w:val="00D66400"/>
    <w:rsid w:val="00D6692F"/>
    <w:rsid w:val="00D679F8"/>
    <w:rsid w:val="00D72E6F"/>
    <w:rsid w:val="00D74126"/>
    <w:rsid w:val="00D75305"/>
    <w:rsid w:val="00D76F34"/>
    <w:rsid w:val="00D801F9"/>
    <w:rsid w:val="00D80586"/>
    <w:rsid w:val="00D81FDE"/>
    <w:rsid w:val="00D82A91"/>
    <w:rsid w:val="00D82D7D"/>
    <w:rsid w:val="00D82DD8"/>
    <w:rsid w:val="00D84A1E"/>
    <w:rsid w:val="00D85D73"/>
    <w:rsid w:val="00D86F68"/>
    <w:rsid w:val="00D90009"/>
    <w:rsid w:val="00D90F40"/>
    <w:rsid w:val="00D92EDE"/>
    <w:rsid w:val="00D930D5"/>
    <w:rsid w:val="00D9525B"/>
    <w:rsid w:val="00D953E6"/>
    <w:rsid w:val="00D95BB0"/>
    <w:rsid w:val="00DA033F"/>
    <w:rsid w:val="00DA1D05"/>
    <w:rsid w:val="00DA36B7"/>
    <w:rsid w:val="00DA3AA2"/>
    <w:rsid w:val="00DA3CE5"/>
    <w:rsid w:val="00DA61F0"/>
    <w:rsid w:val="00DA6B8F"/>
    <w:rsid w:val="00DA7781"/>
    <w:rsid w:val="00DA7EDE"/>
    <w:rsid w:val="00DB2034"/>
    <w:rsid w:val="00DB5959"/>
    <w:rsid w:val="00DB5A8D"/>
    <w:rsid w:val="00DC0949"/>
    <w:rsid w:val="00DC12ED"/>
    <w:rsid w:val="00DC152E"/>
    <w:rsid w:val="00DC2EBA"/>
    <w:rsid w:val="00DC4D80"/>
    <w:rsid w:val="00DC5CFD"/>
    <w:rsid w:val="00DC7EF9"/>
    <w:rsid w:val="00DD2212"/>
    <w:rsid w:val="00DD2F0E"/>
    <w:rsid w:val="00DD4607"/>
    <w:rsid w:val="00DD521F"/>
    <w:rsid w:val="00DD66EB"/>
    <w:rsid w:val="00DD6A69"/>
    <w:rsid w:val="00DE012B"/>
    <w:rsid w:val="00DE14A2"/>
    <w:rsid w:val="00DE17BA"/>
    <w:rsid w:val="00DE270F"/>
    <w:rsid w:val="00DE4FBB"/>
    <w:rsid w:val="00DF02AF"/>
    <w:rsid w:val="00DF0AFE"/>
    <w:rsid w:val="00DF202F"/>
    <w:rsid w:val="00DF26CC"/>
    <w:rsid w:val="00DF2C20"/>
    <w:rsid w:val="00DF4A6B"/>
    <w:rsid w:val="00DF5C72"/>
    <w:rsid w:val="00DF5DC9"/>
    <w:rsid w:val="00DF643D"/>
    <w:rsid w:val="00DF7F56"/>
    <w:rsid w:val="00E01E34"/>
    <w:rsid w:val="00E01EF3"/>
    <w:rsid w:val="00E02CF4"/>
    <w:rsid w:val="00E03A18"/>
    <w:rsid w:val="00E04871"/>
    <w:rsid w:val="00E05770"/>
    <w:rsid w:val="00E05CE8"/>
    <w:rsid w:val="00E063AB"/>
    <w:rsid w:val="00E06C50"/>
    <w:rsid w:val="00E1050D"/>
    <w:rsid w:val="00E105CE"/>
    <w:rsid w:val="00E11A39"/>
    <w:rsid w:val="00E122AF"/>
    <w:rsid w:val="00E13086"/>
    <w:rsid w:val="00E141AC"/>
    <w:rsid w:val="00E1653C"/>
    <w:rsid w:val="00E16B1F"/>
    <w:rsid w:val="00E17E75"/>
    <w:rsid w:val="00E2019B"/>
    <w:rsid w:val="00E22184"/>
    <w:rsid w:val="00E22EB5"/>
    <w:rsid w:val="00E25552"/>
    <w:rsid w:val="00E25622"/>
    <w:rsid w:val="00E262E3"/>
    <w:rsid w:val="00E2704E"/>
    <w:rsid w:val="00E30C4C"/>
    <w:rsid w:val="00E318E9"/>
    <w:rsid w:val="00E32D06"/>
    <w:rsid w:val="00E32F1E"/>
    <w:rsid w:val="00E34258"/>
    <w:rsid w:val="00E342FF"/>
    <w:rsid w:val="00E3520A"/>
    <w:rsid w:val="00E36003"/>
    <w:rsid w:val="00E3762A"/>
    <w:rsid w:val="00E4482D"/>
    <w:rsid w:val="00E451AD"/>
    <w:rsid w:val="00E46B0F"/>
    <w:rsid w:val="00E50205"/>
    <w:rsid w:val="00E51F43"/>
    <w:rsid w:val="00E52F52"/>
    <w:rsid w:val="00E53A2C"/>
    <w:rsid w:val="00E54846"/>
    <w:rsid w:val="00E548C0"/>
    <w:rsid w:val="00E614FB"/>
    <w:rsid w:val="00E64008"/>
    <w:rsid w:val="00E645F8"/>
    <w:rsid w:val="00E64A81"/>
    <w:rsid w:val="00E64D56"/>
    <w:rsid w:val="00E66483"/>
    <w:rsid w:val="00E6690D"/>
    <w:rsid w:val="00E70155"/>
    <w:rsid w:val="00E70D79"/>
    <w:rsid w:val="00E71242"/>
    <w:rsid w:val="00E71BC5"/>
    <w:rsid w:val="00E71FA2"/>
    <w:rsid w:val="00E72E0A"/>
    <w:rsid w:val="00E75265"/>
    <w:rsid w:val="00E763B3"/>
    <w:rsid w:val="00E77C23"/>
    <w:rsid w:val="00E83050"/>
    <w:rsid w:val="00E83C31"/>
    <w:rsid w:val="00E8443B"/>
    <w:rsid w:val="00E84EED"/>
    <w:rsid w:val="00E85E44"/>
    <w:rsid w:val="00E86180"/>
    <w:rsid w:val="00E86DB7"/>
    <w:rsid w:val="00E86E20"/>
    <w:rsid w:val="00E87442"/>
    <w:rsid w:val="00E87DB0"/>
    <w:rsid w:val="00E90FFA"/>
    <w:rsid w:val="00E92418"/>
    <w:rsid w:val="00E9449B"/>
    <w:rsid w:val="00E96884"/>
    <w:rsid w:val="00E974DD"/>
    <w:rsid w:val="00EA0619"/>
    <w:rsid w:val="00EA089F"/>
    <w:rsid w:val="00EA142E"/>
    <w:rsid w:val="00EA178B"/>
    <w:rsid w:val="00EA1A3A"/>
    <w:rsid w:val="00EA1A4E"/>
    <w:rsid w:val="00EA24C2"/>
    <w:rsid w:val="00EA256F"/>
    <w:rsid w:val="00EA2FA1"/>
    <w:rsid w:val="00EA58FD"/>
    <w:rsid w:val="00EA5B63"/>
    <w:rsid w:val="00EA5DDA"/>
    <w:rsid w:val="00EA5F2F"/>
    <w:rsid w:val="00EA60BB"/>
    <w:rsid w:val="00EA719D"/>
    <w:rsid w:val="00EB23A0"/>
    <w:rsid w:val="00EB2522"/>
    <w:rsid w:val="00EB2A3C"/>
    <w:rsid w:val="00EB327F"/>
    <w:rsid w:val="00EB3997"/>
    <w:rsid w:val="00EB454D"/>
    <w:rsid w:val="00EB6D91"/>
    <w:rsid w:val="00EC1916"/>
    <w:rsid w:val="00EC209F"/>
    <w:rsid w:val="00EC2EBC"/>
    <w:rsid w:val="00EC346B"/>
    <w:rsid w:val="00EC40C8"/>
    <w:rsid w:val="00EC4581"/>
    <w:rsid w:val="00ED04E6"/>
    <w:rsid w:val="00ED0D2D"/>
    <w:rsid w:val="00ED12AD"/>
    <w:rsid w:val="00ED2C57"/>
    <w:rsid w:val="00ED376F"/>
    <w:rsid w:val="00ED3932"/>
    <w:rsid w:val="00ED481D"/>
    <w:rsid w:val="00ED4D55"/>
    <w:rsid w:val="00ED6F57"/>
    <w:rsid w:val="00EE01B6"/>
    <w:rsid w:val="00EE1E96"/>
    <w:rsid w:val="00EE31CC"/>
    <w:rsid w:val="00EE4026"/>
    <w:rsid w:val="00EE4968"/>
    <w:rsid w:val="00EE58C2"/>
    <w:rsid w:val="00EE5EF1"/>
    <w:rsid w:val="00EE687B"/>
    <w:rsid w:val="00EF086E"/>
    <w:rsid w:val="00EF09C5"/>
    <w:rsid w:val="00EF4849"/>
    <w:rsid w:val="00EF496D"/>
    <w:rsid w:val="00EF55C3"/>
    <w:rsid w:val="00EF5846"/>
    <w:rsid w:val="00EF5FED"/>
    <w:rsid w:val="00EF6BDC"/>
    <w:rsid w:val="00EF6E50"/>
    <w:rsid w:val="00EF73D2"/>
    <w:rsid w:val="00EF79AB"/>
    <w:rsid w:val="00EF7E52"/>
    <w:rsid w:val="00F00525"/>
    <w:rsid w:val="00F00ECD"/>
    <w:rsid w:val="00F01F3B"/>
    <w:rsid w:val="00F020EA"/>
    <w:rsid w:val="00F02C05"/>
    <w:rsid w:val="00F03064"/>
    <w:rsid w:val="00F15401"/>
    <w:rsid w:val="00F17163"/>
    <w:rsid w:val="00F20652"/>
    <w:rsid w:val="00F23DC9"/>
    <w:rsid w:val="00F24509"/>
    <w:rsid w:val="00F24AB7"/>
    <w:rsid w:val="00F277A4"/>
    <w:rsid w:val="00F27B55"/>
    <w:rsid w:val="00F3089F"/>
    <w:rsid w:val="00F318A2"/>
    <w:rsid w:val="00F33548"/>
    <w:rsid w:val="00F33E2F"/>
    <w:rsid w:val="00F34479"/>
    <w:rsid w:val="00F3518E"/>
    <w:rsid w:val="00F3649A"/>
    <w:rsid w:val="00F37E07"/>
    <w:rsid w:val="00F433EC"/>
    <w:rsid w:val="00F4574F"/>
    <w:rsid w:val="00F47136"/>
    <w:rsid w:val="00F53995"/>
    <w:rsid w:val="00F546AE"/>
    <w:rsid w:val="00F608CC"/>
    <w:rsid w:val="00F616E1"/>
    <w:rsid w:val="00F6263C"/>
    <w:rsid w:val="00F6420B"/>
    <w:rsid w:val="00F64481"/>
    <w:rsid w:val="00F648A1"/>
    <w:rsid w:val="00F64C04"/>
    <w:rsid w:val="00F66419"/>
    <w:rsid w:val="00F665B6"/>
    <w:rsid w:val="00F67A83"/>
    <w:rsid w:val="00F67EA1"/>
    <w:rsid w:val="00F7022F"/>
    <w:rsid w:val="00F7148B"/>
    <w:rsid w:val="00F71606"/>
    <w:rsid w:val="00F71FA2"/>
    <w:rsid w:val="00F74C6C"/>
    <w:rsid w:val="00F76080"/>
    <w:rsid w:val="00F77DB6"/>
    <w:rsid w:val="00F815E2"/>
    <w:rsid w:val="00F82379"/>
    <w:rsid w:val="00F84949"/>
    <w:rsid w:val="00F84DC8"/>
    <w:rsid w:val="00F860FA"/>
    <w:rsid w:val="00F86655"/>
    <w:rsid w:val="00F923D1"/>
    <w:rsid w:val="00F95C37"/>
    <w:rsid w:val="00F95F41"/>
    <w:rsid w:val="00F96EC6"/>
    <w:rsid w:val="00FA2E49"/>
    <w:rsid w:val="00FA595E"/>
    <w:rsid w:val="00FA5A86"/>
    <w:rsid w:val="00FA6A2A"/>
    <w:rsid w:val="00FB0C98"/>
    <w:rsid w:val="00FB2553"/>
    <w:rsid w:val="00FB2B5A"/>
    <w:rsid w:val="00FB33BD"/>
    <w:rsid w:val="00FB39AC"/>
    <w:rsid w:val="00FB3F63"/>
    <w:rsid w:val="00FB4918"/>
    <w:rsid w:val="00FB4EB9"/>
    <w:rsid w:val="00FB7792"/>
    <w:rsid w:val="00FB7C93"/>
    <w:rsid w:val="00FC023F"/>
    <w:rsid w:val="00FC10C9"/>
    <w:rsid w:val="00FC1B5A"/>
    <w:rsid w:val="00FC2B6C"/>
    <w:rsid w:val="00FC31EC"/>
    <w:rsid w:val="00FC5AC0"/>
    <w:rsid w:val="00FC5B6F"/>
    <w:rsid w:val="00FC72B2"/>
    <w:rsid w:val="00FC76F9"/>
    <w:rsid w:val="00FD09F9"/>
    <w:rsid w:val="00FD1E48"/>
    <w:rsid w:val="00FD25FE"/>
    <w:rsid w:val="00FD3791"/>
    <w:rsid w:val="00FD48A5"/>
    <w:rsid w:val="00FD4A76"/>
    <w:rsid w:val="00FD6062"/>
    <w:rsid w:val="00FD77E9"/>
    <w:rsid w:val="00FE00A6"/>
    <w:rsid w:val="00FE1770"/>
    <w:rsid w:val="00FE26F7"/>
    <w:rsid w:val="00FE3E7E"/>
    <w:rsid w:val="00FE46B3"/>
    <w:rsid w:val="00FE6DDA"/>
    <w:rsid w:val="00FE730C"/>
    <w:rsid w:val="00FF0F3E"/>
    <w:rsid w:val="00FF3AF6"/>
    <w:rsid w:val="00FF3EF4"/>
    <w:rsid w:val="00FF432A"/>
    <w:rsid w:val="00FF4816"/>
    <w:rsid w:val="00FF4902"/>
    <w:rsid w:val="00FF4F20"/>
    <w:rsid w:val="00FF540D"/>
    <w:rsid w:val="00FF69F3"/>
    <w:rsid w:val="00FF7049"/>
    <w:rsid w:val="00FF7EE8"/>
    <w:rsid w:val="01003D56"/>
    <w:rsid w:val="010C0CFF"/>
    <w:rsid w:val="010F6987"/>
    <w:rsid w:val="01415060"/>
    <w:rsid w:val="01510F6A"/>
    <w:rsid w:val="015608CA"/>
    <w:rsid w:val="016C2D4F"/>
    <w:rsid w:val="01747E56"/>
    <w:rsid w:val="01795D80"/>
    <w:rsid w:val="017D4F5C"/>
    <w:rsid w:val="0196339C"/>
    <w:rsid w:val="01C96B64"/>
    <w:rsid w:val="01EF572E"/>
    <w:rsid w:val="01F1594A"/>
    <w:rsid w:val="0204567E"/>
    <w:rsid w:val="028806D6"/>
    <w:rsid w:val="02B9636B"/>
    <w:rsid w:val="02F41532"/>
    <w:rsid w:val="033C0E47"/>
    <w:rsid w:val="03440565"/>
    <w:rsid w:val="03457CFC"/>
    <w:rsid w:val="035D262A"/>
    <w:rsid w:val="035F0179"/>
    <w:rsid w:val="039B3DC0"/>
    <w:rsid w:val="03AF31D2"/>
    <w:rsid w:val="03D037E8"/>
    <w:rsid w:val="03EC4758"/>
    <w:rsid w:val="03FB3196"/>
    <w:rsid w:val="03FF434E"/>
    <w:rsid w:val="04164EBD"/>
    <w:rsid w:val="044518AC"/>
    <w:rsid w:val="04596A49"/>
    <w:rsid w:val="04784101"/>
    <w:rsid w:val="04812B40"/>
    <w:rsid w:val="04936845"/>
    <w:rsid w:val="04D33E8D"/>
    <w:rsid w:val="051C2CDE"/>
    <w:rsid w:val="052B27D6"/>
    <w:rsid w:val="056B1570"/>
    <w:rsid w:val="05906988"/>
    <w:rsid w:val="05EE62BD"/>
    <w:rsid w:val="05FE0636"/>
    <w:rsid w:val="06040914"/>
    <w:rsid w:val="06284FC0"/>
    <w:rsid w:val="063E6BFC"/>
    <w:rsid w:val="0652465D"/>
    <w:rsid w:val="065D600B"/>
    <w:rsid w:val="06722AE6"/>
    <w:rsid w:val="06BC6E89"/>
    <w:rsid w:val="06BF4BC1"/>
    <w:rsid w:val="06E5514B"/>
    <w:rsid w:val="06F35CC1"/>
    <w:rsid w:val="072365A6"/>
    <w:rsid w:val="0755091D"/>
    <w:rsid w:val="078876A4"/>
    <w:rsid w:val="07AB2C90"/>
    <w:rsid w:val="07CE490D"/>
    <w:rsid w:val="07D5701C"/>
    <w:rsid w:val="07EC4BEA"/>
    <w:rsid w:val="081A5B44"/>
    <w:rsid w:val="082D6FB0"/>
    <w:rsid w:val="08463C91"/>
    <w:rsid w:val="08670714"/>
    <w:rsid w:val="088766C0"/>
    <w:rsid w:val="0898267C"/>
    <w:rsid w:val="08A70B11"/>
    <w:rsid w:val="08F846F2"/>
    <w:rsid w:val="09194462"/>
    <w:rsid w:val="091A7535"/>
    <w:rsid w:val="09365D96"/>
    <w:rsid w:val="097A292E"/>
    <w:rsid w:val="09AD2772"/>
    <w:rsid w:val="09DD54D0"/>
    <w:rsid w:val="0A1E2682"/>
    <w:rsid w:val="0A23066B"/>
    <w:rsid w:val="0A316442"/>
    <w:rsid w:val="0A3463D4"/>
    <w:rsid w:val="0A5151D8"/>
    <w:rsid w:val="0A6C237D"/>
    <w:rsid w:val="0A735AC2"/>
    <w:rsid w:val="0A763F05"/>
    <w:rsid w:val="0A8F5D00"/>
    <w:rsid w:val="0AA53788"/>
    <w:rsid w:val="0AD0478E"/>
    <w:rsid w:val="0ADB453A"/>
    <w:rsid w:val="0AE222D4"/>
    <w:rsid w:val="0B154457"/>
    <w:rsid w:val="0B1F3A2A"/>
    <w:rsid w:val="0B260413"/>
    <w:rsid w:val="0B3776CD"/>
    <w:rsid w:val="0B9C6D78"/>
    <w:rsid w:val="0BBC0D77"/>
    <w:rsid w:val="0BD95198"/>
    <w:rsid w:val="0BDA7784"/>
    <w:rsid w:val="0BEA502A"/>
    <w:rsid w:val="0C0C2D55"/>
    <w:rsid w:val="0C410C86"/>
    <w:rsid w:val="0C8F3D96"/>
    <w:rsid w:val="0C9A2F03"/>
    <w:rsid w:val="0CE51C08"/>
    <w:rsid w:val="0D0414C3"/>
    <w:rsid w:val="0D6652A2"/>
    <w:rsid w:val="0DB5782C"/>
    <w:rsid w:val="0DC6649E"/>
    <w:rsid w:val="0DD17284"/>
    <w:rsid w:val="0DEE4240"/>
    <w:rsid w:val="0E1637EB"/>
    <w:rsid w:val="0E2F75DE"/>
    <w:rsid w:val="0E4A0396"/>
    <w:rsid w:val="0E647F77"/>
    <w:rsid w:val="0E6D0ADF"/>
    <w:rsid w:val="0E9E29B6"/>
    <w:rsid w:val="0EA543DB"/>
    <w:rsid w:val="0EB60232"/>
    <w:rsid w:val="0ED343D8"/>
    <w:rsid w:val="0ED87BB1"/>
    <w:rsid w:val="0EE217A2"/>
    <w:rsid w:val="0EF83E74"/>
    <w:rsid w:val="0F083827"/>
    <w:rsid w:val="0F1016F8"/>
    <w:rsid w:val="0F1F1488"/>
    <w:rsid w:val="0F9C05DF"/>
    <w:rsid w:val="0FB02359"/>
    <w:rsid w:val="107F6D0B"/>
    <w:rsid w:val="10A342B4"/>
    <w:rsid w:val="10AD6EE0"/>
    <w:rsid w:val="10E462F5"/>
    <w:rsid w:val="10EC634F"/>
    <w:rsid w:val="110754FD"/>
    <w:rsid w:val="11BB29B2"/>
    <w:rsid w:val="11C844DF"/>
    <w:rsid w:val="11CA148E"/>
    <w:rsid w:val="120407D8"/>
    <w:rsid w:val="120C521E"/>
    <w:rsid w:val="1218482D"/>
    <w:rsid w:val="122B7AC2"/>
    <w:rsid w:val="12372F05"/>
    <w:rsid w:val="124E684D"/>
    <w:rsid w:val="125F245C"/>
    <w:rsid w:val="12C0114D"/>
    <w:rsid w:val="12EE0384"/>
    <w:rsid w:val="12EF37E0"/>
    <w:rsid w:val="12F157AA"/>
    <w:rsid w:val="130628D8"/>
    <w:rsid w:val="130C25E4"/>
    <w:rsid w:val="130F3E82"/>
    <w:rsid w:val="13243641"/>
    <w:rsid w:val="13280AA0"/>
    <w:rsid w:val="135D33EF"/>
    <w:rsid w:val="136D427B"/>
    <w:rsid w:val="1384217A"/>
    <w:rsid w:val="138F12B4"/>
    <w:rsid w:val="13935193"/>
    <w:rsid w:val="13BB13BC"/>
    <w:rsid w:val="13E073B4"/>
    <w:rsid w:val="13E90CCB"/>
    <w:rsid w:val="1406266E"/>
    <w:rsid w:val="142D2812"/>
    <w:rsid w:val="144868FC"/>
    <w:rsid w:val="146A02C7"/>
    <w:rsid w:val="147860A8"/>
    <w:rsid w:val="14861111"/>
    <w:rsid w:val="14B63FF5"/>
    <w:rsid w:val="14BE144E"/>
    <w:rsid w:val="14CA0061"/>
    <w:rsid w:val="14F97A8F"/>
    <w:rsid w:val="15084EFA"/>
    <w:rsid w:val="15271BBC"/>
    <w:rsid w:val="15691C28"/>
    <w:rsid w:val="15B0313F"/>
    <w:rsid w:val="15B63CB8"/>
    <w:rsid w:val="15CD7CD2"/>
    <w:rsid w:val="15E275F7"/>
    <w:rsid w:val="16176BF6"/>
    <w:rsid w:val="166718DF"/>
    <w:rsid w:val="16A62408"/>
    <w:rsid w:val="16BD48BC"/>
    <w:rsid w:val="16DE7DF3"/>
    <w:rsid w:val="16EA2C3C"/>
    <w:rsid w:val="16F13FCB"/>
    <w:rsid w:val="16F42933"/>
    <w:rsid w:val="17013326"/>
    <w:rsid w:val="17225802"/>
    <w:rsid w:val="172D2EFF"/>
    <w:rsid w:val="173D4066"/>
    <w:rsid w:val="174D5ED1"/>
    <w:rsid w:val="1781749C"/>
    <w:rsid w:val="17AE04BE"/>
    <w:rsid w:val="17C04750"/>
    <w:rsid w:val="17CE7E68"/>
    <w:rsid w:val="17FB49D5"/>
    <w:rsid w:val="17FE6A7F"/>
    <w:rsid w:val="18094488"/>
    <w:rsid w:val="180C273E"/>
    <w:rsid w:val="181A2EB4"/>
    <w:rsid w:val="18333B27"/>
    <w:rsid w:val="186C3702"/>
    <w:rsid w:val="18754787"/>
    <w:rsid w:val="18CD4806"/>
    <w:rsid w:val="18D10091"/>
    <w:rsid w:val="19213B4A"/>
    <w:rsid w:val="1954439D"/>
    <w:rsid w:val="19B23720"/>
    <w:rsid w:val="1A530AF8"/>
    <w:rsid w:val="1A6A4C5B"/>
    <w:rsid w:val="1A732F49"/>
    <w:rsid w:val="1AB0573B"/>
    <w:rsid w:val="1AC07716"/>
    <w:rsid w:val="1ADC289C"/>
    <w:rsid w:val="1AE70ACE"/>
    <w:rsid w:val="1AEA077F"/>
    <w:rsid w:val="1AFC04B9"/>
    <w:rsid w:val="1B36750B"/>
    <w:rsid w:val="1B590390"/>
    <w:rsid w:val="1B754A9E"/>
    <w:rsid w:val="1B862808"/>
    <w:rsid w:val="1B8C2514"/>
    <w:rsid w:val="1BD14E8A"/>
    <w:rsid w:val="1BEA037B"/>
    <w:rsid w:val="1BEA74D5"/>
    <w:rsid w:val="1C140770"/>
    <w:rsid w:val="1C1A71CE"/>
    <w:rsid w:val="1C275BF1"/>
    <w:rsid w:val="1C302374"/>
    <w:rsid w:val="1C47468D"/>
    <w:rsid w:val="1C8431EB"/>
    <w:rsid w:val="1C9D24FF"/>
    <w:rsid w:val="1CA37E8D"/>
    <w:rsid w:val="1CBC19A2"/>
    <w:rsid w:val="1CEA3C44"/>
    <w:rsid w:val="1D2140FA"/>
    <w:rsid w:val="1D3F5364"/>
    <w:rsid w:val="1D4110DC"/>
    <w:rsid w:val="1D492E8C"/>
    <w:rsid w:val="1D5E639E"/>
    <w:rsid w:val="1D7C2D1B"/>
    <w:rsid w:val="1DC55869"/>
    <w:rsid w:val="1E4C1AE7"/>
    <w:rsid w:val="1E4D201B"/>
    <w:rsid w:val="1EAF15EC"/>
    <w:rsid w:val="1EBC3110"/>
    <w:rsid w:val="1EF108E0"/>
    <w:rsid w:val="1F136DE0"/>
    <w:rsid w:val="1F1437B6"/>
    <w:rsid w:val="1F31756E"/>
    <w:rsid w:val="1F357D7C"/>
    <w:rsid w:val="1F383103"/>
    <w:rsid w:val="1F4145DE"/>
    <w:rsid w:val="1F463CAB"/>
    <w:rsid w:val="1F703661"/>
    <w:rsid w:val="1F994C45"/>
    <w:rsid w:val="1FAA74DE"/>
    <w:rsid w:val="1FB651BE"/>
    <w:rsid w:val="1FC27586"/>
    <w:rsid w:val="1FC37288"/>
    <w:rsid w:val="1FE33AD8"/>
    <w:rsid w:val="1FF561AE"/>
    <w:rsid w:val="1FF81578"/>
    <w:rsid w:val="20154BDE"/>
    <w:rsid w:val="201D22DD"/>
    <w:rsid w:val="20934201"/>
    <w:rsid w:val="20AA1370"/>
    <w:rsid w:val="20CA41AF"/>
    <w:rsid w:val="20E56222"/>
    <w:rsid w:val="20F2739C"/>
    <w:rsid w:val="2100305C"/>
    <w:rsid w:val="2126135D"/>
    <w:rsid w:val="21337FC4"/>
    <w:rsid w:val="215956BB"/>
    <w:rsid w:val="216B497A"/>
    <w:rsid w:val="21A8172A"/>
    <w:rsid w:val="21EB7868"/>
    <w:rsid w:val="21F7620D"/>
    <w:rsid w:val="21F97E8A"/>
    <w:rsid w:val="222D7E81"/>
    <w:rsid w:val="225361C9"/>
    <w:rsid w:val="22977842"/>
    <w:rsid w:val="22AC524A"/>
    <w:rsid w:val="22C02AA3"/>
    <w:rsid w:val="23052BAC"/>
    <w:rsid w:val="23460B1A"/>
    <w:rsid w:val="2373298F"/>
    <w:rsid w:val="23737B15"/>
    <w:rsid w:val="2398367E"/>
    <w:rsid w:val="239A7798"/>
    <w:rsid w:val="239F6D67"/>
    <w:rsid w:val="23DF1BEE"/>
    <w:rsid w:val="240D0ACC"/>
    <w:rsid w:val="240F36A8"/>
    <w:rsid w:val="24134E54"/>
    <w:rsid w:val="241F3933"/>
    <w:rsid w:val="245D0C79"/>
    <w:rsid w:val="245E07C6"/>
    <w:rsid w:val="248024EA"/>
    <w:rsid w:val="24F359B0"/>
    <w:rsid w:val="251178B5"/>
    <w:rsid w:val="252F184E"/>
    <w:rsid w:val="253F0B12"/>
    <w:rsid w:val="25646176"/>
    <w:rsid w:val="25C40AFC"/>
    <w:rsid w:val="25C65A0C"/>
    <w:rsid w:val="25E90563"/>
    <w:rsid w:val="25EE5D0C"/>
    <w:rsid w:val="25F807A6"/>
    <w:rsid w:val="261A071C"/>
    <w:rsid w:val="265D42AA"/>
    <w:rsid w:val="26667E05"/>
    <w:rsid w:val="26B42DA8"/>
    <w:rsid w:val="26D92D37"/>
    <w:rsid w:val="26DE799C"/>
    <w:rsid w:val="270C0240"/>
    <w:rsid w:val="2731614F"/>
    <w:rsid w:val="273677D8"/>
    <w:rsid w:val="27AF1AAA"/>
    <w:rsid w:val="27C858BB"/>
    <w:rsid w:val="27CB401F"/>
    <w:rsid w:val="2817711A"/>
    <w:rsid w:val="281F186B"/>
    <w:rsid w:val="282F3D2E"/>
    <w:rsid w:val="28447CD2"/>
    <w:rsid w:val="28577A06"/>
    <w:rsid w:val="288F4D5B"/>
    <w:rsid w:val="28C875A4"/>
    <w:rsid w:val="2901329B"/>
    <w:rsid w:val="29064F88"/>
    <w:rsid w:val="29250C95"/>
    <w:rsid w:val="29512E02"/>
    <w:rsid w:val="29B844D4"/>
    <w:rsid w:val="29C320D9"/>
    <w:rsid w:val="29C941B3"/>
    <w:rsid w:val="29CA4207"/>
    <w:rsid w:val="29E87BC7"/>
    <w:rsid w:val="29ED3F00"/>
    <w:rsid w:val="29F151C4"/>
    <w:rsid w:val="2A24600D"/>
    <w:rsid w:val="2A331084"/>
    <w:rsid w:val="2A385615"/>
    <w:rsid w:val="2A6B7798"/>
    <w:rsid w:val="2A76465F"/>
    <w:rsid w:val="2A950CB9"/>
    <w:rsid w:val="2AB067B2"/>
    <w:rsid w:val="2AB90504"/>
    <w:rsid w:val="2AC1385C"/>
    <w:rsid w:val="2AE62262"/>
    <w:rsid w:val="2B1B2F6C"/>
    <w:rsid w:val="2B253DEB"/>
    <w:rsid w:val="2B4A3852"/>
    <w:rsid w:val="2B4D46AB"/>
    <w:rsid w:val="2B8C79C6"/>
    <w:rsid w:val="2BC41856"/>
    <w:rsid w:val="2BE045D6"/>
    <w:rsid w:val="2C206D3D"/>
    <w:rsid w:val="2C26057E"/>
    <w:rsid w:val="2C3123B3"/>
    <w:rsid w:val="2C39371E"/>
    <w:rsid w:val="2C494658"/>
    <w:rsid w:val="2C5D75B5"/>
    <w:rsid w:val="2C5F5952"/>
    <w:rsid w:val="2C833CD4"/>
    <w:rsid w:val="2C910AA6"/>
    <w:rsid w:val="2C9B3499"/>
    <w:rsid w:val="2CB2345D"/>
    <w:rsid w:val="2CB847EB"/>
    <w:rsid w:val="2CC47634"/>
    <w:rsid w:val="2CFA3055"/>
    <w:rsid w:val="2D130425"/>
    <w:rsid w:val="2D22001E"/>
    <w:rsid w:val="2D254CF1"/>
    <w:rsid w:val="2D2761C8"/>
    <w:rsid w:val="2D3227EF"/>
    <w:rsid w:val="2D535A39"/>
    <w:rsid w:val="2D5F5C73"/>
    <w:rsid w:val="2DAF2D35"/>
    <w:rsid w:val="2E150147"/>
    <w:rsid w:val="2E516EE5"/>
    <w:rsid w:val="2EA10C4E"/>
    <w:rsid w:val="2EAD34E4"/>
    <w:rsid w:val="2EF50410"/>
    <w:rsid w:val="2F6349E1"/>
    <w:rsid w:val="2F8F3F29"/>
    <w:rsid w:val="2F984508"/>
    <w:rsid w:val="2FBD762B"/>
    <w:rsid w:val="2FDA5664"/>
    <w:rsid w:val="2FDB6DFB"/>
    <w:rsid w:val="2FF65D56"/>
    <w:rsid w:val="30322514"/>
    <w:rsid w:val="30362D7C"/>
    <w:rsid w:val="305D47CA"/>
    <w:rsid w:val="30717AD3"/>
    <w:rsid w:val="30837954"/>
    <w:rsid w:val="30D168B1"/>
    <w:rsid w:val="30DE0C82"/>
    <w:rsid w:val="30E20088"/>
    <w:rsid w:val="30EE4653"/>
    <w:rsid w:val="30FD4EC2"/>
    <w:rsid w:val="3160428B"/>
    <w:rsid w:val="31C22725"/>
    <w:rsid w:val="31C679AA"/>
    <w:rsid w:val="31E3055C"/>
    <w:rsid w:val="31F94C90"/>
    <w:rsid w:val="321D581C"/>
    <w:rsid w:val="32555CF5"/>
    <w:rsid w:val="325606DE"/>
    <w:rsid w:val="326B78F7"/>
    <w:rsid w:val="326C2C1A"/>
    <w:rsid w:val="327F6FB5"/>
    <w:rsid w:val="32814DAC"/>
    <w:rsid w:val="329A6E6D"/>
    <w:rsid w:val="32A0644D"/>
    <w:rsid w:val="32B21A5A"/>
    <w:rsid w:val="32D43FFF"/>
    <w:rsid w:val="32FC64ED"/>
    <w:rsid w:val="331B6DA9"/>
    <w:rsid w:val="336921EB"/>
    <w:rsid w:val="33BF7A34"/>
    <w:rsid w:val="33C06DA7"/>
    <w:rsid w:val="33E64C72"/>
    <w:rsid w:val="33EC3069"/>
    <w:rsid w:val="33F03042"/>
    <w:rsid w:val="33F83790"/>
    <w:rsid w:val="33FF778B"/>
    <w:rsid w:val="34002B16"/>
    <w:rsid w:val="348045EE"/>
    <w:rsid w:val="34943D90"/>
    <w:rsid w:val="349618B6"/>
    <w:rsid w:val="35450F3F"/>
    <w:rsid w:val="355359F9"/>
    <w:rsid w:val="355A40B9"/>
    <w:rsid w:val="35635C3C"/>
    <w:rsid w:val="35B04BF9"/>
    <w:rsid w:val="35C80195"/>
    <w:rsid w:val="35EB1F18"/>
    <w:rsid w:val="35F40B39"/>
    <w:rsid w:val="35FD6A8F"/>
    <w:rsid w:val="362E437A"/>
    <w:rsid w:val="367E2601"/>
    <w:rsid w:val="367F5432"/>
    <w:rsid w:val="36A01197"/>
    <w:rsid w:val="36B4555F"/>
    <w:rsid w:val="36BD312A"/>
    <w:rsid w:val="3721615B"/>
    <w:rsid w:val="37270BB2"/>
    <w:rsid w:val="373B41EE"/>
    <w:rsid w:val="37541CBD"/>
    <w:rsid w:val="377033DC"/>
    <w:rsid w:val="37737C8C"/>
    <w:rsid w:val="37785D74"/>
    <w:rsid w:val="37820DFF"/>
    <w:rsid w:val="37D270A9"/>
    <w:rsid w:val="37DB31D1"/>
    <w:rsid w:val="37E868CC"/>
    <w:rsid w:val="37F76B0F"/>
    <w:rsid w:val="37FB65FF"/>
    <w:rsid w:val="37FC34C5"/>
    <w:rsid w:val="38390ED6"/>
    <w:rsid w:val="38792D0F"/>
    <w:rsid w:val="388078DD"/>
    <w:rsid w:val="389E5AD0"/>
    <w:rsid w:val="38AC5B4C"/>
    <w:rsid w:val="38C20ECB"/>
    <w:rsid w:val="397A7767"/>
    <w:rsid w:val="3991653D"/>
    <w:rsid w:val="399A59A4"/>
    <w:rsid w:val="39B20F40"/>
    <w:rsid w:val="39D5314B"/>
    <w:rsid w:val="3A241712"/>
    <w:rsid w:val="3A485400"/>
    <w:rsid w:val="3A5157CB"/>
    <w:rsid w:val="3A96260F"/>
    <w:rsid w:val="3AB900AC"/>
    <w:rsid w:val="3ABE63C8"/>
    <w:rsid w:val="3AD55E71"/>
    <w:rsid w:val="3AE27603"/>
    <w:rsid w:val="3AE3337B"/>
    <w:rsid w:val="3AE91918"/>
    <w:rsid w:val="3AEE5F4E"/>
    <w:rsid w:val="3B320C7A"/>
    <w:rsid w:val="3B653BE5"/>
    <w:rsid w:val="3B6C511E"/>
    <w:rsid w:val="3BAE7DC7"/>
    <w:rsid w:val="3BBC0FFA"/>
    <w:rsid w:val="3BD611A1"/>
    <w:rsid w:val="3BE26F43"/>
    <w:rsid w:val="3BE81FCD"/>
    <w:rsid w:val="3C472F6E"/>
    <w:rsid w:val="3C5502A8"/>
    <w:rsid w:val="3C6A7C7C"/>
    <w:rsid w:val="3C8249BF"/>
    <w:rsid w:val="3CCE2B34"/>
    <w:rsid w:val="3CEF6209"/>
    <w:rsid w:val="3D1912D6"/>
    <w:rsid w:val="3D1B5849"/>
    <w:rsid w:val="3D3C435E"/>
    <w:rsid w:val="3D625961"/>
    <w:rsid w:val="3D804EB1"/>
    <w:rsid w:val="3D8C1AA8"/>
    <w:rsid w:val="3DC15BF5"/>
    <w:rsid w:val="3DE8273D"/>
    <w:rsid w:val="3DF358AF"/>
    <w:rsid w:val="3DF71617"/>
    <w:rsid w:val="3E3550C1"/>
    <w:rsid w:val="3E4307F1"/>
    <w:rsid w:val="3E4C3FFA"/>
    <w:rsid w:val="3E6E73FF"/>
    <w:rsid w:val="3E6F6364"/>
    <w:rsid w:val="3E7460EA"/>
    <w:rsid w:val="3E894239"/>
    <w:rsid w:val="3EF94F1B"/>
    <w:rsid w:val="3F021592"/>
    <w:rsid w:val="3F3C0441"/>
    <w:rsid w:val="3F520ACF"/>
    <w:rsid w:val="3F650482"/>
    <w:rsid w:val="3F780536"/>
    <w:rsid w:val="3FC43E12"/>
    <w:rsid w:val="3FD70678"/>
    <w:rsid w:val="3FDA11F0"/>
    <w:rsid w:val="4008175D"/>
    <w:rsid w:val="401A339B"/>
    <w:rsid w:val="406372DD"/>
    <w:rsid w:val="406A2AD0"/>
    <w:rsid w:val="40896772"/>
    <w:rsid w:val="40923879"/>
    <w:rsid w:val="40A31D5C"/>
    <w:rsid w:val="40A92459"/>
    <w:rsid w:val="40C33A32"/>
    <w:rsid w:val="41263DF8"/>
    <w:rsid w:val="412D48A3"/>
    <w:rsid w:val="418132C2"/>
    <w:rsid w:val="420413EB"/>
    <w:rsid w:val="421F4743"/>
    <w:rsid w:val="422C1F04"/>
    <w:rsid w:val="423D15C3"/>
    <w:rsid w:val="42980EEF"/>
    <w:rsid w:val="42A40017"/>
    <w:rsid w:val="42A40626"/>
    <w:rsid w:val="42AB6E74"/>
    <w:rsid w:val="42CD6DEA"/>
    <w:rsid w:val="42DE0FF8"/>
    <w:rsid w:val="42FA5706"/>
    <w:rsid w:val="43012D1C"/>
    <w:rsid w:val="43261526"/>
    <w:rsid w:val="43364990"/>
    <w:rsid w:val="43564D6D"/>
    <w:rsid w:val="438F22F2"/>
    <w:rsid w:val="43937F6A"/>
    <w:rsid w:val="43C36833"/>
    <w:rsid w:val="43C57AC2"/>
    <w:rsid w:val="43D30D6D"/>
    <w:rsid w:val="43EE36F5"/>
    <w:rsid w:val="4413684A"/>
    <w:rsid w:val="441B3B85"/>
    <w:rsid w:val="44372E68"/>
    <w:rsid w:val="44441779"/>
    <w:rsid w:val="4461778C"/>
    <w:rsid w:val="446E5353"/>
    <w:rsid w:val="44A75419"/>
    <w:rsid w:val="44C4421D"/>
    <w:rsid w:val="44E30081"/>
    <w:rsid w:val="453A5BFF"/>
    <w:rsid w:val="455C6204"/>
    <w:rsid w:val="4565330A"/>
    <w:rsid w:val="45725A27"/>
    <w:rsid w:val="45801017"/>
    <w:rsid w:val="45833790"/>
    <w:rsid w:val="45B63AE8"/>
    <w:rsid w:val="45B71DC6"/>
    <w:rsid w:val="45D13B77"/>
    <w:rsid w:val="46210720"/>
    <w:rsid w:val="463E69E8"/>
    <w:rsid w:val="465D0C2C"/>
    <w:rsid w:val="46646922"/>
    <w:rsid w:val="46A24FD7"/>
    <w:rsid w:val="46C87FF5"/>
    <w:rsid w:val="47150352"/>
    <w:rsid w:val="4729619B"/>
    <w:rsid w:val="47525B10"/>
    <w:rsid w:val="475D6B2B"/>
    <w:rsid w:val="478C25B3"/>
    <w:rsid w:val="47A143A2"/>
    <w:rsid w:val="47C6205A"/>
    <w:rsid w:val="480F163E"/>
    <w:rsid w:val="48237328"/>
    <w:rsid w:val="483035EA"/>
    <w:rsid w:val="48381E2A"/>
    <w:rsid w:val="48926515"/>
    <w:rsid w:val="489D34DF"/>
    <w:rsid w:val="48A830A8"/>
    <w:rsid w:val="48E365F8"/>
    <w:rsid w:val="48FE539D"/>
    <w:rsid w:val="49221468"/>
    <w:rsid w:val="496D4E83"/>
    <w:rsid w:val="49975FBC"/>
    <w:rsid w:val="49A03D89"/>
    <w:rsid w:val="49AF724A"/>
    <w:rsid w:val="49B04D70"/>
    <w:rsid w:val="49CD4B65"/>
    <w:rsid w:val="49D24CE6"/>
    <w:rsid w:val="4A1C2405"/>
    <w:rsid w:val="4A280DAA"/>
    <w:rsid w:val="4A2C1FD5"/>
    <w:rsid w:val="4A376E49"/>
    <w:rsid w:val="4A670CE8"/>
    <w:rsid w:val="4AB16FF2"/>
    <w:rsid w:val="4ABC0079"/>
    <w:rsid w:val="4AD0171C"/>
    <w:rsid w:val="4AD103C5"/>
    <w:rsid w:val="4AEC63A9"/>
    <w:rsid w:val="4AF57B5A"/>
    <w:rsid w:val="4B08477A"/>
    <w:rsid w:val="4B367AD7"/>
    <w:rsid w:val="4B3C417C"/>
    <w:rsid w:val="4B63512A"/>
    <w:rsid w:val="4B636573"/>
    <w:rsid w:val="4B7A3887"/>
    <w:rsid w:val="4B841923"/>
    <w:rsid w:val="4BB02E05"/>
    <w:rsid w:val="4BD85F46"/>
    <w:rsid w:val="4BDC009E"/>
    <w:rsid w:val="4BF81435"/>
    <w:rsid w:val="4C606860"/>
    <w:rsid w:val="4C677ED5"/>
    <w:rsid w:val="4C7E1155"/>
    <w:rsid w:val="4C8C73CE"/>
    <w:rsid w:val="4C8D6B73"/>
    <w:rsid w:val="4C971E7E"/>
    <w:rsid w:val="4C993D50"/>
    <w:rsid w:val="4CB80AD8"/>
    <w:rsid w:val="4CD6689C"/>
    <w:rsid w:val="4D0E0CA6"/>
    <w:rsid w:val="4D4759EB"/>
    <w:rsid w:val="4D4A270E"/>
    <w:rsid w:val="4D5A6E7D"/>
    <w:rsid w:val="4D8B58D8"/>
    <w:rsid w:val="4D8C1650"/>
    <w:rsid w:val="4D9B4E88"/>
    <w:rsid w:val="4E26181B"/>
    <w:rsid w:val="4E3046D1"/>
    <w:rsid w:val="4E8361C4"/>
    <w:rsid w:val="4E916F1E"/>
    <w:rsid w:val="4F0771E0"/>
    <w:rsid w:val="4F10078B"/>
    <w:rsid w:val="4F17393B"/>
    <w:rsid w:val="4F2C30EB"/>
    <w:rsid w:val="4F552641"/>
    <w:rsid w:val="4F5661E1"/>
    <w:rsid w:val="4F6F6224"/>
    <w:rsid w:val="4F895E47"/>
    <w:rsid w:val="4FF260E2"/>
    <w:rsid w:val="4FFA682C"/>
    <w:rsid w:val="50157D98"/>
    <w:rsid w:val="50357C5D"/>
    <w:rsid w:val="503F1D80"/>
    <w:rsid w:val="508023F2"/>
    <w:rsid w:val="508C1F90"/>
    <w:rsid w:val="509F753B"/>
    <w:rsid w:val="5103545C"/>
    <w:rsid w:val="51452242"/>
    <w:rsid w:val="514F6054"/>
    <w:rsid w:val="516528E4"/>
    <w:rsid w:val="51782617"/>
    <w:rsid w:val="51D6733E"/>
    <w:rsid w:val="51D830B6"/>
    <w:rsid w:val="51DB6702"/>
    <w:rsid w:val="51E157E3"/>
    <w:rsid w:val="520D5400"/>
    <w:rsid w:val="521D6D1B"/>
    <w:rsid w:val="52287B99"/>
    <w:rsid w:val="522906BF"/>
    <w:rsid w:val="52522262"/>
    <w:rsid w:val="527011AF"/>
    <w:rsid w:val="5278181C"/>
    <w:rsid w:val="52975031"/>
    <w:rsid w:val="52B15DDC"/>
    <w:rsid w:val="52DE6F2B"/>
    <w:rsid w:val="52FD1026"/>
    <w:rsid w:val="530A3BD8"/>
    <w:rsid w:val="53242F2F"/>
    <w:rsid w:val="53B13BBE"/>
    <w:rsid w:val="53BD2F33"/>
    <w:rsid w:val="53E61ABA"/>
    <w:rsid w:val="53EB36A7"/>
    <w:rsid w:val="54280D1A"/>
    <w:rsid w:val="54597344"/>
    <w:rsid w:val="546B1FBF"/>
    <w:rsid w:val="54975600"/>
    <w:rsid w:val="54A2783B"/>
    <w:rsid w:val="54B0031A"/>
    <w:rsid w:val="54D8352B"/>
    <w:rsid w:val="54DD2E62"/>
    <w:rsid w:val="54E91E72"/>
    <w:rsid w:val="551F2D77"/>
    <w:rsid w:val="55357FF5"/>
    <w:rsid w:val="553C003C"/>
    <w:rsid w:val="554051FA"/>
    <w:rsid w:val="554E4B6A"/>
    <w:rsid w:val="55517AB0"/>
    <w:rsid w:val="5583432F"/>
    <w:rsid w:val="55867832"/>
    <w:rsid w:val="55F8429A"/>
    <w:rsid w:val="564B6FF4"/>
    <w:rsid w:val="566D62CB"/>
    <w:rsid w:val="567D5FDA"/>
    <w:rsid w:val="5681057D"/>
    <w:rsid w:val="56867584"/>
    <w:rsid w:val="56A33C92"/>
    <w:rsid w:val="56B76323"/>
    <w:rsid w:val="56D82A2D"/>
    <w:rsid w:val="56D96640"/>
    <w:rsid w:val="5719723C"/>
    <w:rsid w:val="573214BA"/>
    <w:rsid w:val="5756111B"/>
    <w:rsid w:val="57672F12"/>
    <w:rsid w:val="576E5CC9"/>
    <w:rsid w:val="57C61EC3"/>
    <w:rsid w:val="57CA16A5"/>
    <w:rsid w:val="57D912F3"/>
    <w:rsid w:val="57DD7C07"/>
    <w:rsid w:val="58137B05"/>
    <w:rsid w:val="581D7A74"/>
    <w:rsid w:val="58692CBA"/>
    <w:rsid w:val="58892BEE"/>
    <w:rsid w:val="589507CD"/>
    <w:rsid w:val="58AE4B70"/>
    <w:rsid w:val="58C93758"/>
    <w:rsid w:val="5905314A"/>
    <w:rsid w:val="59367040"/>
    <w:rsid w:val="594043BA"/>
    <w:rsid w:val="59695261"/>
    <w:rsid w:val="597903A1"/>
    <w:rsid w:val="59D30EE5"/>
    <w:rsid w:val="59DE4FE1"/>
    <w:rsid w:val="5A300F68"/>
    <w:rsid w:val="5AB734E0"/>
    <w:rsid w:val="5AC65DB0"/>
    <w:rsid w:val="5ACF0D18"/>
    <w:rsid w:val="5AE73969"/>
    <w:rsid w:val="5B221D3E"/>
    <w:rsid w:val="5B2232AA"/>
    <w:rsid w:val="5B7420A1"/>
    <w:rsid w:val="5BE06D90"/>
    <w:rsid w:val="5C1962CA"/>
    <w:rsid w:val="5CAB38A1"/>
    <w:rsid w:val="5CC901CB"/>
    <w:rsid w:val="5CF85434"/>
    <w:rsid w:val="5D1164AC"/>
    <w:rsid w:val="5D405E0D"/>
    <w:rsid w:val="5D712225"/>
    <w:rsid w:val="5D991D24"/>
    <w:rsid w:val="5DAC5EB5"/>
    <w:rsid w:val="5DEA1F91"/>
    <w:rsid w:val="5E033592"/>
    <w:rsid w:val="5E0B450A"/>
    <w:rsid w:val="5E0F0E92"/>
    <w:rsid w:val="5E275239"/>
    <w:rsid w:val="5E3F5A54"/>
    <w:rsid w:val="5E435D5B"/>
    <w:rsid w:val="5E5E6AA8"/>
    <w:rsid w:val="5E84479E"/>
    <w:rsid w:val="5E8741EF"/>
    <w:rsid w:val="5EC25BFC"/>
    <w:rsid w:val="5F155949"/>
    <w:rsid w:val="5F1A6ABC"/>
    <w:rsid w:val="5F393DD7"/>
    <w:rsid w:val="5F3C4C84"/>
    <w:rsid w:val="5F4E49B7"/>
    <w:rsid w:val="5F593A88"/>
    <w:rsid w:val="5FB80A03"/>
    <w:rsid w:val="5FC66C44"/>
    <w:rsid w:val="5FE44670"/>
    <w:rsid w:val="5FFF57C8"/>
    <w:rsid w:val="600C0AFA"/>
    <w:rsid w:val="600D03CE"/>
    <w:rsid w:val="605F444D"/>
    <w:rsid w:val="606B1B61"/>
    <w:rsid w:val="60AE196A"/>
    <w:rsid w:val="60C969EB"/>
    <w:rsid w:val="60E3072E"/>
    <w:rsid w:val="6110461A"/>
    <w:rsid w:val="61131A15"/>
    <w:rsid w:val="611F03B9"/>
    <w:rsid w:val="61404AF9"/>
    <w:rsid w:val="614849C6"/>
    <w:rsid w:val="614B11AE"/>
    <w:rsid w:val="6151078F"/>
    <w:rsid w:val="61600754"/>
    <w:rsid w:val="61AC7C9C"/>
    <w:rsid w:val="61B30330"/>
    <w:rsid w:val="61BC20AC"/>
    <w:rsid w:val="62404A8B"/>
    <w:rsid w:val="625D6DA1"/>
    <w:rsid w:val="62AB4D43"/>
    <w:rsid w:val="63051831"/>
    <w:rsid w:val="630A3F11"/>
    <w:rsid w:val="63147CC6"/>
    <w:rsid w:val="63236614"/>
    <w:rsid w:val="635D6FFE"/>
    <w:rsid w:val="636A22AC"/>
    <w:rsid w:val="636B0C02"/>
    <w:rsid w:val="636C18B0"/>
    <w:rsid w:val="63860E8D"/>
    <w:rsid w:val="63AB24E0"/>
    <w:rsid w:val="63C63CEF"/>
    <w:rsid w:val="63D153B0"/>
    <w:rsid w:val="64033FC2"/>
    <w:rsid w:val="64112768"/>
    <w:rsid w:val="6466014C"/>
    <w:rsid w:val="646D3B32"/>
    <w:rsid w:val="64925A4B"/>
    <w:rsid w:val="64A137DB"/>
    <w:rsid w:val="64A708B9"/>
    <w:rsid w:val="64DD7E44"/>
    <w:rsid w:val="65101EFE"/>
    <w:rsid w:val="6514642C"/>
    <w:rsid w:val="65346BA5"/>
    <w:rsid w:val="654C3747"/>
    <w:rsid w:val="6554084E"/>
    <w:rsid w:val="65584EC2"/>
    <w:rsid w:val="65D379C4"/>
    <w:rsid w:val="65DC2D1D"/>
    <w:rsid w:val="65DF2A36"/>
    <w:rsid w:val="65F468FE"/>
    <w:rsid w:val="66013EDF"/>
    <w:rsid w:val="661328DE"/>
    <w:rsid w:val="6618187B"/>
    <w:rsid w:val="661A1A97"/>
    <w:rsid w:val="66302303"/>
    <w:rsid w:val="66456B14"/>
    <w:rsid w:val="66550FE7"/>
    <w:rsid w:val="665A00E6"/>
    <w:rsid w:val="6683763C"/>
    <w:rsid w:val="6692787F"/>
    <w:rsid w:val="66995FD0"/>
    <w:rsid w:val="66AB031E"/>
    <w:rsid w:val="66BA24C0"/>
    <w:rsid w:val="66C50E65"/>
    <w:rsid w:val="670C13E0"/>
    <w:rsid w:val="670E69AD"/>
    <w:rsid w:val="673B3A73"/>
    <w:rsid w:val="675834D5"/>
    <w:rsid w:val="67653BD2"/>
    <w:rsid w:val="67CD63CF"/>
    <w:rsid w:val="67DE7C6D"/>
    <w:rsid w:val="680907E1"/>
    <w:rsid w:val="682D6171"/>
    <w:rsid w:val="685F6E83"/>
    <w:rsid w:val="68CA1553"/>
    <w:rsid w:val="68FE11FC"/>
    <w:rsid w:val="691F1ACC"/>
    <w:rsid w:val="69296B69"/>
    <w:rsid w:val="69482477"/>
    <w:rsid w:val="69762328"/>
    <w:rsid w:val="69904934"/>
    <w:rsid w:val="69977F87"/>
    <w:rsid w:val="69E43426"/>
    <w:rsid w:val="69EE49D2"/>
    <w:rsid w:val="69F47AC5"/>
    <w:rsid w:val="6A047FD5"/>
    <w:rsid w:val="6A205762"/>
    <w:rsid w:val="6A2E2E8B"/>
    <w:rsid w:val="6A31696F"/>
    <w:rsid w:val="6A742635"/>
    <w:rsid w:val="6AA638F9"/>
    <w:rsid w:val="6AFC0823"/>
    <w:rsid w:val="6B082C9C"/>
    <w:rsid w:val="6B1322C4"/>
    <w:rsid w:val="6B7856A6"/>
    <w:rsid w:val="6B7B5423"/>
    <w:rsid w:val="6B835B31"/>
    <w:rsid w:val="6B8F7699"/>
    <w:rsid w:val="6B9F36F0"/>
    <w:rsid w:val="6BA20565"/>
    <w:rsid w:val="6BBD3F31"/>
    <w:rsid w:val="6BE92148"/>
    <w:rsid w:val="6C454CEC"/>
    <w:rsid w:val="6C613F7C"/>
    <w:rsid w:val="6C9360FF"/>
    <w:rsid w:val="6CAB51F7"/>
    <w:rsid w:val="6CC00264"/>
    <w:rsid w:val="6CFE244C"/>
    <w:rsid w:val="6D0D250F"/>
    <w:rsid w:val="6D3057D9"/>
    <w:rsid w:val="6D571889"/>
    <w:rsid w:val="6D57380B"/>
    <w:rsid w:val="6DD93FE6"/>
    <w:rsid w:val="6DDE15FC"/>
    <w:rsid w:val="6E0A5F70"/>
    <w:rsid w:val="6E1C5CC8"/>
    <w:rsid w:val="6E1D123B"/>
    <w:rsid w:val="6E201C15"/>
    <w:rsid w:val="6E3F209B"/>
    <w:rsid w:val="6E5D310B"/>
    <w:rsid w:val="6E861075"/>
    <w:rsid w:val="6E8A5F4D"/>
    <w:rsid w:val="6EE80872"/>
    <w:rsid w:val="6EF70BC7"/>
    <w:rsid w:val="6F060E0B"/>
    <w:rsid w:val="6F086931"/>
    <w:rsid w:val="6F352227"/>
    <w:rsid w:val="6F593630"/>
    <w:rsid w:val="6F624F0C"/>
    <w:rsid w:val="6FAB14AA"/>
    <w:rsid w:val="6FF11ABB"/>
    <w:rsid w:val="70096E04"/>
    <w:rsid w:val="7020414E"/>
    <w:rsid w:val="702417F6"/>
    <w:rsid w:val="704E09C0"/>
    <w:rsid w:val="70545BA6"/>
    <w:rsid w:val="707C3E81"/>
    <w:rsid w:val="70920565"/>
    <w:rsid w:val="70BA2CE7"/>
    <w:rsid w:val="70D2369A"/>
    <w:rsid w:val="70F01D72"/>
    <w:rsid w:val="71146042"/>
    <w:rsid w:val="71184E25"/>
    <w:rsid w:val="718A71A5"/>
    <w:rsid w:val="71995F66"/>
    <w:rsid w:val="719A2C36"/>
    <w:rsid w:val="71CA5C4E"/>
    <w:rsid w:val="71EA21A8"/>
    <w:rsid w:val="72053AAD"/>
    <w:rsid w:val="72181429"/>
    <w:rsid w:val="726A0C42"/>
    <w:rsid w:val="72B0326B"/>
    <w:rsid w:val="72C6154B"/>
    <w:rsid w:val="72CE7E91"/>
    <w:rsid w:val="72E90827"/>
    <w:rsid w:val="72FA7C52"/>
    <w:rsid w:val="73133E89"/>
    <w:rsid w:val="73321515"/>
    <w:rsid w:val="73440FDB"/>
    <w:rsid w:val="7346211D"/>
    <w:rsid w:val="734B3290"/>
    <w:rsid w:val="734E6DFC"/>
    <w:rsid w:val="7359327D"/>
    <w:rsid w:val="73797DFD"/>
    <w:rsid w:val="739E5AB6"/>
    <w:rsid w:val="739F189A"/>
    <w:rsid w:val="73A209DC"/>
    <w:rsid w:val="73A77280"/>
    <w:rsid w:val="73BB3713"/>
    <w:rsid w:val="73D414D7"/>
    <w:rsid w:val="740D4F3E"/>
    <w:rsid w:val="745B3E02"/>
    <w:rsid w:val="748E525D"/>
    <w:rsid w:val="74A34704"/>
    <w:rsid w:val="74AF784E"/>
    <w:rsid w:val="74CC0CDE"/>
    <w:rsid w:val="74F479B2"/>
    <w:rsid w:val="75173755"/>
    <w:rsid w:val="75396923"/>
    <w:rsid w:val="75900049"/>
    <w:rsid w:val="75AB270C"/>
    <w:rsid w:val="75F3354B"/>
    <w:rsid w:val="761D131E"/>
    <w:rsid w:val="762439D7"/>
    <w:rsid w:val="769D29BB"/>
    <w:rsid w:val="77176A65"/>
    <w:rsid w:val="774E210E"/>
    <w:rsid w:val="77685CED"/>
    <w:rsid w:val="779517F8"/>
    <w:rsid w:val="77B70EF4"/>
    <w:rsid w:val="77F66609"/>
    <w:rsid w:val="77F959B0"/>
    <w:rsid w:val="77FF307B"/>
    <w:rsid w:val="782F2DC1"/>
    <w:rsid w:val="78466365"/>
    <w:rsid w:val="7859492F"/>
    <w:rsid w:val="787E3953"/>
    <w:rsid w:val="78AC3D0B"/>
    <w:rsid w:val="78D43D28"/>
    <w:rsid w:val="78F24A52"/>
    <w:rsid w:val="78FD6DDA"/>
    <w:rsid w:val="790C50B1"/>
    <w:rsid w:val="793C3928"/>
    <w:rsid w:val="798E037A"/>
    <w:rsid w:val="79B24069"/>
    <w:rsid w:val="79C710B7"/>
    <w:rsid w:val="79D164E7"/>
    <w:rsid w:val="7A2B3E1B"/>
    <w:rsid w:val="7A51246E"/>
    <w:rsid w:val="7A85177D"/>
    <w:rsid w:val="7A8A01C7"/>
    <w:rsid w:val="7AA869CD"/>
    <w:rsid w:val="7AF30CDA"/>
    <w:rsid w:val="7AF406B1"/>
    <w:rsid w:val="7B02549C"/>
    <w:rsid w:val="7B362A78"/>
    <w:rsid w:val="7BEB44B6"/>
    <w:rsid w:val="7C1F52BA"/>
    <w:rsid w:val="7C21190A"/>
    <w:rsid w:val="7C296E28"/>
    <w:rsid w:val="7C3B551E"/>
    <w:rsid w:val="7C6D4277"/>
    <w:rsid w:val="7C785691"/>
    <w:rsid w:val="7CCD740C"/>
    <w:rsid w:val="7CF91FAF"/>
    <w:rsid w:val="7D0D6CB4"/>
    <w:rsid w:val="7D2863F0"/>
    <w:rsid w:val="7D5A0C9F"/>
    <w:rsid w:val="7D9320A0"/>
    <w:rsid w:val="7D9A5540"/>
    <w:rsid w:val="7D9D6140"/>
    <w:rsid w:val="7DC56BB4"/>
    <w:rsid w:val="7DE66C59"/>
    <w:rsid w:val="7E302F36"/>
    <w:rsid w:val="7E781388"/>
    <w:rsid w:val="7E7A0ECD"/>
    <w:rsid w:val="7E7F530E"/>
    <w:rsid w:val="7EAB1087"/>
    <w:rsid w:val="7EF621FD"/>
    <w:rsid w:val="7F1550D7"/>
    <w:rsid w:val="7F2E2967"/>
    <w:rsid w:val="7F514784"/>
    <w:rsid w:val="7F6B5039"/>
    <w:rsid w:val="7FED3631"/>
    <w:rsid w:val="7FF03197"/>
    <w:rsid w:val="7FFF7A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qFormat="1" w:uiPriority="99"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78"/>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76"/>
    <w:autoRedefine/>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5"/>
    <w:autoRedefine/>
    <w:qFormat/>
    <w:uiPriority w:val="99"/>
    <w:pPr>
      <w:adjustRightInd w:val="0"/>
      <w:snapToGrid w:val="0"/>
      <w:ind w:firstLine="480"/>
      <w:jc w:val="left"/>
      <w:outlineLvl w:val="2"/>
    </w:p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adjustRightInd w:val="0"/>
      <w:snapToGrid w:val="0"/>
      <w:spacing w:line="300" w:lineRule="auto"/>
      <w:ind w:firstLine="200" w:firstLineChars="200"/>
    </w:pPr>
    <w:rPr>
      <w:rFonts w:ascii="仿宋_GB2312" w:eastAsia="仿宋_GB2312"/>
      <w:sz w:val="28"/>
    </w:rPr>
  </w:style>
  <w:style w:type="paragraph" w:styleId="6">
    <w:name w:val="toc 7"/>
    <w:basedOn w:val="1"/>
    <w:next w:val="1"/>
    <w:autoRedefine/>
    <w:unhideWhenUsed/>
    <w:qFormat/>
    <w:uiPriority w:val="39"/>
    <w:pPr>
      <w:ind w:left="1260"/>
      <w:jc w:val="left"/>
    </w:pPr>
    <w:rPr>
      <w:rFonts w:cstheme="minorHAnsi"/>
      <w:sz w:val="18"/>
      <w:szCs w:val="18"/>
    </w:rPr>
  </w:style>
  <w:style w:type="paragraph" w:styleId="7">
    <w:name w:val="E-mail Signature"/>
    <w:basedOn w:val="1"/>
    <w:next w:val="8"/>
    <w:autoRedefine/>
    <w:qFormat/>
    <w:uiPriority w:val="0"/>
    <w:pPr>
      <w:spacing w:line="460" w:lineRule="exact"/>
      <w:ind w:firstLine="200"/>
    </w:pPr>
  </w:style>
  <w:style w:type="paragraph" w:customStyle="1" w:styleId="8">
    <w:name w:val="文章"/>
    <w:basedOn w:val="9"/>
    <w:next w:val="12"/>
    <w:autoRedefine/>
    <w:qFormat/>
    <w:uiPriority w:val="0"/>
    <w:pPr>
      <w:widowControl/>
      <w:jc w:val="center"/>
    </w:pPr>
    <w:rPr>
      <w:sz w:val="26"/>
    </w:rPr>
  </w:style>
  <w:style w:type="paragraph" w:styleId="9">
    <w:name w:val="Body Text Indent"/>
    <w:basedOn w:val="1"/>
    <w:next w:val="10"/>
    <w:link w:val="60"/>
    <w:autoRedefine/>
    <w:semiHidden/>
    <w:unhideWhenUsed/>
    <w:qFormat/>
    <w:uiPriority w:val="99"/>
    <w:pPr>
      <w:spacing w:after="120"/>
      <w:ind w:left="420" w:leftChars="200"/>
    </w:pPr>
  </w:style>
  <w:style w:type="paragraph" w:styleId="10">
    <w:name w:val="Body Text Indent 2"/>
    <w:basedOn w:val="1"/>
    <w:next w:val="11"/>
    <w:autoRedefine/>
    <w:qFormat/>
    <w:uiPriority w:val="0"/>
    <w:pPr>
      <w:spacing w:line="360" w:lineRule="auto"/>
    </w:pPr>
    <w:rPr>
      <w:rFonts w:ascii="Times New Roman" w:hAnsi="Times New Roman" w:eastAsia="宋体"/>
      <w:sz w:val="24"/>
    </w:rPr>
  </w:style>
  <w:style w:type="paragraph" w:styleId="11">
    <w:name w:val="Body Text"/>
    <w:basedOn w:val="1"/>
    <w:next w:val="1"/>
    <w:autoRedefine/>
    <w:qFormat/>
    <w:uiPriority w:val="0"/>
    <w:pPr>
      <w:spacing w:after="120"/>
    </w:pPr>
    <w:rPr>
      <w:kern w:val="0"/>
      <w:sz w:val="20"/>
      <w:szCs w:val="24"/>
    </w:rPr>
  </w:style>
  <w:style w:type="paragraph" w:styleId="12">
    <w:name w:val="List"/>
    <w:basedOn w:val="1"/>
    <w:next w:val="13"/>
    <w:autoRedefine/>
    <w:qFormat/>
    <w:uiPriority w:val="0"/>
    <w:pPr>
      <w:ind w:left="200" w:hanging="200" w:hangingChars="200"/>
    </w:pPr>
    <w:rPr>
      <w:szCs w:val="24"/>
    </w:rPr>
  </w:style>
  <w:style w:type="paragraph" w:styleId="13">
    <w:name w:val="List Bullet 2"/>
    <w:basedOn w:val="1"/>
    <w:next w:val="14"/>
    <w:autoRedefine/>
    <w:semiHidden/>
    <w:unhideWhenUsed/>
    <w:qFormat/>
    <w:uiPriority w:val="99"/>
    <w:pPr>
      <w:numPr>
        <w:ilvl w:val="0"/>
        <w:numId w:val="1"/>
      </w:numPr>
    </w:pPr>
  </w:style>
  <w:style w:type="paragraph" w:customStyle="1" w:styleId="14">
    <w:name w:val="xl70"/>
    <w:basedOn w:val="1"/>
    <w:next w:val="15"/>
    <w:autoRedefine/>
    <w:qFormat/>
    <w:uiPriority w:val="0"/>
    <w:pPr>
      <w:widowControl/>
      <w:spacing w:before="280" w:after="280"/>
    </w:pPr>
    <w:rPr>
      <w:rFonts w:ascii="宋体"/>
    </w:rPr>
  </w:style>
  <w:style w:type="paragraph" w:customStyle="1" w:styleId="15">
    <w:name w:val="正文缩进1"/>
    <w:basedOn w:val="1"/>
    <w:next w:val="16"/>
    <w:autoRedefine/>
    <w:qFormat/>
    <w:uiPriority w:val="0"/>
    <w:pPr>
      <w:ind w:firstLine="420"/>
    </w:pPr>
    <w:rPr>
      <w:szCs w:val="20"/>
    </w:rPr>
  </w:style>
  <w:style w:type="paragraph" w:customStyle="1" w:styleId="16">
    <w:name w:val="td1"/>
    <w:basedOn w:val="1"/>
    <w:next w:val="1"/>
    <w:autoRedefine/>
    <w:qFormat/>
    <w:uiPriority w:val="0"/>
    <w:pPr>
      <w:widowControl/>
      <w:spacing w:before="280" w:after="280" w:line="300" w:lineRule="atLeast"/>
      <w:ind w:firstLine="200"/>
    </w:pPr>
    <w:rPr>
      <w:color w:val="000000"/>
      <w:sz w:val="18"/>
    </w:rPr>
  </w:style>
  <w:style w:type="paragraph" w:styleId="17">
    <w:name w:val="toa heading"/>
    <w:basedOn w:val="1"/>
    <w:next w:val="1"/>
    <w:unhideWhenUsed/>
    <w:qFormat/>
    <w:uiPriority w:val="99"/>
    <w:pPr>
      <w:spacing w:before="120"/>
    </w:pPr>
    <w:rPr>
      <w:rFonts w:ascii="Cambria" w:hAnsi="Cambria" w:cs="Times New Roman"/>
    </w:rPr>
  </w:style>
  <w:style w:type="paragraph" w:styleId="18">
    <w:name w:val="annotation text"/>
    <w:basedOn w:val="1"/>
    <w:link w:val="74"/>
    <w:autoRedefine/>
    <w:unhideWhenUsed/>
    <w:qFormat/>
    <w:uiPriority w:val="99"/>
    <w:pPr>
      <w:jc w:val="left"/>
    </w:pPr>
  </w:style>
  <w:style w:type="paragraph" w:styleId="19">
    <w:name w:val="Salutation"/>
    <w:basedOn w:val="1"/>
    <w:next w:val="1"/>
    <w:autoRedefine/>
    <w:unhideWhenUsed/>
    <w:qFormat/>
    <w:uiPriority w:val="99"/>
    <w:rPr>
      <w:rFonts w:ascii="Calibri" w:hAnsi="Calibri" w:eastAsia="宋体" w:cs="Times New Roman"/>
    </w:rPr>
  </w:style>
  <w:style w:type="paragraph" w:styleId="20">
    <w:name w:val="toc 5"/>
    <w:basedOn w:val="1"/>
    <w:next w:val="1"/>
    <w:autoRedefine/>
    <w:unhideWhenUsed/>
    <w:qFormat/>
    <w:uiPriority w:val="39"/>
    <w:pPr>
      <w:ind w:left="840"/>
      <w:jc w:val="left"/>
    </w:pPr>
    <w:rPr>
      <w:rFonts w:cstheme="minorHAnsi"/>
      <w:sz w:val="18"/>
      <w:szCs w:val="18"/>
    </w:rPr>
  </w:style>
  <w:style w:type="paragraph" w:styleId="21">
    <w:name w:val="toc 3"/>
    <w:basedOn w:val="1"/>
    <w:next w:val="1"/>
    <w:autoRedefine/>
    <w:unhideWhenUsed/>
    <w:qFormat/>
    <w:uiPriority w:val="39"/>
    <w:pPr>
      <w:ind w:left="420"/>
      <w:jc w:val="left"/>
    </w:pPr>
    <w:rPr>
      <w:rFonts w:cstheme="minorHAnsi"/>
      <w:i/>
      <w:iCs/>
      <w:sz w:val="20"/>
      <w:szCs w:val="20"/>
    </w:rPr>
  </w:style>
  <w:style w:type="paragraph" w:styleId="22">
    <w:name w:val="Plain Text"/>
    <w:basedOn w:val="1"/>
    <w:link w:val="99"/>
    <w:autoRedefine/>
    <w:qFormat/>
    <w:uiPriority w:val="0"/>
    <w:rPr>
      <w:rFonts w:ascii="宋体" w:hAnsi="Courier New" w:eastAsia="宋体" w:cs="Times New Roman"/>
      <w:kern w:val="16"/>
      <w:szCs w:val="21"/>
      <w:vertAlign w:val="superscript"/>
    </w:rPr>
  </w:style>
  <w:style w:type="paragraph" w:styleId="23">
    <w:name w:val="List Bullet 5"/>
    <w:basedOn w:val="1"/>
    <w:semiHidden/>
    <w:unhideWhenUsed/>
    <w:qFormat/>
    <w:uiPriority w:val="99"/>
    <w:pPr>
      <w:numPr>
        <w:ilvl w:val="0"/>
        <w:numId w:val="2"/>
      </w:numPr>
    </w:pPr>
  </w:style>
  <w:style w:type="paragraph" w:styleId="24">
    <w:name w:val="toc 8"/>
    <w:basedOn w:val="1"/>
    <w:next w:val="1"/>
    <w:autoRedefine/>
    <w:unhideWhenUsed/>
    <w:qFormat/>
    <w:uiPriority w:val="39"/>
    <w:pPr>
      <w:ind w:left="1470"/>
      <w:jc w:val="left"/>
    </w:pPr>
    <w:rPr>
      <w:rFonts w:cstheme="minorHAnsi"/>
      <w:sz w:val="18"/>
      <w:szCs w:val="18"/>
    </w:rPr>
  </w:style>
  <w:style w:type="paragraph" w:styleId="25">
    <w:name w:val="Balloon Text"/>
    <w:basedOn w:val="1"/>
    <w:link w:val="57"/>
    <w:autoRedefine/>
    <w:semiHidden/>
    <w:unhideWhenUsed/>
    <w:qFormat/>
    <w:uiPriority w:val="99"/>
    <w:rPr>
      <w:sz w:val="18"/>
      <w:szCs w:val="18"/>
    </w:rPr>
  </w:style>
  <w:style w:type="paragraph" w:styleId="26">
    <w:name w:val="footer"/>
    <w:basedOn w:val="1"/>
    <w:link w:val="59"/>
    <w:autoRedefine/>
    <w:unhideWhenUsed/>
    <w:qFormat/>
    <w:uiPriority w:val="99"/>
    <w:pPr>
      <w:tabs>
        <w:tab w:val="center" w:pos="4153"/>
        <w:tab w:val="right" w:pos="8306"/>
      </w:tabs>
      <w:snapToGrid w:val="0"/>
      <w:jc w:val="left"/>
    </w:pPr>
    <w:rPr>
      <w:sz w:val="18"/>
      <w:szCs w:val="18"/>
    </w:rPr>
  </w:style>
  <w:style w:type="paragraph" w:styleId="27">
    <w:name w:val="header"/>
    <w:basedOn w:val="1"/>
    <w:link w:val="5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autoRedefine/>
    <w:unhideWhenUsed/>
    <w:qFormat/>
    <w:uiPriority w:val="39"/>
    <w:pPr>
      <w:spacing w:before="120" w:after="120"/>
      <w:jc w:val="left"/>
    </w:pPr>
    <w:rPr>
      <w:rFonts w:cstheme="minorHAnsi"/>
      <w:b/>
      <w:bCs/>
      <w:caps/>
      <w:sz w:val="20"/>
      <w:szCs w:val="20"/>
    </w:rPr>
  </w:style>
  <w:style w:type="paragraph" w:styleId="29">
    <w:name w:val="toc 4"/>
    <w:basedOn w:val="1"/>
    <w:next w:val="1"/>
    <w:autoRedefine/>
    <w:unhideWhenUsed/>
    <w:qFormat/>
    <w:uiPriority w:val="39"/>
    <w:pPr>
      <w:ind w:left="630"/>
      <w:jc w:val="left"/>
    </w:pPr>
    <w:rPr>
      <w:rFonts w:cstheme="minorHAnsi"/>
      <w:sz w:val="18"/>
      <w:szCs w:val="18"/>
    </w:rPr>
  </w:style>
  <w:style w:type="paragraph" w:styleId="30">
    <w:name w:val="index heading"/>
    <w:basedOn w:val="1"/>
    <w:next w:val="31"/>
    <w:autoRedefine/>
    <w:unhideWhenUsed/>
    <w:qFormat/>
    <w:uiPriority w:val="99"/>
    <w:rPr>
      <w:rFonts w:ascii="Arial" w:hAnsi="Arial"/>
      <w:b/>
    </w:rPr>
  </w:style>
  <w:style w:type="paragraph" w:styleId="31">
    <w:name w:val="index 1"/>
    <w:basedOn w:val="1"/>
    <w:next w:val="1"/>
    <w:autoRedefine/>
    <w:unhideWhenUsed/>
    <w:qFormat/>
    <w:uiPriority w:val="99"/>
  </w:style>
  <w:style w:type="paragraph" w:styleId="32">
    <w:name w:val="toc 6"/>
    <w:basedOn w:val="1"/>
    <w:next w:val="1"/>
    <w:autoRedefine/>
    <w:unhideWhenUsed/>
    <w:qFormat/>
    <w:uiPriority w:val="39"/>
    <w:pPr>
      <w:ind w:left="1050"/>
      <w:jc w:val="left"/>
    </w:pPr>
    <w:rPr>
      <w:rFonts w:cstheme="minorHAnsi"/>
      <w:sz w:val="18"/>
      <w:szCs w:val="18"/>
    </w:rPr>
  </w:style>
  <w:style w:type="paragraph" w:styleId="33">
    <w:name w:val="toc 2"/>
    <w:basedOn w:val="1"/>
    <w:next w:val="7"/>
    <w:autoRedefine/>
    <w:unhideWhenUsed/>
    <w:qFormat/>
    <w:uiPriority w:val="39"/>
    <w:pPr>
      <w:ind w:left="210"/>
      <w:jc w:val="left"/>
    </w:pPr>
    <w:rPr>
      <w:rFonts w:cstheme="minorHAnsi"/>
      <w:smallCaps/>
      <w:sz w:val="20"/>
      <w:szCs w:val="20"/>
    </w:rPr>
  </w:style>
  <w:style w:type="paragraph" w:styleId="34">
    <w:name w:val="toc 9"/>
    <w:basedOn w:val="1"/>
    <w:next w:val="1"/>
    <w:autoRedefine/>
    <w:unhideWhenUsed/>
    <w:qFormat/>
    <w:uiPriority w:val="39"/>
    <w:pPr>
      <w:ind w:left="1680"/>
      <w:jc w:val="left"/>
    </w:pPr>
    <w:rPr>
      <w:rFonts w:cstheme="minorHAnsi"/>
      <w:sz w:val="18"/>
      <w:szCs w:val="18"/>
    </w:rPr>
  </w:style>
  <w:style w:type="paragraph" w:styleId="35">
    <w:name w:val="Normal (Web)"/>
    <w:basedOn w:val="1"/>
    <w:link w:val="56"/>
    <w:autoRedefine/>
    <w:qFormat/>
    <w:uiPriority w:val="99"/>
    <w:pPr>
      <w:widowControl/>
      <w:spacing w:before="100" w:beforeAutospacing="1" w:after="100" w:afterAutospacing="1"/>
      <w:jc w:val="left"/>
    </w:pPr>
    <w:rPr>
      <w:rFonts w:ascii="宋体" w:hAnsi="宋体" w:eastAsia="宋体" w:cs="Times New Roman"/>
      <w:kern w:val="0"/>
      <w:sz w:val="24"/>
      <w:szCs w:val="20"/>
    </w:rPr>
  </w:style>
  <w:style w:type="paragraph" w:styleId="36">
    <w:name w:val="Title"/>
    <w:basedOn w:val="1"/>
    <w:next w:val="1"/>
    <w:link w:val="55"/>
    <w:autoRedefine/>
    <w:qFormat/>
    <w:uiPriority w:val="10"/>
    <w:pPr>
      <w:spacing w:before="240" w:after="60"/>
      <w:jc w:val="center"/>
      <w:outlineLvl w:val="0"/>
    </w:pPr>
    <w:rPr>
      <w:rFonts w:eastAsia="宋体" w:asciiTheme="majorHAnsi" w:hAnsiTheme="majorHAnsi" w:cstheme="majorBidi"/>
      <w:b/>
      <w:bCs/>
      <w:sz w:val="32"/>
      <w:szCs w:val="32"/>
    </w:rPr>
  </w:style>
  <w:style w:type="paragraph" w:styleId="37">
    <w:name w:val="annotation subject"/>
    <w:basedOn w:val="18"/>
    <w:next w:val="18"/>
    <w:link w:val="75"/>
    <w:autoRedefine/>
    <w:semiHidden/>
    <w:unhideWhenUsed/>
    <w:qFormat/>
    <w:uiPriority w:val="99"/>
    <w:rPr>
      <w:b/>
      <w:bCs/>
    </w:rPr>
  </w:style>
  <w:style w:type="paragraph" w:styleId="38">
    <w:name w:val="Body Text First Indent"/>
    <w:basedOn w:val="11"/>
    <w:next w:val="1"/>
    <w:autoRedefine/>
    <w:qFormat/>
    <w:uiPriority w:val="0"/>
    <w:pPr>
      <w:ind w:firstLine="420" w:firstLineChars="100"/>
    </w:pPr>
  </w:style>
  <w:style w:type="paragraph" w:styleId="39">
    <w:name w:val="Body Text First Indent 2"/>
    <w:basedOn w:val="9"/>
    <w:next w:val="1"/>
    <w:link w:val="61"/>
    <w:autoRedefine/>
    <w:unhideWhenUsed/>
    <w:qFormat/>
    <w:uiPriority w:val="99"/>
    <w:pPr>
      <w:ind w:firstLine="420"/>
    </w:pPr>
    <w:rPr>
      <w:rFonts w:ascii="Times New Roman" w:hAnsi="Times New Roman" w:eastAsia="宋体" w:cs="Times New Roman"/>
      <w:kern w:val="0"/>
      <w:sz w:val="24"/>
      <w:szCs w:val="20"/>
    </w:rPr>
  </w:style>
  <w:style w:type="table" w:styleId="41">
    <w:name w:val="Table Grid"/>
    <w:basedOn w:val="4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autoRedefine/>
    <w:qFormat/>
    <w:uiPriority w:val="22"/>
    <w:rPr>
      <w:b/>
      <w:bCs/>
    </w:rPr>
  </w:style>
  <w:style w:type="character" w:styleId="44">
    <w:name w:val="page number"/>
    <w:basedOn w:val="42"/>
    <w:autoRedefine/>
    <w:qFormat/>
    <w:uiPriority w:val="0"/>
  </w:style>
  <w:style w:type="character" w:styleId="45">
    <w:name w:val="FollowedHyperlink"/>
    <w:basedOn w:val="42"/>
    <w:autoRedefine/>
    <w:semiHidden/>
    <w:unhideWhenUsed/>
    <w:qFormat/>
    <w:uiPriority w:val="99"/>
    <w:rPr>
      <w:color w:val="954F72" w:themeColor="followedHyperlink"/>
      <w:u w:val="single"/>
      <w14:textFill>
        <w14:solidFill>
          <w14:schemeClr w14:val="folHlink"/>
        </w14:solidFill>
      </w14:textFill>
    </w:rPr>
  </w:style>
  <w:style w:type="character" w:styleId="46">
    <w:name w:val="Emphasis"/>
    <w:basedOn w:val="42"/>
    <w:autoRedefine/>
    <w:qFormat/>
    <w:uiPriority w:val="20"/>
    <w:rPr>
      <w:i/>
      <w:iCs/>
    </w:rPr>
  </w:style>
  <w:style w:type="character" w:styleId="47">
    <w:name w:val="Hyperlink"/>
    <w:basedOn w:val="42"/>
    <w:autoRedefine/>
    <w:unhideWhenUsed/>
    <w:qFormat/>
    <w:uiPriority w:val="99"/>
    <w:rPr>
      <w:color w:val="0000FF"/>
      <w:u w:val="single"/>
    </w:rPr>
  </w:style>
  <w:style w:type="character" w:styleId="48">
    <w:name w:val="annotation reference"/>
    <w:autoRedefine/>
    <w:semiHidden/>
    <w:qFormat/>
    <w:uiPriority w:val="0"/>
    <w:rPr>
      <w:sz w:val="21"/>
    </w:rPr>
  </w:style>
  <w:style w:type="paragraph" w:customStyle="1" w:styleId="49">
    <w:name w:val="Default"/>
    <w:basedOn w:val="50"/>
    <w:next w:val="51"/>
    <w:autoRedefine/>
    <w:qFormat/>
    <w:uiPriority w:val="0"/>
    <w:pPr>
      <w:autoSpaceDE w:val="0"/>
      <w:autoSpaceDN w:val="0"/>
      <w:adjustRightInd w:val="0"/>
    </w:pPr>
    <w:rPr>
      <w:rFonts w:ascii="MHei-Medium" w:hAnsi="Times New Roman" w:eastAsia="MHei-Medium" w:cs="Times New Roman"/>
      <w:sz w:val="20"/>
      <w:szCs w:val="20"/>
    </w:rPr>
  </w:style>
  <w:style w:type="paragraph" w:customStyle="1" w:styleId="50">
    <w:name w:val="纯文本1"/>
    <w:basedOn w:val="1"/>
    <w:next w:val="1"/>
    <w:autoRedefine/>
    <w:qFormat/>
    <w:uiPriority w:val="0"/>
    <w:rPr>
      <w:rFonts w:ascii="宋体" w:hAnsi="Courier New" w:cs="Courier New"/>
      <w:kern w:val="0"/>
      <w:szCs w:val="21"/>
    </w:rPr>
  </w:style>
  <w:style w:type="paragraph" w:customStyle="1" w:styleId="51">
    <w:name w:val="样式35"/>
    <w:basedOn w:val="52"/>
    <w:next w:val="53"/>
    <w:autoRedefine/>
    <w:qFormat/>
    <w:uiPriority w:val="0"/>
    <w:pPr>
      <w:tabs>
        <w:tab w:val="left" w:pos="0"/>
        <w:tab w:val="left" w:pos="360"/>
        <w:tab w:val="left" w:pos="480"/>
        <w:tab w:val="left" w:pos="540"/>
        <w:tab w:val="left" w:pos="567"/>
        <w:tab w:val="left" w:pos="720"/>
      </w:tabs>
      <w:spacing w:line="312" w:lineRule="auto"/>
      <w:ind w:firstLine="567"/>
    </w:pPr>
    <w:rPr>
      <w:rFonts w:ascii="宋体"/>
    </w:rPr>
  </w:style>
  <w:style w:type="paragraph" w:customStyle="1" w:styleId="52">
    <w:name w:val="表 内容"/>
    <w:basedOn w:val="1"/>
    <w:autoRedefine/>
    <w:qFormat/>
    <w:uiPriority w:val="0"/>
    <w:pPr>
      <w:spacing w:line="276" w:lineRule="auto"/>
      <w:jc w:val="center"/>
    </w:pPr>
    <w:rPr>
      <w:rFonts w:ascii="仿宋" w:hAnsi="仿宋" w:eastAsia="仿宋"/>
      <w:sz w:val="24"/>
    </w:rPr>
  </w:style>
  <w:style w:type="paragraph" w:customStyle="1" w:styleId="53">
    <w:name w:val="font6"/>
    <w:basedOn w:val="1"/>
    <w:next w:val="33"/>
    <w:autoRedefine/>
    <w:qFormat/>
    <w:uiPriority w:val="0"/>
    <w:pPr>
      <w:widowControl/>
      <w:spacing w:before="280" w:after="280"/>
    </w:pPr>
  </w:style>
  <w:style w:type="paragraph" w:customStyle="1" w:styleId="54">
    <w:name w:val="样式 正文文本 + 首行缩进:  2 字符"/>
    <w:basedOn w:val="1"/>
    <w:autoRedefine/>
    <w:qFormat/>
    <w:uiPriority w:val="0"/>
    <w:pPr>
      <w:widowControl/>
      <w:spacing w:before="100" w:beforeAutospacing="1" w:after="200" w:line="480" w:lineRule="exact"/>
      <w:ind w:firstLine="480" w:firstLineChars="200"/>
      <w:jc w:val="left"/>
    </w:pPr>
    <w:rPr>
      <w:rFonts w:eastAsia="微软雅黑"/>
      <w:kern w:val="0"/>
      <w:sz w:val="24"/>
    </w:rPr>
  </w:style>
  <w:style w:type="character" w:customStyle="1" w:styleId="55">
    <w:name w:val="标题 Char"/>
    <w:basedOn w:val="42"/>
    <w:link w:val="36"/>
    <w:autoRedefine/>
    <w:qFormat/>
    <w:uiPriority w:val="10"/>
    <w:rPr>
      <w:rFonts w:eastAsia="宋体" w:asciiTheme="majorHAnsi" w:hAnsiTheme="majorHAnsi" w:cstheme="majorBidi"/>
      <w:b/>
      <w:bCs/>
      <w:sz w:val="32"/>
      <w:szCs w:val="32"/>
    </w:rPr>
  </w:style>
  <w:style w:type="character" w:customStyle="1" w:styleId="56">
    <w:name w:val="普通(网站) Char"/>
    <w:link w:val="35"/>
    <w:autoRedefine/>
    <w:qFormat/>
    <w:locked/>
    <w:uiPriority w:val="0"/>
    <w:rPr>
      <w:rFonts w:ascii="宋体" w:hAnsi="宋体" w:eastAsia="宋体" w:cs="Times New Roman"/>
      <w:kern w:val="0"/>
      <w:sz w:val="24"/>
      <w:szCs w:val="20"/>
    </w:rPr>
  </w:style>
  <w:style w:type="character" w:customStyle="1" w:styleId="57">
    <w:name w:val="批注框文本 Char"/>
    <w:basedOn w:val="42"/>
    <w:link w:val="25"/>
    <w:autoRedefine/>
    <w:semiHidden/>
    <w:qFormat/>
    <w:uiPriority w:val="99"/>
    <w:rPr>
      <w:sz w:val="18"/>
      <w:szCs w:val="18"/>
    </w:rPr>
  </w:style>
  <w:style w:type="character" w:customStyle="1" w:styleId="58">
    <w:name w:val="页眉 Char"/>
    <w:basedOn w:val="42"/>
    <w:link w:val="27"/>
    <w:autoRedefine/>
    <w:qFormat/>
    <w:uiPriority w:val="99"/>
    <w:rPr>
      <w:sz w:val="18"/>
      <w:szCs w:val="18"/>
    </w:rPr>
  </w:style>
  <w:style w:type="character" w:customStyle="1" w:styleId="59">
    <w:name w:val="页脚 Char"/>
    <w:basedOn w:val="42"/>
    <w:link w:val="26"/>
    <w:autoRedefine/>
    <w:qFormat/>
    <w:uiPriority w:val="99"/>
    <w:rPr>
      <w:sz w:val="18"/>
      <w:szCs w:val="18"/>
    </w:rPr>
  </w:style>
  <w:style w:type="character" w:customStyle="1" w:styleId="60">
    <w:name w:val="正文文本缩进 Char"/>
    <w:basedOn w:val="42"/>
    <w:link w:val="9"/>
    <w:autoRedefine/>
    <w:semiHidden/>
    <w:qFormat/>
    <w:uiPriority w:val="99"/>
  </w:style>
  <w:style w:type="character" w:customStyle="1" w:styleId="61">
    <w:name w:val="正文首行缩进 2 Char"/>
    <w:basedOn w:val="60"/>
    <w:link w:val="39"/>
    <w:autoRedefine/>
    <w:qFormat/>
    <w:uiPriority w:val="99"/>
    <w:rPr>
      <w:rFonts w:ascii="Times New Roman" w:hAnsi="Times New Roman" w:eastAsia="宋体" w:cs="Times New Roman"/>
      <w:kern w:val="0"/>
      <w:sz w:val="24"/>
      <w:szCs w:val="20"/>
    </w:rPr>
  </w:style>
  <w:style w:type="character" w:customStyle="1" w:styleId="62">
    <w:name w:val="报告表格 Char"/>
    <w:link w:val="63"/>
    <w:autoRedefine/>
    <w:qFormat/>
    <w:uiPriority w:val="0"/>
  </w:style>
  <w:style w:type="paragraph" w:customStyle="1" w:styleId="63">
    <w:name w:val="报告表格"/>
    <w:basedOn w:val="1"/>
    <w:link w:val="62"/>
    <w:autoRedefine/>
    <w:qFormat/>
    <w:uiPriority w:val="0"/>
    <w:pPr>
      <w:autoSpaceDE w:val="0"/>
      <w:autoSpaceDN w:val="0"/>
      <w:adjustRightInd w:val="0"/>
      <w:spacing w:before="40" w:after="40"/>
      <w:jc w:val="center"/>
      <w:textAlignment w:val="bottom"/>
    </w:pPr>
  </w:style>
  <w:style w:type="paragraph" w:customStyle="1" w:styleId="64">
    <w:name w:val="正文-欣欣"/>
    <w:basedOn w:val="1"/>
    <w:next w:val="1"/>
    <w:link w:val="65"/>
    <w:autoRedefine/>
    <w:qFormat/>
    <w:uiPriority w:val="0"/>
    <w:pPr>
      <w:adjustRightInd w:val="0"/>
      <w:spacing w:line="360" w:lineRule="auto"/>
      <w:ind w:firstLine="200" w:firstLineChars="200"/>
    </w:pPr>
    <w:rPr>
      <w:rFonts w:ascii="Times New Roman" w:hAnsi="Times New Roman" w:eastAsia="宋体" w:cs="Times New Roman"/>
      <w:sz w:val="24"/>
      <w:szCs w:val="30"/>
    </w:rPr>
  </w:style>
  <w:style w:type="character" w:customStyle="1" w:styleId="65">
    <w:name w:val="正文-欣欣 Char"/>
    <w:link w:val="64"/>
    <w:autoRedefine/>
    <w:qFormat/>
    <w:uiPriority w:val="0"/>
    <w:rPr>
      <w:rFonts w:ascii="Times New Roman" w:hAnsi="Times New Roman" w:eastAsia="宋体" w:cs="Times New Roman"/>
      <w:sz w:val="24"/>
      <w:szCs w:val="30"/>
    </w:rPr>
  </w:style>
  <w:style w:type="paragraph" w:customStyle="1" w:styleId="66">
    <w:name w:val="表格内容"/>
    <w:basedOn w:val="67"/>
    <w:next w:val="1"/>
    <w:link w:val="68"/>
    <w:autoRedefine/>
    <w:qFormat/>
    <w:uiPriority w:val="0"/>
    <w:pPr>
      <w:jc w:val="center"/>
    </w:pPr>
    <w:rPr>
      <w:rFonts w:ascii="Times New Roman" w:hAnsi="Times New Roman" w:eastAsia="Times New Roman" w:cs="Times New Roman"/>
      <w:szCs w:val="21"/>
    </w:rPr>
  </w:style>
  <w:style w:type="paragraph" w:customStyle="1" w:styleId="67">
    <w:name w:val="表格"/>
    <w:basedOn w:val="1"/>
    <w:next w:val="1"/>
    <w:link w:val="69"/>
    <w:autoRedefine/>
    <w:qFormat/>
    <w:uiPriority w:val="0"/>
    <w:pPr>
      <w:adjustRightInd w:val="0"/>
      <w:snapToGrid w:val="0"/>
      <w:spacing w:beforeLines="10" w:afterLines="10" w:line="259" w:lineRule="auto"/>
      <w:jc w:val="center"/>
    </w:pPr>
    <w:rPr>
      <w:rFonts w:ascii="宋体"/>
    </w:rPr>
  </w:style>
  <w:style w:type="character" w:customStyle="1" w:styleId="68">
    <w:name w:val="表格内容 Char"/>
    <w:link w:val="66"/>
    <w:autoRedefine/>
    <w:qFormat/>
    <w:uiPriority w:val="0"/>
    <w:rPr>
      <w:rFonts w:ascii="Times New Roman" w:hAnsi="Times New Roman" w:eastAsia="Times New Roman" w:cs="Times New Roman"/>
      <w:szCs w:val="21"/>
    </w:rPr>
  </w:style>
  <w:style w:type="character" w:customStyle="1" w:styleId="69">
    <w:name w:val="表格 Char"/>
    <w:link w:val="67"/>
    <w:autoRedefine/>
    <w:qFormat/>
    <w:locked/>
    <w:uiPriority w:val="0"/>
    <w:rPr>
      <w:rFonts w:ascii="宋体"/>
    </w:rPr>
  </w:style>
  <w:style w:type="paragraph" w:customStyle="1" w:styleId="70">
    <w:name w:val="0图表标题"/>
    <w:basedOn w:val="1"/>
    <w:next w:val="1"/>
    <w:autoRedefine/>
    <w:qFormat/>
    <w:uiPriority w:val="0"/>
    <w:pPr>
      <w:adjustRightInd w:val="0"/>
      <w:snapToGrid w:val="0"/>
      <w:spacing w:line="360" w:lineRule="auto"/>
      <w:jc w:val="center"/>
    </w:pPr>
    <w:rPr>
      <w:rFonts w:ascii="Times New Roman" w:hAnsi="Times New Roman" w:eastAsia="宋体" w:cs="Times New Roman"/>
      <w:b/>
      <w:sz w:val="24"/>
    </w:rPr>
  </w:style>
  <w:style w:type="paragraph" w:styleId="71">
    <w:name w:val="List Paragraph"/>
    <w:basedOn w:val="1"/>
    <w:link w:val="104"/>
    <w:autoRedefine/>
    <w:qFormat/>
    <w:uiPriority w:val="34"/>
    <w:pPr>
      <w:ind w:firstLine="420" w:firstLineChars="200"/>
    </w:pPr>
  </w:style>
  <w:style w:type="paragraph" w:customStyle="1" w:styleId="72">
    <w:name w:val="列出段落1"/>
    <w:basedOn w:val="1"/>
    <w:autoRedefine/>
    <w:qFormat/>
    <w:uiPriority w:val="0"/>
    <w:pPr>
      <w:ind w:firstLine="420" w:firstLineChars="200"/>
    </w:pPr>
    <w:rPr>
      <w:rFonts w:ascii="等线" w:hAnsi="等线" w:eastAsia="宋体" w:cs="Times New Roman"/>
      <w:szCs w:val="21"/>
    </w:rPr>
  </w:style>
  <w:style w:type="paragraph" w:customStyle="1" w:styleId="73">
    <w:name w:val="表格首行"/>
    <w:basedOn w:val="1"/>
    <w:next w:val="1"/>
    <w:autoRedefine/>
    <w:qFormat/>
    <w:uiPriority w:val="0"/>
    <w:pPr>
      <w:adjustRightInd w:val="0"/>
      <w:jc w:val="center"/>
    </w:pPr>
    <w:rPr>
      <w:rFonts w:ascii="Times New Roman" w:hAnsi="Times New Roman" w:eastAsia="宋体" w:cs="宋体"/>
      <w:b/>
      <w:szCs w:val="20"/>
    </w:rPr>
  </w:style>
  <w:style w:type="character" w:customStyle="1" w:styleId="74">
    <w:name w:val="批注文字 Char"/>
    <w:basedOn w:val="42"/>
    <w:link w:val="18"/>
    <w:autoRedefine/>
    <w:qFormat/>
    <w:uiPriority w:val="0"/>
  </w:style>
  <w:style w:type="character" w:customStyle="1" w:styleId="75">
    <w:name w:val="批注主题 Char"/>
    <w:basedOn w:val="74"/>
    <w:link w:val="37"/>
    <w:autoRedefine/>
    <w:semiHidden/>
    <w:qFormat/>
    <w:uiPriority w:val="99"/>
    <w:rPr>
      <w:b/>
      <w:bCs/>
    </w:rPr>
  </w:style>
  <w:style w:type="character" w:customStyle="1" w:styleId="76">
    <w:name w:val="标题 2 Char"/>
    <w:basedOn w:val="42"/>
    <w:link w:val="3"/>
    <w:autoRedefine/>
    <w:qFormat/>
    <w:uiPriority w:val="9"/>
    <w:rPr>
      <w:rFonts w:ascii="宋体" w:hAnsi="宋体" w:eastAsia="宋体" w:cs="宋体"/>
      <w:b/>
      <w:bCs/>
      <w:kern w:val="0"/>
      <w:sz w:val="36"/>
      <w:szCs w:val="36"/>
    </w:rPr>
  </w:style>
  <w:style w:type="character" w:customStyle="1" w:styleId="77">
    <w:name w:val="正文文本 字符1"/>
    <w:autoRedefine/>
    <w:semiHidden/>
    <w:qFormat/>
    <w:uiPriority w:val="0"/>
    <w:rPr>
      <w:rFonts w:ascii="Times New Roman" w:hAnsi="Times New Roman" w:eastAsia="宋体"/>
      <w:sz w:val="24"/>
    </w:rPr>
  </w:style>
  <w:style w:type="character" w:customStyle="1" w:styleId="78">
    <w:name w:val="标题 1 Char"/>
    <w:basedOn w:val="42"/>
    <w:link w:val="2"/>
    <w:autoRedefine/>
    <w:qFormat/>
    <w:uiPriority w:val="9"/>
    <w:rPr>
      <w:b/>
      <w:bCs/>
      <w:kern w:val="44"/>
      <w:sz w:val="44"/>
      <w:szCs w:val="44"/>
    </w:rPr>
  </w:style>
  <w:style w:type="character" w:customStyle="1" w:styleId="79">
    <w:name w:val="font11"/>
    <w:basedOn w:val="42"/>
    <w:autoRedefine/>
    <w:qFormat/>
    <w:uiPriority w:val="0"/>
    <w:rPr>
      <w:rFonts w:hint="default" w:ascii="Times New Roman" w:hAnsi="Times New Roman" w:eastAsia="宋体" w:cs="Times New Roman"/>
      <w:color w:val="000000"/>
      <w:sz w:val="21"/>
      <w:szCs w:val="21"/>
      <w:u w:val="none"/>
    </w:rPr>
  </w:style>
  <w:style w:type="character" w:customStyle="1" w:styleId="80">
    <w:name w:val="font71"/>
    <w:basedOn w:val="42"/>
    <w:autoRedefine/>
    <w:qFormat/>
    <w:uiPriority w:val="0"/>
    <w:rPr>
      <w:rFonts w:hint="default" w:ascii="Times New Roman" w:hAnsi="Times New Roman" w:cs="Times New Roman"/>
      <w:b/>
      <w:bCs/>
      <w:color w:val="000000"/>
      <w:sz w:val="19"/>
      <w:szCs w:val="19"/>
      <w:u w:val="none"/>
    </w:rPr>
  </w:style>
  <w:style w:type="character" w:customStyle="1" w:styleId="81">
    <w:name w:val="font31"/>
    <w:basedOn w:val="42"/>
    <w:autoRedefine/>
    <w:qFormat/>
    <w:uiPriority w:val="0"/>
    <w:rPr>
      <w:rFonts w:hint="eastAsia" w:ascii="宋体" w:hAnsi="宋体" w:eastAsia="宋体" w:cs="宋体"/>
      <w:b/>
      <w:bCs/>
      <w:color w:val="000000"/>
      <w:sz w:val="19"/>
      <w:szCs w:val="19"/>
      <w:u w:val="none"/>
    </w:rPr>
  </w:style>
  <w:style w:type="character" w:customStyle="1" w:styleId="82">
    <w:name w:val="font21"/>
    <w:basedOn w:val="42"/>
    <w:autoRedefine/>
    <w:qFormat/>
    <w:uiPriority w:val="0"/>
    <w:rPr>
      <w:rFonts w:hint="default" w:ascii="Times New Roman" w:hAnsi="Times New Roman" w:cs="Times New Roman"/>
      <w:b/>
      <w:bCs/>
      <w:color w:val="000000"/>
      <w:sz w:val="19"/>
      <w:szCs w:val="19"/>
      <w:u w:val="none"/>
    </w:rPr>
  </w:style>
  <w:style w:type="character" w:customStyle="1" w:styleId="83">
    <w:name w:val="font51"/>
    <w:basedOn w:val="42"/>
    <w:autoRedefine/>
    <w:qFormat/>
    <w:uiPriority w:val="0"/>
    <w:rPr>
      <w:rFonts w:hint="eastAsia" w:ascii="宋体" w:hAnsi="宋体" w:eastAsia="宋体" w:cs="宋体"/>
      <w:b/>
      <w:bCs/>
      <w:color w:val="000000"/>
      <w:sz w:val="19"/>
      <w:szCs w:val="19"/>
      <w:u w:val="none"/>
    </w:rPr>
  </w:style>
  <w:style w:type="character" w:customStyle="1" w:styleId="84">
    <w:name w:val="font41"/>
    <w:basedOn w:val="42"/>
    <w:autoRedefine/>
    <w:qFormat/>
    <w:uiPriority w:val="0"/>
    <w:rPr>
      <w:rFonts w:hint="default" w:ascii="Times New Roman" w:hAnsi="Times New Roman" w:cs="Times New Roman"/>
      <w:color w:val="000000"/>
      <w:sz w:val="19"/>
      <w:szCs w:val="19"/>
      <w:u w:val="none"/>
    </w:rPr>
  </w:style>
  <w:style w:type="character" w:customStyle="1" w:styleId="85">
    <w:name w:val="font81"/>
    <w:basedOn w:val="42"/>
    <w:autoRedefine/>
    <w:qFormat/>
    <w:uiPriority w:val="0"/>
    <w:rPr>
      <w:rFonts w:hint="default" w:ascii="Times New Roman" w:hAnsi="Times New Roman" w:cs="Times New Roman"/>
      <w:color w:val="000000"/>
      <w:sz w:val="19"/>
      <w:szCs w:val="19"/>
      <w:u w:val="none"/>
      <w:vertAlign w:val="superscript"/>
    </w:rPr>
  </w:style>
  <w:style w:type="character" w:customStyle="1" w:styleId="86">
    <w:name w:val="font101"/>
    <w:basedOn w:val="42"/>
    <w:autoRedefine/>
    <w:qFormat/>
    <w:uiPriority w:val="0"/>
    <w:rPr>
      <w:rFonts w:hint="default" w:ascii="Times New Roman" w:hAnsi="Times New Roman" w:cs="Times New Roman"/>
      <w:b/>
      <w:bCs/>
      <w:color w:val="000000"/>
      <w:sz w:val="19"/>
      <w:szCs w:val="19"/>
      <w:u w:val="none"/>
      <w:vertAlign w:val="superscript"/>
    </w:rPr>
  </w:style>
  <w:style w:type="character" w:customStyle="1" w:styleId="87">
    <w:name w:val="font61"/>
    <w:basedOn w:val="42"/>
    <w:autoRedefine/>
    <w:qFormat/>
    <w:uiPriority w:val="0"/>
    <w:rPr>
      <w:rFonts w:hint="eastAsia" w:ascii="宋体" w:hAnsi="宋体" w:eastAsia="宋体" w:cs="宋体"/>
      <w:color w:val="000000"/>
      <w:sz w:val="19"/>
      <w:szCs w:val="19"/>
      <w:u w:val="none"/>
    </w:rPr>
  </w:style>
  <w:style w:type="character" w:customStyle="1" w:styleId="88">
    <w:name w:val="font01"/>
    <w:basedOn w:val="42"/>
    <w:autoRedefine/>
    <w:qFormat/>
    <w:uiPriority w:val="0"/>
    <w:rPr>
      <w:rFonts w:hint="eastAsia" w:ascii="宋体" w:hAnsi="宋体" w:eastAsia="宋体" w:cs="宋体"/>
      <w:color w:val="000000"/>
      <w:sz w:val="18"/>
      <w:szCs w:val="18"/>
      <w:u w:val="none"/>
    </w:rPr>
  </w:style>
  <w:style w:type="paragraph" w:customStyle="1" w:styleId="89">
    <w:name w:val="Normal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90">
    <w:name w:val="Table Paragraph"/>
    <w:basedOn w:val="1"/>
    <w:autoRedefine/>
    <w:qFormat/>
    <w:uiPriority w:val="1"/>
    <w:pPr>
      <w:autoSpaceDE w:val="0"/>
      <w:autoSpaceDN w:val="0"/>
      <w:adjustRightInd w:val="0"/>
      <w:jc w:val="left"/>
    </w:pPr>
    <w:rPr>
      <w:kern w:val="0"/>
      <w:sz w:val="24"/>
      <w:szCs w:val="24"/>
    </w:rPr>
  </w:style>
  <w:style w:type="character" w:customStyle="1" w:styleId="91">
    <w:name w:val="font91"/>
    <w:basedOn w:val="42"/>
    <w:autoRedefine/>
    <w:qFormat/>
    <w:uiPriority w:val="0"/>
    <w:rPr>
      <w:rFonts w:hint="default" w:ascii="Times New Roman" w:hAnsi="Times New Roman" w:cs="Times New Roman"/>
      <w:color w:val="000000"/>
      <w:sz w:val="21"/>
      <w:szCs w:val="21"/>
      <w:u w:val="none"/>
      <w:vertAlign w:val="subscript"/>
    </w:rPr>
  </w:style>
  <w:style w:type="paragraph" w:customStyle="1" w:styleId="92">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93">
    <w:name w:val="No Spacing"/>
    <w:autoRedefine/>
    <w:qFormat/>
    <w:uiPriority w:val="1"/>
    <w:pPr>
      <w:widowControl w:val="0"/>
      <w:spacing w:line="340" w:lineRule="exact"/>
      <w:jc w:val="center"/>
    </w:pPr>
    <w:rPr>
      <w:rFonts w:ascii="Times New Roman" w:hAnsi="Times New Roman" w:eastAsia="宋体" w:cs="Times New Roman"/>
      <w:kern w:val="2"/>
      <w:sz w:val="24"/>
      <w:szCs w:val="24"/>
      <w:lang w:val="en-US" w:eastAsia="zh-CN" w:bidi="ar-SA"/>
    </w:rPr>
  </w:style>
  <w:style w:type="paragraph" w:customStyle="1" w:styleId="94">
    <w:name w:val="表中文字"/>
    <w:next w:val="1"/>
    <w:autoRedefine/>
    <w:qFormat/>
    <w:uiPriority w:val="0"/>
    <w:pPr>
      <w:widowControl w:val="0"/>
      <w:jc w:val="center"/>
    </w:pPr>
    <w:rPr>
      <w:rFonts w:ascii="Calibri" w:hAnsi="Calibri" w:eastAsia="宋体" w:cs="Times New Roman"/>
      <w:kern w:val="2"/>
      <w:sz w:val="21"/>
      <w:szCs w:val="24"/>
      <w:lang w:val="en-US" w:eastAsia="zh-CN" w:bidi="ar-SA"/>
    </w:rPr>
  </w:style>
  <w:style w:type="paragraph" w:customStyle="1" w:styleId="95">
    <w:name w:val="正文标题"/>
    <w:basedOn w:val="1"/>
    <w:autoRedefine/>
    <w:qFormat/>
    <w:uiPriority w:val="0"/>
    <w:pPr>
      <w:spacing w:line="360" w:lineRule="auto"/>
      <w:ind w:firstLine="200" w:firstLineChars="200"/>
      <w:outlineLvl w:val="4"/>
    </w:pPr>
    <w:rPr>
      <w:rFonts w:cs="Times New Roman"/>
      <w:b/>
      <w:sz w:val="24"/>
      <w:szCs w:val="24"/>
    </w:rPr>
  </w:style>
  <w:style w:type="paragraph" w:customStyle="1" w:styleId="96">
    <w:name w:val="Normal_0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97">
    <w:name w:val="【正文】 Char Char"/>
    <w:link w:val="98"/>
    <w:autoRedefine/>
    <w:qFormat/>
    <w:locked/>
    <w:uiPriority w:val="0"/>
    <w:rPr>
      <w:rFonts w:cs="宋体"/>
      <w:sz w:val="24"/>
      <w:szCs w:val="24"/>
    </w:rPr>
  </w:style>
  <w:style w:type="paragraph" w:customStyle="1" w:styleId="98">
    <w:name w:val="【正文】"/>
    <w:basedOn w:val="1"/>
    <w:link w:val="97"/>
    <w:autoRedefine/>
    <w:qFormat/>
    <w:uiPriority w:val="0"/>
    <w:pPr>
      <w:adjustRightInd w:val="0"/>
      <w:snapToGrid w:val="0"/>
      <w:spacing w:line="360" w:lineRule="auto"/>
      <w:ind w:firstLine="200" w:firstLineChars="200"/>
    </w:pPr>
    <w:rPr>
      <w:rFonts w:ascii="Times New Roman" w:hAnsi="Times New Roman" w:eastAsia="宋体" w:cs="宋体"/>
      <w:kern w:val="0"/>
      <w:sz w:val="24"/>
      <w:szCs w:val="24"/>
    </w:rPr>
  </w:style>
  <w:style w:type="character" w:customStyle="1" w:styleId="99">
    <w:name w:val="纯文本 Char"/>
    <w:basedOn w:val="42"/>
    <w:link w:val="22"/>
    <w:autoRedefine/>
    <w:qFormat/>
    <w:uiPriority w:val="0"/>
    <w:rPr>
      <w:rFonts w:ascii="宋体" w:hAnsi="Courier New"/>
      <w:kern w:val="16"/>
      <w:sz w:val="21"/>
      <w:szCs w:val="21"/>
      <w:vertAlign w:val="superscript"/>
    </w:rPr>
  </w:style>
  <w:style w:type="paragraph" w:customStyle="1" w:styleId="100">
    <w:name w:val="报告正文"/>
    <w:basedOn w:val="1"/>
    <w:autoRedefine/>
    <w:qFormat/>
    <w:uiPriority w:val="0"/>
    <w:pPr>
      <w:spacing w:line="360" w:lineRule="auto"/>
      <w:ind w:firstLine="200" w:firstLineChars="200"/>
    </w:pPr>
    <w:rPr>
      <w:rFonts w:ascii="Times New Roman" w:hAnsi="Times New Roman" w:eastAsia="宋体" w:cs="Times New Roman"/>
      <w:kern w:val="24"/>
      <w:sz w:val="24"/>
      <w:szCs w:val="20"/>
      <w:lang w:val="zh-CN"/>
    </w:rPr>
  </w:style>
  <w:style w:type="paragraph" w:customStyle="1" w:styleId="101">
    <w:name w:val="表格格式"/>
    <w:basedOn w:val="1"/>
    <w:autoRedefine/>
    <w:qFormat/>
    <w:uiPriority w:val="0"/>
    <w:pPr>
      <w:jc w:val="center"/>
    </w:pPr>
    <w:rPr>
      <w:rFonts w:ascii="Times New Roman" w:hAnsi="Times New Roman" w:eastAsia="宋体" w:cs="Times New Roman"/>
      <w:szCs w:val="18"/>
      <w:lang w:val="zh-CN"/>
    </w:rPr>
  </w:style>
  <w:style w:type="table" w:customStyle="1" w:styleId="102">
    <w:name w:val="Table Grid_0"/>
    <w:basedOn w:val="40"/>
    <w:autoRedefine/>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3">
    <w:name w:val="Asimov-正文"/>
    <w:basedOn w:val="1"/>
    <w:autoRedefine/>
    <w:qFormat/>
    <w:uiPriority w:val="0"/>
    <w:pPr>
      <w:adjustRightInd w:val="0"/>
      <w:spacing w:line="360" w:lineRule="auto"/>
      <w:ind w:firstLine="480" w:firstLineChars="200"/>
    </w:pPr>
    <w:rPr>
      <w:sz w:val="24"/>
    </w:rPr>
  </w:style>
  <w:style w:type="character" w:customStyle="1" w:styleId="104">
    <w:name w:val="List Paragraph Char"/>
    <w:link w:val="71"/>
    <w:qFormat/>
    <w:uiPriority w:val="34"/>
  </w:style>
  <w:style w:type="paragraph" w:customStyle="1" w:styleId="105">
    <w:name w:val="内容"/>
    <w:basedOn w:val="1"/>
    <w:qFormat/>
    <w:uiPriority w:val="0"/>
    <w:pPr>
      <w:spacing w:line="360" w:lineRule="auto"/>
    </w:pPr>
    <w:rPr>
      <w:rFonts w:ascii="Times New Roman" w:hAnsi="Times New Roman"/>
      <w:sz w:val="24"/>
      <w:szCs w:val="18"/>
    </w:rPr>
  </w:style>
  <w:style w:type="paragraph" w:customStyle="1" w:styleId="106">
    <w:name w:val="样式2"/>
    <w:basedOn w:val="1"/>
    <w:autoRedefine/>
    <w:qFormat/>
    <w:uiPriority w:val="99"/>
    <w:pPr>
      <w:spacing w:line="360" w:lineRule="auto"/>
      <w:ind w:firstLine="560" w:firstLineChars="200"/>
      <w:jc w:val="left"/>
    </w:pPr>
    <w:rPr>
      <w:sz w:val="24"/>
      <w:szCs w:val="20"/>
    </w:rPr>
  </w:style>
  <w:style w:type="character" w:customStyle="1" w:styleId="107">
    <w:name w:val="font112"/>
    <w:basedOn w:val="42"/>
    <w:qFormat/>
    <w:uiPriority w:val="0"/>
    <w:rPr>
      <w:rFonts w:hint="eastAsia" w:ascii="宋体" w:hAnsi="宋体" w:eastAsia="宋体" w:cs="宋体"/>
      <w:b/>
      <w:bCs/>
      <w:color w:val="000000"/>
      <w:sz w:val="22"/>
      <w:szCs w:val="22"/>
      <w:u w:val="none"/>
    </w:rPr>
  </w:style>
  <w:style w:type="character" w:customStyle="1" w:styleId="108">
    <w:name w:val="font121"/>
    <w:basedOn w:val="42"/>
    <w:qFormat/>
    <w:uiPriority w:val="0"/>
    <w:rPr>
      <w:rFonts w:hint="eastAsia" w:ascii="宋体" w:hAnsi="宋体" w:eastAsia="宋体" w:cs="宋体"/>
      <w:color w:val="000000"/>
      <w:sz w:val="21"/>
      <w:szCs w:val="21"/>
      <w:u w:val="none"/>
    </w:rPr>
  </w:style>
  <w:style w:type="character" w:customStyle="1" w:styleId="109">
    <w:name w:val="font141"/>
    <w:basedOn w:val="42"/>
    <w:qFormat/>
    <w:uiPriority w:val="0"/>
    <w:rPr>
      <w:rFonts w:hint="eastAsia" w:ascii="宋体" w:hAnsi="宋体" w:eastAsia="宋体" w:cs="宋体"/>
      <w:color w:val="000000"/>
      <w:sz w:val="22"/>
      <w:szCs w:val="22"/>
      <w:u w:val="none"/>
    </w:rPr>
  </w:style>
  <w:style w:type="character" w:customStyle="1" w:styleId="110">
    <w:name w:val="fontstyle01"/>
    <w:qFormat/>
    <w:uiPriority w:val="0"/>
    <w:rPr>
      <w:rFonts w:hint="eastAsia" w:ascii="宋体" w:hAnsi="宋体" w:eastAsia="宋体"/>
      <w:color w:val="000000"/>
      <w:sz w:val="24"/>
      <w:szCs w:val="24"/>
    </w:rPr>
  </w:style>
  <w:style w:type="paragraph" w:customStyle="1" w:styleId="111">
    <w:name w:val="表格标题-4"/>
    <w:basedOn w:val="1"/>
    <w:qFormat/>
    <w:uiPriority w:val="0"/>
    <w:pPr>
      <w:numPr>
        <w:ilvl w:val="0"/>
        <w:numId w:val="3"/>
      </w:numPr>
      <w:adjustRightInd w:val="0"/>
      <w:snapToGrid w:val="0"/>
      <w:spacing w:line="360" w:lineRule="auto"/>
      <w:ind w:firstLine="0"/>
      <w:jc w:val="center"/>
    </w:pPr>
    <w:rPr>
      <w:rFonts w:ascii="Times New Roman" w:hAnsi="Times New Roman" w:eastAsia="黑体" w:cs="Times New Roman"/>
      <w:color w:val="000000"/>
      <w:kern w:val="0"/>
      <w:szCs w:val="21"/>
    </w:rPr>
  </w:style>
  <w:style w:type="paragraph" w:customStyle="1" w:styleId="112">
    <w:name w:val="表格文字2"/>
    <w:basedOn w:val="1"/>
    <w:qFormat/>
    <w:uiPriority w:val="0"/>
    <w:pPr>
      <w:adjustRightInd w:val="0"/>
      <w:spacing w:before="60"/>
      <w:jc w:val="center"/>
      <w:textAlignment w:val="baseline"/>
    </w:pPr>
    <w:rPr>
      <w:rFonts w:ascii="宋体"/>
      <w:kern w:val="0"/>
      <w:sz w:val="24"/>
      <w:szCs w:val="20"/>
    </w:rPr>
  </w:style>
  <w:style w:type="paragraph" w:customStyle="1" w:styleId="113">
    <w:name w:val="表1 标题"/>
    <w:basedOn w:val="1"/>
    <w:qFormat/>
    <w:uiPriority w:val="0"/>
    <w:pPr>
      <w:numPr>
        <w:ilvl w:val="0"/>
        <w:numId w:val="4"/>
      </w:numPr>
      <w:spacing w:line="360" w:lineRule="auto"/>
      <w:ind w:left="0" w:firstLine="0"/>
      <w:jc w:val="center"/>
    </w:pPr>
    <w:rPr>
      <w:rFonts w:hint="eastAsia" w:ascii="Times New Roman" w:hAnsi="Times New Roman" w:eastAsia="黑体" w:cs="Times New Roman"/>
      <w:bCs/>
      <w:color w:val="auto"/>
      <w:szCs w:val="21"/>
    </w:rPr>
  </w:style>
  <w:style w:type="paragraph" w:customStyle="1" w:styleId="114">
    <w:name w:val="表2 标题"/>
    <w:basedOn w:val="1"/>
    <w:link w:val="115"/>
    <w:qFormat/>
    <w:uiPriority w:val="0"/>
    <w:pPr>
      <w:numPr>
        <w:ilvl w:val="0"/>
        <w:numId w:val="5"/>
      </w:numPr>
      <w:spacing w:line="360" w:lineRule="auto"/>
      <w:ind w:firstLine="0"/>
      <w:jc w:val="center"/>
    </w:pPr>
    <w:rPr>
      <w:rFonts w:hint="eastAsia" w:ascii="Times New Roman" w:hAnsi="Times New Roman" w:eastAsia="黑体" w:cs="Times New Roman"/>
      <w:bCs/>
      <w:color w:val="auto"/>
      <w:szCs w:val="21"/>
    </w:rPr>
  </w:style>
  <w:style w:type="character" w:customStyle="1" w:styleId="115">
    <w:name w:val="表2 标题 Char"/>
    <w:link w:val="114"/>
    <w:qFormat/>
    <w:uiPriority w:val="0"/>
    <w:rPr>
      <w:rFonts w:hint="eastAsia" w:ascii="Times New Roman" w:hAnsi="Times New Roman" w:eastAsia="黑体" w:cs="Times New Roman"/>
      <w:bCs/>
      <w:color w:val="auto"/>
      <w:szCs w:val="21"/>
    </w:rPr>
  </w:style>
  <w:style w:type="paragraph" w:customStyle="1" w:styleId="116">
    <w:name w:val="表3 标题"/>
    <w:basedOn w:val="1"/>
    <w:qFormat/>
    <w:uiPriority w:val="0"/>
    <w:pPr>
      <w:numPr>
        <w:ilvl w:val="0"/>
        <w:numId w:val="6"/>
      </w:numPr>
      <w:spacing w:line="360" w:lineRule="auto"/>
      <w:jc w:val="center"/>
    </w:pPr>
    <w:rPr>
      <w:rFonts w:hint="eastAsia" w:ascii="Times New Roman" w:hAnsi="Times New Roman" w:eastAsia="黑体" w:cs="Times New Roman"/>
      <w:bCs/>
      <w:color w:val="auto"/>
      <w:szCs w:val="21"/>
    </w:rPr>
  </w:style>
  <w:style w:type="paragraph" w:customStyle="1" w:styleId="117">
    <w:name w:val="表4 标题"/>
    <w:basedOn w:val="1"/>
    <w:qFormat/>
    <w:uiPriority w:val="0"/>
    <w:pPr>
      <w:numPr>
        <w:ilvl w:val="0"/>
        <w:numId w:val="7"/>
      </w:numPr>
      <w:spacing w:line="360" w:lineRule="auto"/>
      <w:ind w:firstLine="403"/>
      <w:jc w:val="center"/>
    </w:pPr>
    <w:rPr>
      <w:rFonts w:hint="eastAsia" w:ascii="Times New Roman" w:hAnsi="Times New Roman" w:eastAsia="黑体" w:cs="Times New Roman"/>
      <w:bCs/>
      <w:color w:val="auto"/>
      <w:szCs w:val="21"/>
    </w:rPr>
  </w:style>
  <w:style w:type="paragraph" w:customStyle="1" w:styleId="118">
    <w:name w:val="图1 标题"/>
    <w:basedOn w:val="1"/>
    <w:link w:val="121"/>
    <w:qFormat/>
    <w:uiPriority w:val="0"/>
    <w:pPr>
      <w:numPr>
        <w:ilvl w:val="0"/>
        <w:numId w:val="8"/>
      </w:numPr>
      <w:spacing w:line="360" w:lineRule="auto"/>
      <w:jc w:val="center"/>
    </w:pPr>
    <w:rPr>
      <w:rFonts w:hint="eastAsia" w:ascii="Times New Roman" w:hAnsi="Times New Roman" w:eastAsia="黑体" w:cs="Times New Roman"/>
      <w:bCs/>
      <w:color w:val="auto"/>
      <w:szCs w:val="21"/>
    </w:rPr>
  </w:style>
  <w:style w:type="paragraph" w:customStyle="1" w:styleId="119">
    <w:name w:val="图2 标题"/>
    <w:basedOn w:val="1"/>
    <w:link w:val="120"/>
    <w:qFormat/>
    <w:uiPriority w:val="0"/>
    <w:pPr>
      <w:numPr>
        <w:ilvl w:val="0"/>
        <w:numId w:val="9"/>
      </w:numPr>
      <w:spacing w:line="360" w:lineRule="auto"/>
      <w:jc w:val="center"/>
    </w:pPr>
    <w:rPr>
      <w:rFonts w:hint="eastAsia" w:ascii="Times New Roman" w:hAnsi="Times New Roman" w:eastAsia="黑体" w:cs="Times New Roman"/>
      <w:bCs/>
      <w:color w:val="auto"/>
      <w:szCs w:val="21"/>
    </w:rPr>
  </w:style>
  <w:style w:type="character" w:customStyle="1" w:styleId="120">
    <w:name w:val="图2 标题 Char"/>
    <w:link w:val="119"/>
    <w:qFormat/>
    <w:uiPriority w:val="0"/>
    <w:rPr>
      <w:rFonts w:hint="eastAsia" w:ascii="Times New Roman" w:hAnsi="Times New Roman" w:eastAsia="黑体" w:cs="Times New Roman"/>
      <w:bCs/>
      <w:color w:val="auto"/>
      <w:szCs w:val="21"/>
    </w:rPr>
  </w:style>
  <w:style w:type="character" w:customStyle="1" w:styleId="121">
    <w:name w:val="图1 标题 Char"/>
    <w:link w:val="118"/>
    <w:qFormat/>
    <w:uiPriority w:val="0"/>
    <w:rPr>
      <w:rFonts w:hint="eastAsia" w:ascii="Times New Roman" w:hAnsi="Times New Roman" w:eastAsia="黑体" w:cs="Times New Roman"/>
      <w:bCs/>
      <w:color w:val="auto"/>
      <w:szCs w:val="21"/>
    </w:rPr>
  </w:style>
  <w:style w:type="paragraph" w:customStyle="1" w:styleId="122">
    <w:name w:val="图4 标题"/>
    <w:basedOn w:val="1"/>
    <w:qFormat/>
    <w:uiPriority w:val="0"/>
    <w:pPr>
      <w:numPr>
        <w:ilvl w:val="0"/>
        <w:numId w:val="10"/>
      </w:numPr>
      <w:spacing w:line="360" w:lineRule="auto"/>
      <w:ind w:firstLine="403"/>
      <w:jc w:val="center"/>
    </w:pPr>
    <w:rPr>
      <w:rFonts w:hint="eastAsia" w:ascii="Times New Roman" w:hAnsi="Times New Roman" w:eastAsia="黑体" w:cs="Times New Roman"/>
      <w:bCs/>
      <w:color w:val="auto"/>
      <w:szCs w:val="21"/>
    </w:rPr>
  </w:style>
  <w:style w:type="table" w:customStyle="1" w:styleId="123">
    <w:name w:val="Table Normal"/>
    <w:semiHidden/>
    <w:unhideWhenUsed/>
    <w:qFormat/>
    <w:uiPriority w:val="0"/>
    <w:tblPr>
      <w:tblCellMar>
        <w:top w:w="0" w:type="dxa"/>
        <w:left w:w="0" w:type="dxa"/>
        <w:bottom w:w="0" w:type="dxa"/>
        <w:right w:w="0" w:type="dxa"/>
      </w:tblCellMar>
    </w:tblPr>
  </w:style>
  <w:style w:type="paragraph" w:customStyle="1" w:styleId="124">
    <w:name w:val="1正文文本"/>
    <w:basedOn w:val="1"/>
    <w:qFormat/>
    <w:uiPriority w:val="0"/>
    <w:pPr>
      <w:keepNext w:val="0"/>
      <w:keepLines w:val="0"/>
      <w:widowControl w:val="0"/>
      <w:suppressLineNumbers w:val="0"/>
      <w:autoSpaceDE w:val="0"/>
      <w:autoSpaceDN w:val="0"/>
      <w:adjustRightInd w:val="0"/>
      <w:spacing w:before="0" w:beforeAutospacing="0" w:after="0" w:afterAutospacing="0" w:line="480" w:lineRule="exact"/>
      <w:ind w:left="0" w:right="0" w:firstLine="200" w:firstLineChars="200"/>
      <w:jc w:val="both"/>
    </w:pPr>
    <w:rPr>
      <w:rFonts w:hint="default" w:ascii="Times New Roman" w:hAnsi="宋体" w:cs="Times New Roman"/>
      <w:kern w:val="0"/>
      <w:sz w:val="24"/>
      <w:szCs w:val="24"/>
      <w:lang w:val="en-US" w:eastAsia="zh-CN" w:bidi="ar"/>
    </w:rPr>
  </w:style>
  <w:style w:type="paragraph" w:customStyle="1" w:styleId="125">
    <w:name w:val="rpt_表项"/>
    <w:basedOn w:val="1"/>
    <w:qFormat/>
    <w:uiPriority w:val="0"/>
    <w:pPr>
      <w:spacing w:before="60" w:after="60"/>
      <w:jc w:val="center"/>
    </w:pPr>
    <w:rPr>
      <w:rFonts w:cs="宋体"/>
      <w:sz w:val="22"/>
      <w:szCs w:val="20"/>
    </w:rPr>
  </w:style>
  <w:style w:type="paragraph" w:customStyle="1" w:styleId="126">
    <w:name w:val="第四章图表题"/>
    <w:basedOn w:val="1"/>
    <w:qFormat/>
    <w:uiPriority w:val="0"/>
    <w:pPr>
      <w:numPr>
        <w:ilvl w:val="0"/>
        <w:numId w:val="11"/>
      </w:numPr>
      <w:spacing w:line="360" w:lineRule="auto"/>
      <w:jc w:val="center"/>
    </w:pPr>
    <w:rPr>
      <w:rFonts w:hint="eastAsia" w:ascii="Times New Roman" w:hAnsi="Times New Roman" w:eastAsia="黑体"/>
      <w:color w:va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NULL"/><Relationship Id="rId7" Type="http://schemas.openxmlformats.org/officeDocument/2006/relationships/image" Target="media/image2.jpeg"/><Relationship Id="rId6" Type="http://schemas.openxmlformats.org/officeDocument/2006/relationships/image" Target="media/image1.png"/><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2.xml"/><Relationship Id="rId39" Type="http://schemas.openxmlformats.org/officeDocument/2006/relationships/image" Target="media/image25.wmf"/><Relationship Id="rId38" Type="http://schemas.openxmlformats.org/officeDocument/2006/relationships/oleObject" Target="embeddings/oleObject9.bin"/><Relationship Id="rId37" Type="http://schemas.openxmlformats.org/officeDocument/2006/relationships/image" Target="media/image24.wmf"/><Relationship Id="rId36" Type="http://schemas.openxmlformats.org/officeDocument/2006/relationships/oleObject" Target="embeddings/oleObject8.bin"/><Relationship Id="rId35" Type="http://schemas.openxmlformats.org/officeDocument/2006/relationships/image" Target="media/image23.wmf"/><Relationship Id="rId34" Type="http://schemas.openxmlformats.org/officeDocument/2006/relationships/oleObject" Target="embeddings/oleObject7.bin"/><Relationship Id="rId33" Type="http://schemas.openxmlformats.org/officeDocument/2006/relationships/image" Target="media/image22.wmf"/><Relationship Id="rId32" Type="http://schemas.openxmlformats.org/officeDocument/2006/relationships/oleObject" Target="embeddings/oleObject6.bin"/><Relationship Id="rId31" Type="http://schemas.openxmlformats.org/officeDocument/2006/relationships/image" Target="media/image21.png"/><Relationship Id="rId30" Type="http://schemas.openxmlformats.org/officeDocument/2006/relationships/image" Target="media/image20.w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19.wmf"/><Relationship Id="rId27" Type="http://schemas.openxmlformats.org/officeDocument/2006/relationships/oleObject" Target="embeddings/oleObject4.bin"/><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1.emf"/><Relationship Id="rId17" Type="http://schemas.openxmlformats.org/officeDocument/2006/relationships/oleObject" Target="embeddings/oleObject2.bin"/><Relationship Id="rId16" Type="http://schemas.openxmlformats.org/officeDocument/2006/relationships/image" Target="media/image10.emf"/><Relationship Id="rId15" Type="http://schemas.openxmlformats.org/officeDocument/2006/relationships/oleObject" Target="embeddings/oleObject1.bin"/><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webp"/><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20F475-D45F-4078-A744-51D2A06B29A9}">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129</Pages>
  <Words>22411</Words>
  <Characters>23491</Characters>
  <Lines>690</Lines>
  <Paragraphs>194</Paragraphs>
  <TotalTime>4</TotalTime>
  <ScaleCrop>false</ScaleCrop>
  <LinksUpToDate>false</LinksUpToDate>
  <CharactersWithSpaces>23599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2023-05-16T07:23:00Z</dcterms:created>
  <dc:creator>Administrator</dc:creator>
  <cp:lastModifiedBy>WPS会员账号</cp:lastModifiedBy>
  <cp:lastPrinted>2023-05-09T06:27:00Z</cp:lastPrinted>
  <dcterms:modified xsi:type="dcterms:W3CDTF">2025-11-14T01:23:58Z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29715187CD40478A8DEFA64C40DDEF1A</vt:lpwstr>
  </property>
  <property fmtid="{D5CDD505-2E9C-101B-9397-08002B2CF9AE}" pid="4" name="KSOTemplateDocerSaveRecord">
    <vt:lpwstr>eyJoZGlkIjoiODRkYWU0M2Q0NzY2YWRmNTVhMDE1YzZmNDQxZTBhMmMiLCJ1c2VySWQiOiIxNjg5MzA1MjA4In0=</vt:lpwstr>
  </property>
</Properties>
</file>