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01" w:rsidRPr="00F33F52" w:rsidRDefault="00C91B01" w:rsidP="00C91B01">
      <w:pPr>
        <w:rPr>
          <w:rFonts w:asciiTheme="minorEastAsia" w:eastAsiaTheme="minorEastAsia" w:hAnsiTheme="minorEastAsia"/>
          <w:sz w:val="24"/>
          <w:szCs w:val="24"/>
        </w:rPr>
      </w:pPr>
      <w:bookmarkStart w:id="0" w:name="OLE_LINK1"/>
      <w:bookmarkStart w:id="1" w:name="_GoBack"/>
      <w:bookmarkEnd w:id="1"/>
    </w:p>
    <w:p w:rsidR="00C91B01" w:rsidRPr="00C91B01" w:rsidRDefault="00C91B01" w:rsidP="00C91B01">
      <w:pPr>
        <w:jc w:val="center"/>
        <w:rPr>
          <w:rFonts w:ascii="方正小标宋_GBK" w:eastAsia="方正小标宋_GBK" w:hAnsiTheme="minorEastAsia"/>
          <w:sz w:val="44"/>
          <w:szCs w:val="44"/>
        </w:rPr>
      </w:pPr>
      <w:r w:rsidRPr="00C91B01">
        <w:rPr>
          <w:rFonts w:ascii="方正小标宋_GBK" w:eastAsia="方正小标宋_GBK" w:hAnsiTheme="minorEastAsia" w:hint="eastAsia"/>
          <w:sz w:val="44"/>
          <w:szCs w:val="44"/>
        </w:rPr>
        <w:t>马尔康市第一批划入市行政审批局行政许可事项清单（共13个部门74项）</w:t>
      </w:r>
    </w:p>
    <w:tbl>
      <w:tblPr>
        <w:tblpPr w:leftFromText="180" w:rightFromText="180" w:vertAnchor="text" w:horzAnchor="page" w:tblpX="1386" w:tblpY="560"/>
        <w:tblOverlap w:val="never"/>
        <w:tblW w:w="9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723"/>
        <w:gridCol w:w="6232"/>
        <w:gridCol w:w="2086"/>
      </w:tblGrid>
      <w:tr w:rsidR="00C91B01" w:rsidRPr="00F33F52" w:rsidTr="00C91B01">
        <w:trPr>
          <w:trHeight w:hRule="exact" w:val="454"/>
        </w:trPr>
        <w:tc>
          <w:tcPr>
            <w:tcW w:w="723" w:type="dxa"/>
            <w:vMerge w:val="restart"/>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序号</w:t>
            </w:r>
          </w:p>
        </w:tc>
        <w:tc>
          <w:tcPr>
            <w:tcW w:w="6232" w:type="dxa"/>
            <w:vMerge w:val="restart"/>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行政许可事项名称</w:t>
            </w:r>
          </w:p>
        </w:tc>
        <w:tc>
          <w:tcPr>
            <w:tcW w:w="2086" w:type="dxa"/>
            <w:vMerge w:val="restart"/>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原业务主管部门</w:t>
            </w:r>
          </w:p>
        </w:tc>
      </w:tr>
      <w:tr w:rsidR="00C91B01" w:rsidRPr="00F33F52" w:rsidTr="00C91B01">
        <w:trPr>
          <w:trHeight w:hRule="exact" w:val="454"/>
        </w:trPr>
        <w:tc>
          <w:tcPr>
            <w:tcW w:w="723"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c>
          <w:tcPr>
            <w:tcW w:w="6232"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1</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内部资料性出版物准印证核发</w:t>
            </w:r>
          </w:p>
        </w:tc>
        <w:tc>
          <w:tcPr>
            <w:tcW w:w="2086" w:type="dxa"/>
            <w:vMerge w:val="restart"/>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sz w:val="24"/>
                <w:szCs w:val="24"/>
              </w:rPr>
              <w:t>马尔康市委宣传部</w:t>
            </w:r>
          </w:p>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（3项）</w:t>
            </w: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2</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出版物零售单位和个体工商户设立、变更审批</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3</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电影放映单位设立审批</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4</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固定资产投资项目节能审查</w:t>
            </w:r>
          </w:p>
        </w:tc>
        <w:tc>
          <w:tcPr>
            <w:tcW w:w="2086" w:type="dxa"/>
            <w:vMerge w:val="restart"/>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马尔康市发展和改革局（4项）</w:t>
            </w: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5</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石油天然气管道受限制区域施工保护方案许可</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6</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石油天然气管道保护范围内特定施工作业许可</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7</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粮食收购资格认定</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8</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对外贸易经营者备案登记</w:t>
            </w:r>
          </w:p>
        </w:tc>
        <w:tc>
          <w:tcPr>
            <w:tcW w:w="2086" w:type="dxa"/>
            <w:vMerge w:val="restart"/>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马尔康市经济商务和信息化局</w:t>
            </w:r>
          </w:p>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（3项）</w:t>
            </w: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9</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固定资产投资项目节能审查（企业技术改造项目）</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647"/>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10</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在电力设施周围或电力设施保护区内进行可能危及电力设施安全作业的审批</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705"/>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11</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实施中等及中等以下学历教育、学前教育、自学考试助学及其他文化教育的学校设立、变更和终止审批</w:t>
            </w:r>
          </w:p>
        </w:tc>
        <w:tc>
          <w:tcPr>
            <w:tcW w:w="2086" w:type="dxa"/>
            <w:vMerge w:val="restart"/>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马尔康市教育局</w:t>
            </w:r>
          </w:p>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（5项）</w:t>
            </w: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12</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适龄儿童、少年因身体状况需要延缓入学或者休学审批</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13</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文艺、体育等专业训练的社会组织自行实施义务教育审批</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14</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教师资格认定</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15</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校车使用许可</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16</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母婴保健技术服务机构执业许可</w:t>
            </w:r>
          </w:p>
        </w:tc>
        <w:tc>
          <w:tcPr>
            <w:tcW w:w="2086" w:type="dxa"/>
            <w:vMerge w:val="restart"/>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马尔康市卫生健康局（13项）</w:t>
            </w: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17</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母婴保健服务人员资格认定</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18</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医疗机构设置审批（含港澳台，外商独资除外）</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19</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医疗机构执业登记（人体器官移植除外）</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20</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医师执业注册</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序号</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权力名称</w:t>
            </w:r>
          </w:p>
        </w:tc>
        <w:tc>
          <w:tcPr>
            <w:tcW w:w="2086"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原业务主管部门</w:t>
            </w: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lastRenderedPageBreak/>
              <w:t>21</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护士执业注册</w:t>
            </w:r>
          </w:p>
        </w:tc>
        <w:tc>
          <w:tcPr>
            <w:tcW w:w="2086" w:type="dxa"/>
            <w:vMerge w:val="restart"/>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马尔康市卫生健康局（13项）</w:t>
            </w: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22</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饮用水供水单位卫生许可</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23</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公共场所卫生许可</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24</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放射源诊疗技术和医用辐射机构许可</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25</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医疗机构放射性职业病危害建设项目预评价报告审核</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26</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职业病诊断资格证书核发</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27</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乡村医生执业注册</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28</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医疗机构放射性职业病危害建设项目竣工验收</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29</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社会团体成立、变更、注销登记</w:t>
            </w:r>
          </w:p>
        </w:tc>
        <w:tc>
          <w:tcPr>
            <w:tcW w:w="2086" w:type="dxa"/>
            <w:vMerge w:val="restart"/>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马尔康市民政局</w:t>
            </w:r>
          </w:p>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（6项）</w:t>
            </w: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30</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民办非企业单位成立、变更、注销登记</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728"/>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31</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建设殡仪馆、火葬场、殡仪服务站、骨灰堂、经营性公墓、农村公益性墓地审批</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32</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社会团体修改章程核准</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33</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民办非企业单位修改章程核准</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34</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慈善组织公开募捐资格审批</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35</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公证员执业、变更许可</w:t>
            </w:r>
          </w:p>
        </w:tc>
        <w:tc>
          <w:tcPr>
            <w:tcW w:w="2086" w:type="dxa"/>
            <w:vMerge w:val="restart"/>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马尔康市司法局</w:t>
            </w:r>
          </w:p>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（3项）</w:t>
            </w: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36</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公证机构设立、变更</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37</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基层法律服务工作者执业、变更、注销许可</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38</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中介机构从事代理记账业务审批</w:t>
            </w:r>
          </w:p>
        </w:tc>
        <w:tc>
          <w:tcPr>
            <w:tcW w:w="2086"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马尔康市财政局（1项）</w:t>
            </w: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39</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民办职业培训学校设立、分立、合并、变更及终止审批</w:t>
            </w:r>
          </w:p>
        </w:tc>
        <w:tc>
          <w:tcPr>
            <w:tcW w:w="2086" w:type="dxa"/>
            <w:vMerge w:val="restart"/>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马尔康市人力资源和社会保障局</w:t>
            </w:r>
          </w:p>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（4项）</w:t>
            </w: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40</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经营性人力资源服务机构从事职业中介活动许可</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41</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地方企业实行不定时工作制和综合计算工时工作制审批</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42</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劳务派遣经营许可</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43</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企业设立、变更、注销登记</w:t>
            </w:r>
          </w:p>
        </w:tc>
        <w:tc>
          <w:tcPr>
            <w:tcW w:w="2086" w:type="dxa"/>
            <w:vMerge w:val="restart"/>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马尔康市市场监督管理局（9项）</w:t>
            </w: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44</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个体工商户注册、变更、注销登记</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45</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农民专业合作社设立、变更、注销登记</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46</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广告发布登记</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47</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计量标准器具核准</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48</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承担国家法定计量检定机构任务授权</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49</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特种设备作业人员资格认定</w:t>
            </w:r>
          </w:p>
        </w:tc>
        <w:tc>
          <w:tcPr>
            <w:tcW w:w="2086" w:type="dxa"/>
            <w:vMerge w:val="restart"/>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马尔康市市场监督</w:t>
            </w:r>
            <w:r w:rsidRPr="00F33F52">
              <w:rPr>
                <w:rFonts w:asciiTheme="minorEastAsia" w:eastAsiaTheme="minorEastAsia" w:hAnsiTheme="minorEastAsia" w:hint="eastAsia"/>
                <w:sz w:val="24"/>
                <w:szCs w:val="24"/>
              </w:rPr>
              <w:lastRenderedPageBreak/>
              <w:t>管理局（9项）</w:t>
            </w: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lastRenderedPageBreak/>
              <w:t>50</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食品（含保健食品）经营许可</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lastRenderedPageBreak/>
              <w:t>51</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科研和教学用毒性药品购用审批</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52</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设置卫星电视广播地面接收设施审批</w:t>
            </w:r>
          </w:p>
        </w:tc>
        <w:tc>
          <w:tcPr>
            <w:tcW w:w="2086" w:type="dxa"/>
            <w:vMerge w:val="restart"/>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sz w:val="24"/>
                <w:szCs w:val="24"/>
              </w:rPr>
              <w:t>马尔康市文化体育和旅游局</w:t>
            </w:r>
          </w:p>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（19项）</w:t>
            </w:r>
          </w:p>
        </w:tc>
      </w:tr>
      <w:tr w:rsidR="00C91B01" w:rsidRPr="00F33F52" w:rsidTr="00C91B01">
        <w:trPr>
          <w:trHeight w:hRule="exact" w:val="687"/>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53</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乡（镇）设立广播电视站和机关、部队、团体、企业事业单位设立有线广播电视站审批</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54</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广播电视视频点播业务许可证（乙种）审批</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55</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有线广播电视传输覆盖网工程建设及验收审核</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755"/>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56</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对新闻出版广电总局负责的广播电台、电视台设立、终止审批的初审</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57</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卫星电视广播地面接收设施安装服务许可</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58</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电视剧制作许可证（乙种）核发</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59</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经营高危险性体育项目许可</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60</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举办健身气功活动及设立站点审批</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61</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临时占用公共体育场（馆）设施审批</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62</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互联网上网服务营业场所经营单位设立审批</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63</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营业性演出审批</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64</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娱乐场所设立审批</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65</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文艺表演团体设立审批</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673"/>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66</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非国有文物收藏单位和其他单位借用国有文物收藏单位馆藏文物审批</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728"/>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67</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对文物保护单位、未核定为文物保护单位的不可移动文物修缮许可</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68</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建设工程文物保护和考古许可</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69</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文物保护单位原址保护措施审批</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70</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文物保护工程资质证书核发（权限内）</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71</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拆除人民防空工程审批</w:t>
            </w:r>
          </w:p>
        </w:tc>
        <w:tc>
          <w:tcPr>
            <w:tcW w:w="2086" w:type="dxa"/>
            <w:vMerge w:val="restart"/>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马尔康市人防办</w:t>
            </w:r>
          </w:p>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（3项）</w:t>
            </w: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72</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应建防空地下室的民用建设项目报建审批</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454"/>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73</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人民防空警报设施拆除审批</w:t>
            </w:r>
          </w:p>
        </w:tc>
        <w:tc>
          <w:tcPr>
            <w:tcW w:w="2086" w:type="dxa"/>
            <w:vMerge/>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p>
        </w:tc>
      </w:tr>
      <w:tr w:rsidR="00C91B01" w:rsidRPr="00F33F52" w:rsidTr="00C91B01">
        <w:trPr>
          <w:trHeight w:hRule="exact" w:val="767"/>
        </w:trPr>
        <w:tc>
          <w:tcPr>
            <w:tcW w:w="723"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74</w:t>
            </w:r>
          </w:p>
        </w:tc>
        <w:tc>
          <w:tcPr>
            <w:tcW w:w="6232"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危害地震监测设施和观测环境建设项目审查</w:t>
            </w:r>
          </w:p>
        </w:tc>
        <w:tc>
          <w:tcPr>
            <w:tcW w:w="2086" w:type="dxa"/>
            <w:tcBorders>
              <w:tl2br w:val="nil"/>
              <w:tr2bl w:val="nil"/>
            </w:tcBorders>
            <w:shd w:val="clear" w:color="auto" w:fill="auto"/>
            <w:vAlign w:val="center"/>
          </w:tcPr>
          <w:p w:rsidR="00C91B01" w:rsidRPr="00F33F52" w:rsidRDefault="00C91B01" w:rsidP="00C91B01">
            <w:pPr>
              <w:jc w:val="center"/>
              <w:rPr>
                <w:rFonts w:asciiTheme="minorEastAsia" w:eastAsiaTheme="minorEastAsia" w:hAnsiTheme="minorEastAsia"/>
                <w:sz w:val="24"/>
                <w:szCs w:val="24"/>
              </w:rPr>
            </w:pPr>
            <w:r w:rsidRPr="00F33F52">
              <w:rPr>
                <w:rFonts w:asciiTheme="minorEastAsia" w:eastAsiaTheme="minorEastAsia" w:hAnsiTheme="minorEastAsia" w:hint="eastAsia"/>
                <w:sz w:val="24"/>
                <w:szCs w:val="24"/>
              </w:rPr>
              <w:t>马尔康市防震减灾局（1项）</w:t>
            </w:r>
          </w:p>
        </w:tc>
      </w:tr>
      <w:bookmarkEnd w:id="0"/>
    </w:tbl>
    <w:p w:rsidR="00C91B01" w:rsidRPr="00F33F52" w:rsidRDefault="00C91B01" w:rsidP="00C91B01">
      <w:pPr>
        <w:rPr>
          <w:rFonts w:asciiTheme="minorEastAsia" w:eastAsiaTheme="minorEastAsia" w:hAnsiTheme="minorEastAsia"/>
          <w:sz w:val="24"/>
          <w:szCs w:val="24"/>
        </w:rPr>
      </w:pPr>
    </w:p>
    <w:p w:rsidR="004358AB" w:rsidRDefault="004358AB" w:rsidP="00D31D50">
      <w:pPr>
        <w:spacing w:line="220" w:lineRule="atLeast"/>
      </w:pPr>
    </w:p>
    <w:sectPr w:rsidR="004358AB" w:rsidSect="00B918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824" w:rsidRDefault="00F17824" w:rsidP="00C91B01">
      <w:pPr>
        <w:spacing w:after="0"/>
      </w:pPr>
      <w:r>
        <w:separator/>
      </w:r>
    </w:p>
  </w:endnote>
  <w:endnote w:type="continuationSeparator" w:id="0">
    <w:p w:rsidR="00F17824" w:rsidRDefault="00F17824" w:rsidP="00C91B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824" w:rsidRDefault="00F17824" w:rsidP="00C91B01">
      <w:pPr>
        <w:spacing w:after="0"/>
      </w:pPr>
      <w:r>
        <w:separator/>
      </w:r>
    </w:p>
  </w:footnote>
  <w:footnote w:type="continuationSeparator" w:id="0">
    <w:p w:rsidR="00F17824" w:rsidRDefault="00F17824" w:rsidP="00C91B0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B7726"/>
    <w:rsid w:val="00B02DF7"/>
    <w:rsid w:val="00C91B01"/>
    <w:rsid w:val="00D31D50"/>
    <w:rsid w:val="00F178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1B0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91B01"/>
    <w:rPr>
      <w:rFonts w:ascii="Tahoma" w:hAnsi="Tahoma"/>
      <w:sz w:val="18"/>
      <w:szCs w:val="18"/>
    </w:rPr>
  </w:style>
  <w:style w:type="paragraph" w:styleId="a4">
    <w:name w:val="footer"/>
    <w:basedOn w:val="a"/>
    <w:link w:val="Char0"/>
    <w:uiPriority w:val="99"/>
    <w:semiHidden/>
    <w:unhideWhenUsed/>
    <w:rsid w:val="00C91B01"/>
    <w:pPr>
      <w:tabs>
        <w:tab w:val="center" w:pos="4153"/>
        <w:tab w:val="right" w:pos="8306"/>
      </w:tabs>
    </w:pPr>
    <w:rPr>
      <w:sz w:val="18"/>
      <w:szCs w:val="18"/>
    </w:rPr>
  </w:style>
  <w:style w:type="character" w:customStyle="1" w:styleId="Char0">
    <w:name w:val="页脚 Char"/>
    <w:basedOn w:val="a0"/>
    <w:link w:val="a4"/>
    <w:uiPriority w:val="99"/>
    <w:semiHidden/>
    <w:rsid w:val="00C91B0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947</Words>
  <Characters>976</Characters>
  <Application>Microsoft Office Word</Application>
  <DocSecurity>0</DocSecurity>
  <Lines>122</Lines>
  <Paragraphs>147</Paragraphs>
  <ScaleCrop>false</ScaleCrop>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2020-05-22T02:11:00Z</dcterms:modified>
</cp:coreProperties>
</file>